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VerdaBank S.A. — Informe de reclamación</w:t>
      </w:r>
    </w:p>
    <w:p>
      <w:r>
        <w:t>Cliente: María García López (usr_001)</w:t>
      </w:r>
    </w:p>
    <w:p>
      <w:r>
        <w:t>Cuenta: ES9121000418450200051332</w:t>
      </w:r>
    </w:p>
    <w:p>
      <w:r>
        <w:t>Fecha: 12/06/2026</w:t>
      </w:r>
    </w:p>
    <w:p>
      <w:pPr>
        <w:pStyle w:val="Heading2"/>
      </w:pPr>
      <w:r>
        <w:t>Motivo</w:t>
      </w:r>
    </w:p>
    <w:p>
      <w:r>
        <w:t>Cargo duplicado de 45,90 € en Amazon.es detectado el día 10/06/2026. Se solicita revisión y reembolso del importe duplicado.</w:t>
      </w:r>
    </w:p>
    <w:p>
      <w:r>
        <w:t>Adjunto: captura del movimiento duplicado (no incluida en esta versión).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