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20" w:lineRule="auto"/>
        <w:ind w:left="720" w:hanging="36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s’agit à la fois d’un travail visuel et structurel, puisque la structure du dessin détermine l'image. 01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20" w:lineRule="auto"/>
        <w:ind w:left="720" w:hanging="360"/>
        <w:jc w:val="both"/>
      </w:pPr>
      <w:r w:rsidDel="00000000" w:rsidR="00000000" w:rsidRPr="00000000">
        <w:rPr>
          <w:b w:val="1"/>
          <w:i w:val="1"/>
          <w:color w:val="6d9eeb"/>
          <w:sz w:val="20"/>
          <w:szCs w:val="20"/>
          <w:rtl w:val="0"/>
        </w:rPr>
        <w:t xml:space="preserve">Fire</w:t>
      </w:r>
      <w:r w:rsidDel="00000000" w:rsidR="00000000" w:rsidRPr="00000000">
        <w:rPr>
          <w:b w:val="1"/>
          <w:color w:val="6d9eeb"/>
          <w:sz w:val="20"/>
          <w:szCs w:val="20"/>
          <w:rtl w:val="0"/>
        </w:rPr>
        <w:t xml:space="preserve"> cette fois-ci, vous donnez à voir trois possibilités de lecture d’un texte imprimé à l’encre phosphorescente. </w:t>
      </w:r>
      <w:r w:rsidDel="00000000" w:rsidR="00000000" w:rsidRPr="00000000">
        <w:rPr>
          <w:sz w:val="20"/>
          <w:szCs w:val="20"/>
          <w:rtl w:val="0"/>
        </w:rPr>
        <w:t xml:space="preserve">02 + 03 alignées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2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 prolongement dans l’espace correspond à cette superposition de plans qui permettent ou non de révéler une lisibilité. 04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2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pense qu’on avait peur que le public ne comprenne pas. Prenons une pièce comme </w:t>
      </w:r>
      <w:r w:rsidDel="00000000" w:rsidR="00000000" w:rsidRPr="00000000">
        <w:rPr>
          <w:i w:val="1"/>
          <w:sz w:val="20"/>
          <w:szCs w:val="20"/>
          <w:rtl w:val="0"/>
        </w:rPr>
        <w:t xml:space="preserve">Sweet Dream. </w:t>
      </w:r>
      <w:r w:rsidDel="00000000" w:rsidR="00000000" w:rsidRPr="00000000">
        <w:rPr>
          <w:sz w:val="20"/>
          <w:szCs w:val="20"/>
          <w:rtl w:val="0"/>
        </w:rPr>
        <w:t xml:space="preserve">05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2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retrouve sans doute cette idée de frustration dans </w:t>
      </w:r>
      <w:r w:rsidDel="00000000" w:rsidR="00000000" w:rsidRPr="00000000">
        <w:rPr>
          <w:i w:val="1"/>
          <w:sz w:val="20"/>
          <w:szCs w:val="20"/>
          <w:rtl w:val="0"/>
        </w:rPr>
        <w:t xml:space="preserve">le Œ dans l'autre</w:t>
      </w:r>
      <w:r w:rsidDel="00000000" w:rsidR="00000000" w:rsidRPr="00000000">
        <w:rPr>
          <w:sz w:val="20"/>
          <w:szCs w:val="20"/>
          <w:rtl w:val="0"/>
        </w:rPr>
        <w:t xml:space="preserve">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2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“s” est automatiquement ajouté à l’adresse du lien, et à ce moment-ci, l'accès est restreint. La partie du bas devient alors indéchiffrable. 07 + 08</w:t>
      </w:r>
    </w:p>
    <w:p w:rsidR="00000000" w:rsidDel="00000000" w:rsidP="00000000" w:rsidRDefault="00000000" w:rsidRPr="00000000" w14:paraId="00000007">
      <w:pPr>
        <w:spacing w:line="32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Légende des photos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Photo 01 : </w:t>
      </w:r>
      <w:r w:rsidDel="00000000" w:rsidR="00000000" w:rsidRPr="00000000">
        <w:rPr>
          <w:i w:val="1"/>
          <w:sz w:val="18"/>
          <w:szCs w:val="18"/>
          <w:rtl w:val="0"/>
        </w:rPr>
        <w:t xml:space="preserve">You’ve Been Chosen as an Extra in a Movie Adaptation of the Sequel to your Life</w:t>
      </w:r>
      <w:r w:rsidDel="00000000" w:rsidR="00000000" w:rsidRPr="00000000">
        <w:rPr>
          <w:sz w:val="18"/>
          <w:szCs w:val="18"/>
          <w:rtl w:val="0"/>
        </w:rPr>
        <w:t xml:space="preserve">, 2010, Sérigraphie à l’encre phosphorescente, 5 exemplaires. Dimensions: A1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Photo 02 et 03 : Light my fire, 2011, photos de l'installation au Centre Culturel, Abbaye de Saint-Riquier, Papier peint sérigraphié à l'encre phosphorescente, minuteur.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Photo 04 : Clear Deep Dark, dans le cadre d'une exposition personnelle à The Hawn Gallery, Dallas, USA, 2017, Sérigraphies et dessins à l'encre conductrice, LEDs et système électrique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Photo 05 : Sweet Dream, Photo de l’installation à la Galerie Duplex, Toulouse, 2008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Photo 06 : Le oe dans l'autre, 2008, Module généré et transféré en vidéo, boucle de 5mn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Photo 07 : page internet https://julie.incident.net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Photo 08 : page internet http://julie.incident.net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