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Sarasa UI SC" w:hAnsi="Sarasa UI SC" w:eastAsia="Sarasa UI SC"/>
          <w:b/>
          <w:color w:val="0B2545"/>
          <w:sz w:val="46"/>
        </w:rPr>
        <w:t>青川市住房公积金提取与贷款办事指南</w:t>
      </w:r>
    </w:p>
    <w:p>
      <w:pPr>
        <w:spacing w:after="280"/>
      </w:pPr>
      <w:r>
        <w:rPr>
          <w:rFonts w:ascii="Sarasa UI SC" w:hAnsi="Sarasa UI SC" w:eastAsia="Sarasa UI SC"/>
          <w:b w:val="0"/>
          <w:color w:val="555555"/>
          <w:sz w:val="21"/>
        </w:rPr>
        <w:t>文件编号 QC-GJJ-2027-02 | 2027 年 1 月 1 日起施行 | 虚构测试资料</w:t>
      </w:r>
    </w:p>
    <w:p>
      <w:pPr>
        <w:pStyle w:val="Heading1"/>
      </w:pPr>
      <w:r>
        <w:t>一、缴存</w:t>
      </w:r>
    </w:p>
    <w:p>
      <w:r>
        <w:t>单位和职工的住房公积金缴存比例均不得低于 5%、不得高于 12%，单位与个人执行相同比例。缴存比例每年可以调整一次，调整时间为每年 7 月，调整后从当年 7 月 1 日起执行。</w:t>
      </w:r>
    </w:p>
    <w:p>
      <w:r>
        <w:t>缴存基数为职工本人上一年度月平均工资，上限为青川市上一年度职工月平均社会平均工资的 3 倍，2027 年度上限为 30600 元；下限为本市最低工资标准，2027 年度为 2360 元。缴存基数每年 7 月调整一次，与缴存比例的调整时间一致。</w:t>
      </w:r>
    </w:p>
    <w:p>
      <w:r>
        <w:t>新设立单位应当自设立之日起 30 日内办理缴存登记，并于登记之日起 20 日内为职工办理账户设立。新招用职工应当自用工之日起 30 日内办理缴存登记。逾期办理的，由公积金管理中心责令限期办理，逾期仍不办理的可申请人民法院强制执行。</w:t>
      </w:r>
    </w:p>
    <w:p>
      <w:r>
        <w:br w:type="page"/>
      </w:r>
    </w:p>
    <w:p>
      <w:pPr>
        <w:pStyle w:val="Heading1"/>
      </w:pPr>
      <w:r>
        <w:t>二、提取</w:t>
      </w:r>
    </w:p>
    <w:p>
      <w:r>
        <w:t>可以提取住房公积金的情形包括：购买、建造、翻建、大修自住住房；偿还自住住房贷款本息；租赁自住住房；离休、退休；完全丧失劳动能力并与单位终止劳动关系；出境定居；本人或配偶、父母、子女患重大疾病造成家庭生活严重困难。</w:t>
      </w:r>
    </w:p>
    <w:p>
      <w:r>
        <w:t>购房提取应当自购房之日起 2 年内首次申请，逾期不再受理首次提取。这里的购房之日，商品房以购房合同网签备案日期为准，二手房以不动产权证登记日期为准。注意这个 2 年期限与医保手工报销的 12 个月、养犬登记的 30 日都不相同。</w:t>
      </w:r>
    </w:p>
    <w:p>
      <w:r>
        <w:t>租房提取每年办理一次，无需提供租赁发票，按定额提取，每月提取限额 1200 元、每年最高 14400 元。2026 年度租房提取年度限额为 12000 元，该标准自 2027 年 1 月 1 日起提高至 14400 元，12000 元已经废止。</w:t>
      </w:r>
    </w:p>
    <w:p>
      <w:pPr>
        <w:pStyle w:val="Heading2"/>
      </w:pPr>
      <w:r>
        <w:t>提取材料清单</w:t>
      </w:r>
    </w:p>
    <w:p>
      <w:r>
        <w:t>购房提取：身份证、购房合同或不动产权证、全额购房发票、本人银行卡。租房提取：身份证、本人银行卡，无需租赁合同与发票。重大疾病提取：身份证、二级以上医院诊断证明、医保结算单、亲属关系证明。</w:t>
      </w:r>
    </w:p>
    <w:p>
      <w:r>
        <w:br w:type="page"/>
      </w:r>
    </w:p>
    <w:p>
      <w:pPr>
        <w:pStyle w:val="Heading1"/>
      </w:pPr>
      <w:r>
        <w:t>三、贷款</w:t>
      </w:r>
    </w:p>
    <w:p>
      <w:r>
        <w:t>申请公积金贷款须连续足额缴存满 6 个月。贷款额度上限为：单人申请 60 万元，夫妻双方共同申请 100 万元。同时不得超过账户余额的 15 倍，也不得超过购房总价扣除首付款后的金额。三个条件取最低值。</w:t>
      </w:r>
    </w:p>
    <w:p>
      <w:r>
        <w:t>首套房最低首付比例 20%，二套房最低首付比例 30%，第三套及以上不予贷款。贷款期限最长 30 年，且借款人年龄与贷款期限之和不得超过法定退休年龄后 5 年。</w:t>
      </w:r>
    </w:p>
    <w:p>
      <w:r>
        <w:t>2027 年公积金贷款利率：五年以下（含）年利率 2.35%，五年以上年利率 2.85%。二套房贷款利率按同期首套房利率的 1.1 倍执行。提前还款不收违约金，但需在还款日前 15 个工作日提出申请。</w:t>
      </w:r>
    </w:p>
    <w:p>
      <w:pPr>
        <w:pStyle w:val="Heading2"/>
      </w:pPr>
      <w:r>
        <w:t>不予贷款的情形</w:t>
      </w:r>
    </w:p>
    <w:p>
      <w:r>
        <w:t>已有两笔公积金贷款未结清的、缴存不足 6 个月的、购买非自住商业用房的、征信存在连续三期或累计六期逾期的，均不予贷款。商转公业务暂不受理。</w:t>
      </w:r>
    </w:p>
    <w:p>
      <w:r>
        <w:br w:type="page"/>
      </w:r>
    </w:p>
    <w:p>
      <w:pPr>
        <w:pStyle w:val="Heading1"/>
      </w:pPr>
      <w:r>
        <w:t>四、办理时限与渠道</w:t>
      </w:r>
    </w:p>
    <w:p>
      <w:r>
        <w:t>提取业务材料齐全的，自受理之日起 3 个工作日内审核完毕并划转到账。贷款业务自受理之日起 10 个工作日内完成审批。提取的 3 个工作日与《和风苑社区物业服务规范》中的投诉答复 3 个工作日数值相同但事项无关，回答时须明确说明是哪一项业务的时限。</w:t>
      </w:r>
    </w:p>
    <w:p>
      <w:r>
        <w:t>线上办理渠道为青川市住房公积金 App 与市政务服务网，线下办理渠道为各区公积金管理部服务大厅，办公时间为工作日 9:00—17:00。线上可办理的业务包括：租房提取、离退休提取、账户查询、还贷提取签约。购房提取与重大疾病提取须到窗口办理。</w:t>
      </w:r>
    </w:p>
    <w:p>
      <w:r>
        <w:t>咨询电话 12329，全市统一。对办理结果有异议的，可在收到告知书之日起 30 日内申请复核，管理中心 15 个工作日内答复。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96" w:right="1440" w:bottom="1224" w:left="1440" w:header="648" w:footer="64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Sarasa UI SC" w:hAnsi="Sarasa UI SC" w:eastAsia="Sarasa UI SC"/>
        <w:b w:val="0"/>
        <w:color w:val="777777"/>
        <w:sz w:val="18"/>
      </w:rPr>
      <w:t>Common Agent Knowledge Fixture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arasa UI SC" w:hAnsi="Sarasa UI SC" w:eastAsia="Sarasa UI SC"/>
        <w:b w:val="0"/>
        <w:color w:val="666666"/>
        <w:sz w:val="18"/>
      </w:rPr>
      <w:t>青川市住房公积金办事指南 | 虚构测试资料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00" w:lineRule="auto"/>
    </w:pPr>
    <w:rPr>
      <w:rFonts w:ascii="Sarasa UI SC" w:hAnsi="Sarasa UI SC" w:eastAsia="Sarasa UI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Sarasa UI SC" w:hAnsi="Sarasa UI SC" w:eastAsia="Sarasa UI S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Sarasa UI SC" w:hAnsi="Sarasa UI SC" w:eastAsia="Sarasa UI SC"/>
      <w:b/>
      <w:bCs/>
      <w:color w:val="1F4D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青川市住房公积金提取与贷款办事指南（虚构测试资料）</dc:title>
  <dc:subject>Common Agent RAGFlow DOCX 召回测试</dc:subject>
  <dc:creator>Common Agent Test Fixture</dc:creator>
  <cp:keywords>fictional,ragflow,retrieval,housing-fund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