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Sarasa UI SC" w:hAnsi="Sarasa UI SC" w:eastAsia="Sarasa UI SC"/>
          <w:b/>
          <w:color w:val="0B2545"/>
          <w:sz w:val="50"/>
        </w:rPr>
        <w:t>北辰咖啡试点验收记录</w:t>
      </w:r>
    </w:p>
    <w:p>
      <w:pPr>
        <w:spacing w:after="280"/>
      </w:pPr>
      <w:r>
        <w:rPr>
          <w:rFonts w:ascii="Sarasa UI SC" w:hAnsi="Sarasa UI SC" w:eastAsia="Sarasa UI SC"/>
          <w:b w:val="0"/>
          <w:color w:val="555555"/>
          <w:sz w:val="21"/>
        </w:rPr>
        <w:t>文档编号 NP-ACC-2027-06 | 正式版 1.0 | 全部信息均为虚构</w:t>
      </w:r>
    </w:p>
    <w:p>
      <w:pPr>
        <w:pStyle w:val="Heading1"/>
      </w:pPr>
      <w:r>
        <w:t>1. 项目背景与部署范围</w:t>
      </w:r>
    </w:p>
    <w:p>
      <w:r>
        <w:t>北辰咖啡是北极星计划的首个验收客户。本轮实际验收杭州和苏州共 12 家门店，每城 6 家，部署 36 台门店终端。产品蓝图中的首批规划是杭州、苏州、宁波共 18 家；宁波 6 家在观察期后再扩容，因此规划数和本次验收数并不矛盾。</w:t>
      </w:r>
    </w:p>
    <w:p>
      <w:r>
        <w:t>试运行开始于 2027 年 5 月 20 日，业务验收会议在 2027 年 6 月 2 日举行，正式上线日期为 2027 年 6 月 9 日。项目经理是周禾，业务验收负责人是顾宁，知识运营负责人是沈清。</w:t>
      </w:r>
    </w:p>
    <w:p>
      <w:r>
        <w:t>门店使用统一 Web 入口，不安装桌面客户端。终端仅保存短期会话 Cookie，不落地知识文档或模型凭据。门店离线时显示不可用，不用本地旧答案冒充在线检索结果。</w:t>
      </w:r>
    </w:p>
    <w:p>
      <w:r>
        <w:br w:type="page"/>
      </w:r>
    </w:p>
    <w:p>
      <w:pPr>
        <w:pStyle w:val="Heading1"/>
      </w:pPr>
      <w:r>
        <w:t>2. 语料与测试方法</w:t>
      </w:r>
    </w:p>
    <w:p>
      <w:r>
        <w:t>验收知识库包含 146 份制度、92 份运营公告和 38 份设备指引，共 276 份有效文档。知识团队准备 320 个问题，其中精确事实 120 个、语义改写 80 个、跨文档 70 个、冲突消解 30 个、无答案 20 个。问题在评测前冻结，实施团队不能通过修改问题迁就结果。</w:t>
      </w:r>
    </w:p>
    <w:p>
      <w:r>
        <w:t>检索指标使用 Top-5 命中率，要求相关来源至少有一个进入前五。回答指标单独计算引用可追溯率，要求引用能够回到正确文档和相关片段。模型措辞不同不直接判错，但数字、日期、角色和正式规则必须与标准答案一致。</w:t>
      </w:r>
    </w:p>
    <w:p>
      <w:r>
        <w:t>每类问题至少由两名评审独立打分，分歧由顾宁裁决。无答案问题若编造具体金额、人员或能力，直接记为失败；仅回答“资料不足”且指出缺少哪类信息才算通过。</w:t>
      </w:r>
    </w:p>
    <w:p>
      <w:pPr>
        <w:pStyle w:val="Heading2"/>
      </w:pPr>
      <w:r>
        <w:t>评分边界</w:t>
      </w:r>
    </w:p>
    <w:p>
      <w:r>
        <w:t>评测只使用冻结问题和正式知识库。直接查看源文件、把标准答案放入系统提示词、使用Mock 检索或只校验日志都不算用户路径验收。</w:t>
      </w:r>
    </w:p>
    <w:p>
      <w:r>
        <w:br w:type="page"/>
      </w:r>
    </w:p>
    <w:p>
      <w:pPr>
        <w:pStyle w:val="Heading1"/>
      </w:pPr>
      <w:r>
        <w:t>3. 验收结果与性能</w:t>
      </w:r>
    </w:p>
    <w:p>
      <w:r>
        <w:t>最终 Top-5 检索命中率为 92.4%，高于 90% 门槛；引用可追溯率为 98.0%，高于 97% 门槛。92.4% 不是引用率，98.0% 也不是答案准确率。跨文档问题完整回答率为 88.6%，无答案拒答正确率为 95.0%。</w:t>
      </w:r>
    </w:p>
    <w:p>
      <w:r>
        <w:t>常规问答端到端 P50 为 1.4 秒，P95 为 2.8 秒，低于产品蓝图 3.5 秒门槛。包含三份以上来源的跨文档问题 P95 为 4.6 秒，作为单独观察指标，不与常规问答门槛混用。连续 60 分钟运行未出现 Worker 重启或 RAGFlow OOM。</w:t>
      </w:r>
    </w:p>
    <w:p>
      <w:r>
        <w:t>36 台终端同时发起首轮问答时，成功率为 100%；第二轮追问成功率为 99.7%，一条请求因门店网络中断失败，重试后成功。审计抽样 50 条，租户、操作者、资源和结果字段完整，正文未进入审计元数据。</w:t>
      </w:r>
    </w:p>
    <w:p>
      <w:pPr>
        <w:pStyle w:val="Heading2"/>
      </w:pPr>
      <w:r>
        <w:t>失败定位</w:t>
      </w:r>
    </w:p>
    <w:p>
      <w:r>
        <w:t>未召回正确文档属于检索失败；文档已召回但回答混淆数字属于生成失败；引用指向错误租户属于安全失败。三类问题必须分别记录，不能只用总分掩盖。</w:t>
      </w:r>
    </w:p>
    <w:p>
      <w:r>
        <w:br w:type="page"/>
      </w:r>
    </w:p>
    <w:p>
      <w:pPr>
        <w:pStyle w:val="Heading1"/>
      </w:pPr>
      <w:r>
        <w:t>4. 缺陷、范围外事项与结论</w:t>
      </w:r>
    </w:p>
    <w:p>
      <w:r>
        <w:t>验收保留两个非阻断问题：较长 PDF 首次解析时间波动较大；历史会话标题仅取第一条消息，暂不支持用户重命名。两项均不影响事实召回和引用，分别进入 2027 年 6 月与 7 月迭代。</w:t>
      </w:r>
    </w:p>
    <w:p>
      <w:r>
        <w:t>支付结算、会员积分写入、自动采购、排班决策和硬件远程控制不在本次范围。验收通过不能被解释为平台具备微信退款或远程重启咖啡机能力。需要这些能力时必须重新做产品和安全评审。</w:t>
      </w:r>
    </w:p>
    <w:p>
      <w:r>
        <w:t>结论为有条件通过：12 家门店于 2027 年 6 月 9 日上线，观察期 14 天；剩余宁波 6 家在观察期无 P0/P1 且行动项完成后扩容。本记录的唯一检索标记是 ACC-HARBOR-946。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24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sa UI SC" w:hAnsi="Sarasa UI SC" w:eastAsia="Sarasa UI SC"/>
        <w:b w:val="0"/>
        <w:color w:val="777777"/>
        <w:sz w:val="18"/>
      </w:rPr>
      <w:t>Common Agent Knowledge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arasa UI SC" w:hAnsi="Sarasa UI SC" w:eastAsia="Sarasa UI SC"/>
        <w:b w:val="0"/>
        <w:color w:val="666666"/>
        <w:sz w:val="18"/>
      </w:rPr>
      <w:t>北辰咖啡试点验收记录 | 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arasa UI SC" w:hAnsi="Sarasa UI SC" w:eastAsia="Sarasa U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arasa UI SC" w:hAnsi="Sarasa UI SC" w:eastAsia="Sarasa U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arasa UI SC" w:hAnsi="Sarasa UI SC" w:eastAsia="Sarasa UI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北辰咖啡试点验收记录（虚构测试资料）</dc:title>
  <dc:subject>Common Agent RAGFlow DOCX 召回测试</dc:subject>
  <dc:creator>Common Agent Test Fixture</dc:creator>
  <cp:keywords>fictional,ragflow,retrieval,acceptance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