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highlight w:val="yellow"/>
          <w:highlightCs w:val="yellow"/>
        </w:rPr>
        <w:t xml:space="preserve">[Полное название школы]</w:t>
      </w:r>
    </w:p>
    <w:p/>
    <w:p/>
    <w:p/>
    <w:p/>
    <w:p/>
    <w:p/>
    <w:p/>
    <w:p/>
    <w:p>
      <w:pPr>
        <w:ind w:firstLine="0"/>
        <w:jc w:val="center"/>
      </w:pPr>
      <w:r>
        <w:rPr>
          <w:sz w:val="32"/>
          <w:szCs w:val="32"/>
        </w:rPr>
        <w:t xml:space="preserve">Индивидуальный проект</w:t>
      </w:r>
    </w:p>
    <w:p/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Тема: </w:t>
      </w:r>
    </w:p>
    <w:p>
      <w:pPr>
        <w:ind w:firstLine="0"/>
        <w:jc w:val="center"/>
      </w:pPr>
      <w:r>
        <w:rPr>
          <w:b/>
          <w:bCs/>
          <w:sz w:val="36"/>
          <w:szCs w:val="36"/>
        </w:rPr>
        <w:t xml:space="preserve">Библейские мотивы в поэзии Анны Ахматовой</w:t>
      </w: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(на материале поэмы «Реквием»)</w:t>
      </w:r>
    </w:p>
    <w:p/>
    <w:p/>
    <w:p/>
    <w:p/>
    <w:p/>
    <w:p/>
    <w:p>
      <w:pPr>
        <w:ind w:left="5103" w:firstLine="0"/>
      </w:pPr>
      <w:r>
        <w:rPr>
          <w:b/>
          <w:bCs/>
        </w:rPr>
        <w:t xml:space="preserve">Выполнила:</w:t>
      </w:r>
    </w:p>
    <w:p>
      <w:pPr>
        <w:ind w:left="5103" w:firstLine="0"/>
      </w:pPr>
      <w:r>
        <w:t xml:space="preserve">ученица </w:t>
      </w:r>
      <w:r>
        <w:rPr>
          <w:highlight w:val="yellow"/>
          <w:highlightCs w:val="yellow"/>
        </w:rPr>
        <w:t xml:space="preserve">__</w:t>
      </w:r>
      <w:r>
        <w:t xml:space="preserve"> класса</w:t>
      </w:r>
    </w:p>
    <w:p>
      <w:pPr>
        <w:ind w:left="5103" w:firstLine="0"/>
      </w:pPr>
      <w:r>
        <w:t xml:space="preserve">Курдакова Ксения Алексеевна</w:t>
      </w:r>
    </w:p>
    <w:p>
      <w:pPr>
        <w:ind w:left="5103" w:firstLine="0"/>
      </w:pPr>
    </w:p>
    <w:p>
      <w:pPr>
        <w:ind w:left="5103" w:firstLine="0"/>
      </w:pPr>
      <w:r>
        <w:rPr>
          <w:b/>
          <w:bCs/>
        </w:rPr>
        <w:t xml:space="preserve">Руководитель:</w:t>
      </w:r>
    </w:p>
    <w:p>
      <w:pPr>
        <w:ind w:left="5103" w:firstLine="0"/>
      </w:pPr>
      <w:r>
        <w:rPr>
          <w:highlight w:val="yellow"/>
          <w:highlightCs w:val="yellow"/>
        </w:rPr>
        <w:t xml:space="preserve">[ФИО руководителя]</w:t>
      </w:r>
    </w:p>
    <w:p>
      <w:pPr>
        <w:ind w:left="5103" w:firstLine="0"/>
      </w:pPr>
      <w:r>
        <w:rPr>
          <w:highlight w:val="yellow"/>
          <w:highlightCs w:val="yellow"/>
        </w:rPr>
        <w:t xml:space="preserve">[должность]</w:t>
      </w:r>
    </w:p>
    <w:p/>
    <w:p/>
    <w:p/>
    <w:p/>
    <w:p/>
    <w:p>
      <w:pPr>
        <w:ind w:firstLine="0"/>
        <w:jc w:val="center"/>
      </w:pPr>
      <w:r>
        <w:rPr>
          <w:highlight w:val="yellow"/>
          <w:highlightCs w:val="yellow"/>
        </w:rPr>
        <w:t xml:space="preserve">[Город]</w:t>
      </w:r>
      <w:r>
        <w:t xml:space="preserve">,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jc w:val="both"/>
      </w:pPr>
      <w:r>
        <w:t xml:space="preserve">«И если когда-нибудь в этой стране / Воздвигнуть задумают памятник мне...» Она ставит условие: памятник должен стоять не там, где она писала стихи, а «здесь, где стояла я триста часов». Библейский мотив камня здесь достигает финала. Камень горя (тюремная стена) должен стать камнем памяти. «И голубь тюремный пусть гулит вдали, / И тихо идут по Неве корабли». Голубь — символ Святого Духа. Но здесь это «тюремный голубь», Дух, запертый в клетке мертвого города. Главное требование Ахматовой к памятнику: «И пусть с неподвижных и бронзовых век, / Как слезы, струится подтаявший снег, / И голубь тюремный...» — чтобы он заставлял проходящих людей «узнавать» эту боль. Памятник Слову должен исцелять историческую травму. Это секулярная (светская) святыня, где поэзия выполняет функцию иконы.</w:t>
      </w:r>
    </w:p>
    <w:p>
      <w:pPr>
        <w:pStyle w:val="Heading1"/>
        <w:pageBreakBefore/>
        <w:jc w:val="center"/>
      </w:pPr>
      <w:r>
        <w:t xml:space="preserve">Заключение</w:t>
      </w:r>
    </w:p>
    <w:p>
      <w:pPr>
        <w:jc w:val="both"/>
      </w:pPr>
      <w:r>
        <w:t xml:space="preserve">В ходе детального анализа поэмы А. А. Ахматовой «Реквием» были сделаны следующие выводы: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Библейский текст как матрица: </w:t>
      </w:r>
      <w:r>
        <w:t xml:space="preserve">Библия для Ахматовой — это не сборник цитат, а универсальная матрица сознания. Она использует евангельские сюжеты не для проповеди, а для того, чтобы назвать зло своим именем. Там, где советский язык предлагает термины «враг народа», «троцкист», «шпион», язык Ахматовой предлагает слова «Голгофа», «Распятие», «Мать».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Трансформация героини: </w:t>
      </w:r>
      <w:r>
        <w:t xml:space="preserve">Лирическая героиня проходит путь от бытовой женщины в очереди до надвременного символа. Совмещая в себе Магдалину, Иоанна и Богородицу, она аккумулирует всю боль мира. Её молчание в финале оказывается громче любого крика.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Отмена Воскресения: </w:t>
      </w:r>
      <w:r>
        <w:t xml:space="preserve">Использование библейского масштаба (Апокалипсис, Страсти) необходимо Ахматовой, чтобы показать масштаб кощунства. В её поэме Христос (сын) не воскресает. Это делает «Реквием» самым страшным и честным текстом о XX веке, обнажая бездну, в которую провалилось государство.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Жанровый синтез: </w:t>
      </w:r>
      <w:r>
        <w:t xml:space="preserve">Поэма функционирует как современный плач, потому что Ахматова синтезировала три традиции: высокую латынь католического реквиема, пронзительную архаику русского фольклора и сакральную вертикаль Библии.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Функция Памятника: </w:t>
      </w:r>
      <w:r>
        <w:t xml:space="preserve">В Эпилоге Ахматова решает проблему исторической памяти. Слово оказывается крепче камня, а поэт берет на себя роль летописца и свидетеля, чей долг — не дать «никому взглянуть» в сторону и пройти мимо.</w:t>
      </w:r>
    </w:p>
    <w:p>
      <w:pPr>
        <w:jc w:val="both"/>
      </w:pPr>
      <w:r>
        <w:t xml:space="preserve">Таким образом, библейские мотивы делают «Реквием» неуязвимым для времени. Политические режимы рушатся, а архетип страдающей Матери остается неизменным. Именно этот духовный фундамент позволяет нам сегодня читать «Реквием» не просто как учебник истории, а как текст, дающий опору в моменты личных и общественных катастроф. Цель работы полностью достигнута.</w:t>
      </w:r>
    </w:p>
    <w:p>
      <w:pPr>
        <w:pStyle w:val="Heading1"/>
        <w:pageBreakBefore/>
        <w:jc w:val="center"/>
      </w:pPr>
      <w:r>
        <w:t xml:space="preserve">Список литературы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Ахматова А. А. Собрание сочинений в 6 томах. — М.: Эллис Лак, 1998–2002.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Библия. Книги Священного Писания Ветхого и Нового Завета (Синодальный перевод).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Жирмунский В. М. Творчество Анны Ахматовой. — Л.: Наука, 1973.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Кихней Л. Г. Поэзия Анны Ахматовой. Тайны ремесла. — М.: Диалог-МГУ, 1997.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Павловский А. И. Анна Ахматова: Жизнь и творчество. — М.: Просвещение, 1991.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Топоров В. Н. Ахматова и Гоголь (О «Реквиеме») // Топоров В. Н. Миф. Ритуал. Символ. Образ: Исследования в области мифопоэтического. — М.: Прогресс-Культура, 1995.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Эткинд Е. Г. Бессмертие памяти. Поэма А. Ахматовой «Реквием» // Там, внутри. О русской поэзии XX века. — СПб.: Максима, 1997.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Хейт А. Анна Ахматова. Поэтическое странствие. Дневники, воспоминания, письма. — М.: Радуга, 1991.</w:t>
      </w:r>
    </w:p>
    <w:p>
      <w:pPr>
        <w:pStyle w:val="Heading1"/>
        <w:pageBreakBefore/>
        <w:jc w:val="center"/>
      </w:pPr>
      <w:r>
        <w:t xml:space="preserve">Приложения</w:t>
      </w:r>
    </w:p>
    <w:p>
      <w:pPr>
        <w:jc w:val="both"/>
      </w:pPr>
      <w:r>
        <w:rPr>
          <w:b/>
          <w:bCs/>
        </w:rPr>
        <w:t xml:space="preserve">Приложение 1. </w:t>
      </w:r>
      <w:r>
        <w:t xml:space="preserve">Инфографика: «Этапы создания и пути к читателю поэмы «Реквием» (1935–1987)».</w:t>
      </w:r>
    </w:p>
    <w:p>
      <w:pPr>
        <w:jc w:val="both"/>
      </w:pPr>
      <w:r>
        <w:rPr>
          <w:b/>
          <w:bCs/>
        </w:rPr>
        <w:t xml:space="preserve">Приложение 2. </w:t>
      </w:r>
      <w:r>
        <w:t xml:space="preserve">Сравнительная таблица: «Канон католического Реквиема vs. Композиция поэмы А. Ахматовой» (с указанием текстовых перекличек).</w:t>
      </w:r>
    </w:p>
    <w:p>
      <w:pPr>
        <w:jc w:val="both"/>
      </w:pPr>
      <w:r>
        <w:rPr>
          <w:b/>
          <w:bCs/>
        </w:rPr>
        <w:t xml:space="preserve">Приложение 3. </w:t>
      </w:r>
      <w:r>
        <w:t xml:space="preserve">Текстовая схема: «Система библейских реминисценций в «Реквиеме»» (столбцы: Глава поэмы — Цитата — Библейский источник — Функция в тексте).</w:t>
      </w:r>
    </w:p>
    <w:p>
      <w:pPr>
        <w:jc w:val="both"/>
      </w:pPr>
      <w:r>
        <w:rPr>
          <w:b/>
          <w:bCs/>
        </w:rPr>
        <w:t xml:space="preserve">Приложение 4. </w:t>
      </w:r>
      <w:r>
        <w:t xml:space="preserve">Визуальный ряд: Репродукция иконы «Распятие с предстоящими» и фотография тюремной очереди 1930-х годов для визуального сопоставления.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ind w:firstLine="70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ind w:firstLin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Библейские мотивы в поэзии Анны Ахматовой</dc:title>
  <dc:creator>Курдакова Ксения Алексеевна</dc:creator>
  <cp:lastModifiedBy>Un-named</cp:lastModifiedBy>
  <cp:revision>1</cp:revision>
  <dcterms:created xsi:type="dcterms:W3CDTF">2026-10-29T19:33:21.729Z</dcterms:created>
  <dcterms:modified xsi:type="dcterms:W3CDTF">2026-10-29T19:33:21.744Z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