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Задание для учебной практики №3.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Тема: Выбор оптимального решения с помощью дерева решений</w:t>
      </w:r>
    </w:p>
    <w:p>
      <w:pPr>
        <w:spacing w:after="80"/>
        <w:jc w:val="both"/>
      </w:pP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Цель работы:</w:t>
      </w:r>
      <w:r>
        <w:rPr>
          <w:rFonts w:ascii="Times New Roman" w:cs="Times New Roman" w:eastAsia="Times New Roman" w:hAnsi="Times New Roman"/>
        </w:rPr>
        <w:t xml:space="preserve"> освоить построение и свёртку деревьев решений, учёт отношения лица, принимающего решение (ЛПР), к риску, байесовский пересмотр вероятностей и оценку стоимости информации, анализ чувствительности решений, а также разработать на языке C# (Windows Forms) программу для построения и анализа деревьев решений.</w:t>
      </w:r>
    </w:p>
    <w:p>
      <w:pPr>
        <w:keepNext/>
        <w:spacing w:after="80" w:before="20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Индивидуальный вариант и защита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Данные, приведённые в тексте задания, — </w:t>
      </w:r>
      <w:r>
        <w:rPr>
          <w:rFonts w:ascii="Times New Roman" w:cs="Times New Roman" w:eastAsia="Times New Roman" w:hAnsi="Times New Roman"/>
          <w:b/>
          <w:bCs/>
        </w:rPr>
        <w:t xml:space="preserve">демонстрационные</w:t>
      </w:r>
      <w:r>
        <w:rPr>
          <w:rFonts w:ascii="Times New Roman" w:cs="Times New Roman" w:eastAsia="Times New Roman" w:hAnsi="Times New Roman"/>
        </w:rPr>
        <w:t xml:space="preserve">: на них отлаживается программа. Расчёты, отчёт и защита выполняются по данным </w:t>
      </w:r>
      <w:r>
        <w:rPr>
          <w:rFonts w:ascii="Times New Roman" w:cs="Times New Roman" w:eastAsia="Times New Roman" w:hAnsi="Times New Roman"/>
          <w:b/>
          <w:bCs/>
        </w:rPr>
        <w:t xml:space="preserve">своего варианта</w:t>
      </w:r>
      <w:r>
        <w:rPr>
          <w:rFonts w:ascii="Times New Roman" w:cs="Times New Roman" w:eastAsia="Times New Roman" w:hAnsi="Times New Roman"/>
        </w:rPr>
        <w:t xml:space="preserve"> (документ «Варианты_Практика_3», номер варианта — номер в списке группы).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Индивидуальные требования варианта (параметры методов, формат файлов, дополнительные графики и т. д.) обязательны и имеют приоритет над текстом задания.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Часть расчётов по своему варианту выполняется письменно в аудитории; защита включает контрольный запуск на новых данных и модификацию программы при преподавателе. Подробнее — в документе «Порядок выполнения и защиты».</w:t>
      </w:r>
    </w:p>
    <w:p>
      <w:pPr>
        <w:keepNext/>
        <w:spacing w:after="80" w:before="20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Задания: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</w:rPr>
        <w:t xml:space="preserve">Задание 1.1: Простое дерево решений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Задача:</w:t>
      </w:r>
      <w:r>
        <w:rPr>
          <w:rFonts w:ascii="Times New Roman" w:cs="Times New Roman" w:eastAsia="Times New Roman" w:hAnsi="Times New Roman"/>
        </w:rPr>
        <w:t xml:space="preserve"> компания решает, запускать ли новый продукт.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  <w:b/>
          <w:bCs/>
          <w:i/>
          <w:iCs/>
        </w:rPr>
        <w:t xml:space="preserve">Данные: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Стоимость запуска: 100 тыс. руб. (вычитается из результата при любом исходе).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Вероятность успеха: 0,6.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Прибыль при успехе: 300 тыс. руб. (без учёта стоимости запуска).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Убыток при неудаче: 50 тыс. руб. (дополнительно к стоимости запуска).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Перед принятием решения можно заказать маркетинговое исследование стоимостью 10 тыс. руб. Его надёжность: P(«благоприятный прогноз» | успех) = 0,8; P(«неблагоприятный прогноз» | неудача) = 0,7.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Отношение ЛПР к риску описывается экспоненциальной функцией полезности U(x) = 1 − e^(−x/R), где R = 200 тыс. руб. — толерантность к риску.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  <w:b/>
          <w:bCs/>
          <w:i/>
          <w:iCs/>
        </w:rPr>
        <w:t xml:space="preserve">Требования: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Построить дерево решений, включая начальный узел «заказать исследование / не заказывать».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Вычислить для каждого решения ожидаемую денежную оценку (EMV) и ожидаемую полезность (EU); для решения «запускать» найти детерминированный эквивалент (CE) и премию за риск.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Определить оптимальное решение по критерию EMV и по критерию EU; объяснить причину расхождения.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Найти точку безразличия (критическую вероятность успеха) аналитически и численно (методом деления отрезка пополам с точностью 0,0001) — отдельно для критериев EMV и EU.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Пересчитать вероятности успеха по формуле Байеса для каждого результата исследования. Вычислить ожидаемую ценность выборочной информации (EVSI), ожидаемую ценность совершенной информации (EVPI) и максимальную цену, которую имеет смысл заплатить за исследование.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Численно найти критическое значение толерантности к риску R*, при котором решение «запускать» сменяется на «не запускать» (с точностью 0,01 тыс. руб.).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</w:rPr>
        <w:t xml:space="preserve">Задание 1.2: Дерево с несколькими решениями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Задача:</w:t>
      </w:r>
      <w:r>
        <w:rPr>
          <w:rFonts w:ascii="Times New Roman" w:cs="Times New Roman" w:eastAsia="Times New Roman" w:hAnsi="Times New Roman"/>
        </w:rPr>
        <w:t xml:space="preserve"> выбор стратегии развития компании.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  <w:b/>
          <w:bCs/>
          <w:i/>
          <w:iCs/>
        </w:rPr>
        <w:t xml:space="preserve">Варианты: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8"/>
        <w:gridCol w:w="2200"/>
        <w:gridCol w:w="2800"/>
        <w:gridCol w:w="2000"/>
      </w:tblGrid>
      <w:tr>
        <w:trPr>
          <w:tblHeader/>
        </w:trPr>
        <w:tc>
          <w:tcPr>
            <w:tcW w:type="dxa" w:w="2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Стратегия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Инвестиции, тыс. руб.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Чистая прибыль при успехе, тыс. руб.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Вероятность успеха</w:t>
            </w:r>
          </w:p>
        </w:tc>
      </w:tr>
      <w:tr>
        <w:trPr>
          <w:tblHeader w:val="false"/>
        </w:trPr>
        <w:tc>
          <w:tcPr>
            <w:tcW w:type="dxa" w:w="2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Консервативная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50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80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0,8</w:t>
            </w:r>
          </w:p>
        </w:tc>
      </w:tr>
      <w:tr>
        <w:trPr>
          <w:tblHeader w:val="false"/>
        </w:trPr>
        <w:tc>
          <w:tcPr>
            <w:tcW w:type="dxa" w:w="2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Умеренная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150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0,6</w:t>
            </w:r>
          </w:p>
        </w:tc>
      </w:tr>
      <w:tr>
        <w:trPr>
          <w:tblHeader w:val="false"/>
        </w:trPr>
        <w:tc>
          <w:tcPr>
            <w:tcW w:type="dxa" w:w="2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Агрессивная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300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0,4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При неудаче инвестиции теряются полностью.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Бюджет компании — 200 тыс. руб. Допускается одновременная реализация нескольких стратегий, если их суммарные инвестиции не превышают бюджет; исходы разных стратегий независимы.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  <w:b/>
          <w:bCs/>
          <w:i/>
          <w:iCs/>
        </w:rPr>
        <w:t xml:space="preserve">Требования: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Построить полное дерево решений, включая все допустимые по бюджету комбинации стратегий (для комбинации — все сочетания исходов).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Вычислить для каждой стратегии и комбинации ожидаемую полезность (EMV), дисперсию, среднеквадратическое отклонение, коэффициент вариации и вероятность убытка.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Определить оптимальную стратегию по критерию EMV и по критерию «среднее — риск» (EMV − k·σ при k = 0,5); сравнить результаты в сводной таблице.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Провести анализ чувствительности: (а) найти критические вероятности успеха, при которых умеренная и агрессивная стратегии становятся лучше консервативной; (б) построить диаграмму «торнадо» при изменении каждого параметра на ±20%; (в) построить двухфакторную карту областей оптимальности на плоскости (p умеренной, p агрессивной) ∈ [0; 1]², раскрасив каждую точку по оптимальной стратегии.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</w:rPr>
        <w:t xml:space="preserve">Задание 1.3: Дерево с последовательными решениями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Задача:</w:t>
      </w:r>
      <w:r>
        <w:rPr>
          <w:rFonts w:ascii="Times New Roman" w:cs="Times New Roman" w:eastAsia="Times New Roman" w:hAnsi="Times New Roman"/>
        </w:rPr>
        <w:t xml:space="preserve"> планирование производства.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  <w:b/>
          <w:bCs/>
          <w:i/>
          <w:iCs/>
        </w:rPr>
        <w:t xml:space="preserve">Этапы:</w:t>
      </w:r>
    </w:p>
    <w:p>
      <w:pPr>
        <w:pStyle w:val="ListParagraph"/>
        <w:numPr>
          <w:ilvl w:val="0"/>
          <w:numId w:val="5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Решение о проведении пробных продаж (тест рынка) стоимостью 6 тыс. руб. Результат теста — прогноз спроса: «низкий», «средний» или «высокий».</w:t>
      </w:r>
    </w:p>
    <w:p>
      <w:pPr>
        <w:pStyle w:val="ListParagraph"/>
        <w:numPr>
          <w:ilvl w:val="0"/>
          <w:numId w:val="5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Решение о размере производства (малое/среднее/большое).</w:t>
      </w:r>
    </w:p>
    <w:p>
      <w:pPr>
        <w:pStyle w:val="ListParagraph"/>
        <w:numPr>
          <w:ilvl w:val="0"/>
          <w:numId w:val="5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Решение о маркетинге (низкий/высокий бюджет).</w:t>
      </w:r>
    </w:p>
    <w:p>
      <w:pPr>
        <w:pStyle w:val="ListParagraph"/>
        <w:numPr>
          <w:ilvl w:val="0"/>
          <w:numId w:val="5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Случайные факторы (спрос: низкий/средний/высокий).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  <w:b/>
          <w:bCs/>
          <w:i/>
          <w:iCs/>
        </w:rPr>
        <w:t xml:space="preserve">Данные: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Стоимость производства: 20/40/60 тыс. руб. (малое/среднее/большое).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Стоимость маркетинга: 10/20 тыс. руб. (низкий/высокий бюджет).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Вероятности спроса: 0,3/0,5/0,2 (низкий/средний/высокий).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Прибыль = выручка − стоимость производства − стоимость маркетинга (− стоимость теста, если он проводился). Выручка задана таблицей: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8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2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Размер производства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Маркетинг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Спрос низкий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Спрос средний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Спрос высокий</w:t>
            </w:r>
          </w:p>
        </w:tc>
      </w:tr>
      <w:tr>
        <w:trPr>
          <w:tblHeader w:val="false"/>
        </w:trPr>
        <w:tc>
          <w:tcPr>
            <w:tcW w:type="dxa" w:w="2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Малое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Низкий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50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55</w:t>
            </w:r>
          </w:p>
        </w:tc>
      </w:tr>
      <w:tr>
        <w:trPr>
          <w:tblHeader w:val="false"/>
        </w:trPr>
        <w:tc>
          <w:tcPr>
            <w:tcW w:type="dxa" w:w="2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Малое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Высокий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45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58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62</w:t>
            </w:r>
          </w:p>
        </w:tc>
      </w:tr>
      <w:tr>
        <w:trPr>
          <w:tblHeader w:val="false"/>
        </w:trPr>
        <w:tc>
          <w:tcPr>
            <w:tcW w:type="dxa" w:w="2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Среднее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Низкий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35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75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95</w:t>
            </w:r>
          </w:p>
        </w:tc>
      </w:tr>
      <w:tr>
        <w:trPr>
          <w:tblHeader w:val="false"/>
        </w:trPr>
        <w:tc>
          <w:tcPr>
            <w:tcW w:type="dxa" w:w="2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Среднее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Высокий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42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88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112</w:t>
            </w:r>
          </w:p>
        </w:tc>
      </w:tr>
      <w:tr>
        <w:trPr>
          <w:tblHeader w:val="false"/>
        </w:trPr>
        <w:tc>
          <w:tcPr>
            <w:tcW w:type="dxa" w:w="2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Большое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Низкий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30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85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150</w:t>
            </w:r>
          </w:p>
        </w:tc>
      </w:tr>
      <w:tr>
        <w:trPr>
          <w:tblHeader w:val="false"/>
        </w:trPr>
        <w:tc>
          <w:tcPr>
            <w:tcW w:type="dxa" w:w="2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Большое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Высокий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38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175</w:t>
            </w:r>
          </w:p>
        </w:tc>
      </w:tr>
    </w:tbl>
    <w:p>
      <w:pPr>
        <w:spacing w:after="60"/>
      </w:pPr>
    </w:p>
    <w:p>
      <w:pPr>
        <w:spacing w:after="80"/>
        <w:jc w:val="both"/>
      </w:pPr>
      <w:r>
        <w:rPr>
          <w:rFonts w:ascii="Times New Roman" w:cs="Times New Roman" w:eastAsia="Times New Roman" w:hAnsi="Times New Roman"/>
        </w:rPr>
        <w:t xml:space="preserve">Надёжность теста рынка — вероятности P(прогноз | фактический спрос):</w:t>
      </w: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8"/>
        <w:gridCol w:w="2333"/>
        <w:gridCol w:w="2333"/>
        <w:gridCol w:w="2334"/>
      </w:tblGrid>
      <w:tr>
        <w:trPr>
          <w:tblHeader/>
        </w:trPr>
        <w:tc>
          <w:tcPr>
            <w:tcW w:type="dxa" w:w="2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Фактический спрос</w:t>
            </w:r>
          </w:p>
        </w:tc>
        <w:tc>
          <w:tcPr>
            <w:tcW w:type="dxa" w:w="2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Прогноз «низкий»</w:t>
            </w:r>
          </w:p>
        </w:tc>
        <w:tc>
          <w:tcPr>
            <w:tcW w:type="dxa" w:w="2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Прогноз «средний»</w:t>
            </w:r>
          </w:p>
        </w:tc>
        <w:tc>
          <w:tcPr>
            <w:tcW w:type="dxa" w:w="23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Прогноз «высокий»</w:t>
            </w:r>
          </w:p>
        </w:tc>
      </w:tr>
      <w:tr>
        <w:trPr>
          <w:tblHeader w:val="false"/>
        </w:trPr>
        <w:tc>
          <w:tcPr>
            <w:tcW w:type="dxa" w:w="2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Низкий</w:t>
            </w:r>
          </w:p>
        </w:tc>
        <w:tc>
          <w:tcPr>
            <w:tcW w:type="dxa" w:w="2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0,70</w:t>
            </w:r>
          </w:p>
        </w:tc>
        <w:tc>
          <w:tcPr>
            <w:tcW w:type="dxa" w:w="2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0,20</w:t>
            </w:r>
          </w:p>
        </w:tc>
        <w:tc>
          <w:tcPr>
            <w:tcW w:type="dxa" w:w="23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0,10</w:t>
            </w:r>
          </w:p>
        </w:tc>
      </w:tr>
      <w:tr>
        <w:trPr>
          <w:tblHeader w:val="false"/>
        </w:trPr>
        <w:tc>
          <w:tcPr>
            <w:tcW w:type="dxa" w:w="2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Средний</w:t>
            </w:r>
          </w:p>
        </w:tc>
        <w:tc>
          <w:tcPr>
            <w:tcW w:type="dxa" w:w="2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0,15</w:t>
            </w:r>
          </w:p>
        </w:tc>
        <w:tc>
          <w:tcPr>
            <w:tcW w:type="dxa" w:w="2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0,70</w:t>
            </w:r>
          </w:p>
        </w:tc>
        <w:tc>
          <w:tcPr>
            <w:tcW w:type="dxa" w:w="23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0,15</w:t>
            </w:r>
          </w:p>
        </w:tc>
      </w:tr>
      <w:tr>
        <w:trPr>
          <w:tblHeader w:val="false"/>
        </w:trPr>
        <w:tc>
          <w:tcPr>
            <w:tcW w:type="dxa" w:w="2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Высокий</w:t>
            </w:r>
          </w:p>
        </w:tc>
        <w:tc>
          <w:tcPr>
            <w:tcW w:type="dxa" w:w="2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0,10</w:t>
            </w:r>
          </w:p>
        </w:tc>
        <w:tc>
          <w:tcPr>
            <w:tcW w:type="dxa" w:w="23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0,20</w:t>
            </w:r>
          </w:p>
        </w:tc>
        <w:tc>
          <w:tcPr>
            <w:tcW w:type="dxa" w:w="23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0,70</w:t>
            </w:r>
          </w:p>
        </w:tc>
      </w:tr>
    </w:tbl>
    <w:p>
      <w:pPr>
        <w:spacing w:after="60"/>
      </w:pP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  <w:b/>
          <w:bCs/>
          <w:i/>
          <w:iCs/>
        </w:rPr>
        <w:t xml:space="preserve">Требования:</w:t>
      </w:r>
    </w:p>
    <w:p>
      <w:pPr>
        <w:pStyle w:val="ListParagraph"/>
        <w:numPr>
          <w:ilvl w:val="0"/>
          <w:numId w:val="6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Построить дерево с последовательными решениями (тест → прогноз → размер → маркетинг → спрос); подсчитать число концевых вершин.</w:t>
      </w:r>
    </w:p>
    <w:p>
      <w:pPr>
        <w:pStyle w:val="ListParagraph"/>
        <w:numPr>
          <w:ilvl w:val="0"/>
          <w:numId w:val="6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Вычислить ожидаемую полезность (EMV) и среднеквадратическое отклонение прибыли для каждой комбинации «размер — маркетинг».</w:t>
      </w:r>
    </w:p>
    <w:p>
      <w:pPr>
        <w:pStyle w:val="ListParagraph"/>
        <w:numPr>
          <w:ilvl w:val="0"/>
          <w:numId w:val="6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Найти оптимальную последовательность решений методом обратной индукции без теста и с тестом; для варианта с тестом указать оптимальное решение при каждом результате теста (апостериорные вероятности спроса вычислить по формуле Байеса).</w:t>
      </w:r>
    </w:p>
    <w:p>
      <w:pPr>
        <w:pStyle w:val="ListParagraph"/>
        <w:numPr>
          <w:ilvl w:val="0"/>
          <w:numId w:val="6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Определить цену информации о спросе: EVPI, EVSI теста рынка, эффективность информации (EVSI/EVPI); ответить, стоит ли проводить тест за 6 тыс. руб. и какова его максимальная разумная цена.</w:t>
      </w:r>
    </w:p>
    <w:p>
      <w:pPr>
        <w:pStyle w:val="ListParagraph"/>
        <w:numPr>
          <w:ilvl w:val="0"/>
          <w:numId w:val="6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Считая вероятности спроса неизвестными, определить оптимальные решения по критериям Вальда, Сэвиджа, Гурвица (коэффициент пессимизма 0,6) и Лапласа; сравнить с решением по EMV.</w:t>
      </w:r>
    </w:p>
    <w:p>
      <w:pPr>
        <w:pStyle w:val="ListParagraph"/>
        <w:numPr>
          <w:ilvl w:val="0"/>
          <w:numId w:val="6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Исследовать, как меняется оптимальное решение при изменении вероятности высокого спроса от 0 до 0,5 (вероятность среднего спроса фиксирована и равна 0,5); найти пороговые значения, при которых меняется оптимальная комбинация.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</w:rPr>
        <w:t xml:space="preserve">Задание 1.4: Программная реализация (Windows Forms)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  <w:b/>
          <w:bCs/>
          <w:i/>
          <w:iCs/>
        </w:rPr>
        <w:t xml:space="preserve">Требования:</w:t>
      </w:r>
    </w:p>
    <w:p>
      <w:pPr>
        <w:pStyle w:val="ListParagraph"/>
        <w:numPr>
          <w:ilvl w:val="0"/>
          <w:numId w:val="7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Разработать универсальный редактор дерева решений: TreeView и панель свойств для добавления, удаления и редактирования узлов трёх типов — узел решения, случайный узел, конечный узел (название, вероятность ветви, денежный результат).</w:t>
      </w:r>
    </w:p>
    <w:p>
      <w:pPr>
        <w:pStyle w:val="ListParagraph"/>
        <w:numPr>
          <w:ilvl w:val="0"/>
          <w:numId w:val="7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Реализовать графическое отображение дерева средствами GDI+ (событие Paint, класс Graphics): квадрат — решение, круг — случайный узел, треугольник — исход; подписи вероятностей и значений; оптимальный путь выделяется цветом, отсечённые ветви — перечёркиваются; масштабирование колесом мыши, прокрутка, сохранение изображения в PNG.</w:t>
      </w:r>
    </w:p>
    <w:p>
      <w:pPr>
        <w:pStyle w:val="ListParagraph"/>
        <w:numPr>
          <w:ilvl w:val="0"/>
          <w:numId w:val="7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Реализовать рекурсивный алгоритм свёртки (обратной индукции) для дерева произвольной глубины в двух режимах: по EMV и по ожидаемой полезности (параметр R задаётся пользователем).</w:t>
      </w:r>
    </w:p>
    <w:p>
      <w:pPr>
        <w:pStyle w:val="ListParagraph"/>
        <w:numPr>
          <w:ilvl w:val="0"/>
          <w:numId w:val="7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Реализовать сохранение и загрузку дерева в формате JSON или XML; подготовить файлы с деревьями задач 1.1–1.3.</w:t>
      </w:r>
    </w:p>
    <w:p>
      <w:pPr>
        <w:pStyle w:val="ListParagraph"/>
        <w:numPr>
          <w:ilvl w:val="0"/>
          <w:numId w:val="7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Реализовать модуль анализа чувствительности: пользователь выбирает любой параметр дерева (вероятность или денежный результат), диапазон и шаг; программа строит график EMV альтернатив и отмечает точки смены оптимального решения.</w:t>
      </w:r>
    </w:p>
    <w:p>
      <w:pPr>
        <w:pStyle w:val="ListParagraph"/>
        <w:numPr>
          <w:ilvl w:val="0"/>
          <w:numId w:val="7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Обеспечить проверку корректности и обработку исключений: сумма вероятностей ветвей каждого случайного узла равна 1 (допуск 10⁻⁶), вероятности ∈ [0; 1], у узлов решения и случайных узлов не менее двух ветвей, у конечных узлов нет потомков, нечисловые значения, пустое дерево, ошибки чтения файла. Использовать собственные классы исключений, ErrorProvider и журнал ошибок log.txt.</w:t>
      </w:r>
    </w:p>
    <w:p>
      <w:pPr>
        <w:pStyle w:val="ListParagraph"/>
        <w:numPr>
          <w:ilvl w:val="0"/>
          <w:numId w:val="7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Вычислительную логику вынести в отдельную библиотеку классов; подготовить не менее 10 модульных тестов на деревьях задач 1.1–1.3. Для получения оценки «отлично» — реализовать отмену и повтор действий (Undo/Redo) в редакторе.</w:t>
      </w:r>
    </w:p>
    <w:p>
      <w:pPr>
        <w:keepNext/>
        <w:spacing w:after="80" w:before="20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Аналитическая часть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</w:rPr>
        <w:t xml:space="preserve">Задание 2.1: Анализ чувствительности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  <w:b/>
          <w:bCs/>
          <w:i/>
          <w:iCs/>
        </w:rPr>
        <w:t xml:space="preserve">Требования:</w:t>
      </w:r>
    </w:p>
    <w:p>
      <w:pPr>
        <w:pStyle w:val="ListParagraph"/>
        <w:numPr>
          <w:ilvl w:val="0"/>
          <w:numId w:val="8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Проанализировать, как изменение вероятностей влияет на решение во всех трёх задачах.</w:t>
      </w:r>
    </w:p>
    <w:p>
      <w:pPr>
        <w:pStyle w:val="ListParagraph"/>
        <w:numPr>
          <w:ilvl w:val="0"/>
          <w:numId w:val="8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Определить критические значения параметров аналитически и численно (метод деления отрезка пополам); сравнить результаты.</w:t>
      </w:r>
    </w:p>
    <w:p>
      <w:pPr>
        <w:pStyle w:val="ListParagraph"/>
        <w:numPr>
          <w:ilvl w:val="0"/>
          <w:numId w:val="8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Построить графики чувствительности (линии EMV альтернатив в зависимости от параметра), диаграммы «торнадо» и двухфакторную карту областей оптимальности.</w:t>
      </w:r>
    </w:p>
    <w:p>
      <w:pPr>
        <w:pStyle w:val="ListParagraph"/>
        <w:numPr>
          <w:ilvl w:val="0"/>
          <w:numId w:val="8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Провести анализ методом Монте-Карло: считать вероятности случайными (равномерное отклонение ±0,1 от заданных значений с последующей нормировкой), 10 000 испытаний; определить частоту, с которой каждая альтернатива оказывается оптимальной, построить гистограмму EMV оптимальной стратегии.</w:t>
      </w:r>
    </w:p>
    <w:p>
      <w:pPr>
        <w:pStyle w:val="ListParagraph"/>
        <w:numPr>
          <w:ilvl w:val="0"/>
          <w:numId w:val="8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Сделать выводы об устойчивости решения.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</w:rPr>
        <w:t xml:space="preserve">Задание 2.2: Практические приложения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  <w:b/>
          <w:bCs/>
          <w:i/>
          <w:iCs/>
        </w:rPr>
        <w:t xml:space="preserve">Требования:</w:t>
      </w:r>
    </w:p>
    <w:p>
      <w:pPr>
        <w:pStyle w:val="ListParagraph"/>
        <w:numPr>
          <w:ilvl w:val="0"/>
          <w:numId w:val="9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Привести примеры реальных задач, решаемых деревом решений.</w:t>
      </w:r>
    </w:p>
    <w:p>
      <w:pPr>
        <w:pStyle w:val="ListParagraph"/>
        <w:numPr>
          <w:ilvl w:val="0"/>
          <w:numId w:val="9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Объяснить, когда использовать этот метод.</w:t>
      </w:r>
    </w:p>
    <w:p>
      <w:pPr>
        <w:pStyle w:val="ListParagraph"/>
        <w:numPr>
          <w:ilvl w:val="0"/>
          <w:numId w:val="9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Проанализировать ограничения метода. Оценить рост числа вершин дерева задачи 1.3 при добавлении ещё одного этапа с тремя исходами и экспериментально измерить время свёртки случайно сгенерированных деревьев глубиной от 5 до 15 уровней; построить график.</w:t>
      </w:r>
    </w:p>
    <w:p>
      <w:pPr>
        <w:pStyle w:val="ListParagraph"/>
        <w:numPr>
          <w:ilvl w:val="0"/>
          <w:numId w:val="9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Предложить способы улучшения качества решений (учёт отношения к риску, байесовский пересмотр вероятностей, метод Монте-Карло) и продемонстрировать один из них на двухпериодной постановке задачи 1.2 с дисконтированием денежных потоков по ставке 10% годовых.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</w:rPr>
        <w:t xml:space="preserve">Контрольные вопросы для защиты</w:t>
      </w:r>
    </w:p>
    <w:p>
      <w:pPr>
        <w:pStyle w:val="ListParagraph"/>
        <w:numPr>
          <w:ilvl w:val="0"/>
          <w:numId w:val="10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Чем ожидаемая денежная оценка отличается от ожидаемой полезности? Почему при неприятии риска решения могут не совпадать?</w:t>
      </w:r>
    </w:p>
    <w:p>
      <w:pPr>
        <w:pStyle w:val="ListParagraph"/>
        <w:numPr>
          <w:ilvl w:val="0"/>
          <w:numId w:val="10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Что такое детерминированный эквивалент и премия за риск?</w:t>
      </w:r>
    </w:p>
    <w:p>
      <w:pPr>
        <w:pStyle w:val="ListParagraph"/>
        <w:numPr>
          <w:ilvl w:val="0"/>
          <w:numId w:val="10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Как вычисляются апостериорные вероятности в дереве с исследованием? Почему EVSI не может превышать EVPI?</w:t>
      </w:r>
    </w:p>
    <w:p>
      <w:pPr>
        <w:pStyle w:val="ListParagraph"/>
        <w:numPr>
          <w:ilvl w:val="0"/>
          <w:numId w:val="10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В чём состоит метод обратной индукции?</w:t>
      </w:r>
    </w:p>
    <w:p>
      <w:pPr>
        <w:pStyle w:val="ListParagraph"/>
        <w:numPr>
          <w:ilvl w:val="0"/>
          <w:numId w:val="10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Чем критерии Вальда, Сэвиджа, Гурвица и Лапласа отличаются от критерия EMV и когда их применяют?</w:t>
      </w:r>
    </w:p>
    <w:p>
      <w:pPr>
        <w:pStyle w:val="ListParagraph"/>
        <w:numPr>
          <w:ilvl w:val="0"/>
          <w:numId w:val="10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Почему решение в задаче 1.3 чувствительно к вероятности высокого спроса?</w:t>
      </w:r>
    </w:p>
    <w:p>
      <w:pPr>
        <w:keepNext/>
        <w:spacing w:after="80" w:before="240"/>
      </w:pPr>
      <w:r>
        <w:rPr>
          <w:rFonts w:ascii="Times New Roman" w:cs="Times New Roman" w:eastAsia="Times New Roman" w:hAnsi="Times New Roman"/>
          <w:b/>
          <w:bCs/>
        </w:rPr>
        <w:t xml:space="preserve">Критерии оценки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(5):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Все деревья построены корректно, включая узлы исследования и комбинации стратегий.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Вычисления (EMV, EU, байесовский пересмотр, EVPI, EVSI) выполнены правильно.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Анализ чувствительности проведён качественно, включая метод Монте-Карло.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Программа работает без ошибок и соответствует требованиям задания 1.4.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(4):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Основные задания выполнены.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Есть небольшие ошибки в вычислениях; функция полезности или EVSI учтены частично.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Анализ поверхностный.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Программа работает с ограничениями (например, нет графического отображения дерева).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(3):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Частично выполнены задания.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Значительные ошибки в построении деревьев.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Анализ отсутствует.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Программа не работает.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(2):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Задания не выполнены.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Понимание метода отсутствует.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rFonts w:ascii="Times New Roman" w:cs="Times New Roman" w:eastAsia="Times New Roman" w:hAnsi="Times New Roman"/>
        </w:rPr>
        <w:t xml:space="preserve">Программа не написана.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2026-10-29T12:14:42.753Z</dcterms:created>
  <dcterms:modified xsi:type="dcterms:W3CDTF">2026-10-29T12:14:42.753Z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