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A2" w:rsidRPr="005362A2" w:rsidRDefault="005362A2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  <w:r w:rsidRPr="005362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Информационное сообщение о проведении конкурса </w:t>
      </w:r>
    </w:p>
    <w:p w:rsidR="005362A2" w:rsidRPr="005362A2" w:rsidRDefault="0004240D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№</w:t>
      </w:r>
      <w:r w:rsidR="00215963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31</w:t>
      </w:r>
      <w:r w:rsidR="00701E8B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 от </w:t>
      </w:r>
      <w:r w:rsidR="00CF0D5C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09.06</w:t>
      </w:r>
      <w:r w:rsidR="00021553" w:rsidRPr="005423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>.2020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  <w:t xml:space="preserve"> г.</w:t>
      </w:r>
    </w:p>
    <w:p w:rsidR="005362A2" w:rsidRPr="005362A2" w:rsidRDefault="005362A2" w:rsidP="005362A2">
      <w:pPr>
        <w:suppressAutoHyphens/>
        <w:spacing w:after="0" w:line="240" w:lineRule="auto"/>
        <w:ind w:firstLine="70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zh-CN"/>
        </w:rPr>
      </w:pPr>
    </w:p>
    <w:p w:rsidR="005362A2" w:rsidRDefault="005362A2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Управление экономики, предпринимательства и инвестиционных проектов АМС г.Владикавказа (далее – Управление) – Организатор конкурса (РСО-Алания,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г.Владикавказ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пл.Штыба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2, </w:t>
      </w:r>
      <w:proofErr w:type="spellStart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каб</w:t>
      </w:r>
      <w:proofErr w:type="spellEnd"/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 30</w:t>
      </w:r>
      <w:r w:rsidR="003F1D4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</w:t>
      </w: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, 362040, тел.: 70-76-05), сообщает о проведении конкурса по заключению договоров на право размещения нестационарных торговых объектов (далее-НТО) по следующим адресам:</w:t>
      </w:r>
    </w:p>
    <w:p w:rsidR="00E26C73" w:rsidRDefault="00E26C73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E26C73" w:rsidRDefault="00E26C73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542348" w:rsidRDefault="00542348" w:rsidP="00542348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tbl>
      <w:tblPr>
        <w:tblW w:w="90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75"/>
        <w:gridCol w:w="2694"/>
        <w:gridCol w:w="1133"/>
        <w:gridCol w:w="1558"/>
        <w:gridCol w:w="2835"/>
      </w:tblGrid>
      <w:tr w:rsidR="00542348" w:rsidRPr="00C32112" w:rsidTr="00A60C79">
        <w:trPr>
          <w:trHeight w:val="690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Номер лота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Адрес размещения нестационарного торгового объекта (НТО)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Площадь НТО, </w:t>
            </w:r>
            <w:proofErr w:type="spellStart"/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кв.м</w:t>
            </w:r>
            <w:proofErr w:type="spellEnd"/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Вид НТО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A241CA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A241C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Специализация НТО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Карцинское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 шоссе/ ул. Ватутина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пос. Заводской, Клубный проезд/ ул. Эдуарда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Ардонская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257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Астана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32"а"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Астана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Бзарова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/ ул. Черняховского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Братьев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Газдановых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Братьев Щукиных, 61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Бритаева/ ул. Калоева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Бутаева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/ ул. Гвардейская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Гадиева, (р-он ДОСААФ)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Гадиева, 58/3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Галковского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14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Гастелло/ ул. Первомайская (р-он троллейбусного парка)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Генерала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Генерала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Дзусова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5/5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Зой Космодемьянской/ пр.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Коста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Иристонская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Калинина/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Кесаева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Коблова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Пр.Коста,40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Павильон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продовольственных товаров смешанного ассортимента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Максима Горького/ ул. Декабристов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Международная, 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Мичурина/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Иристонская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Морских пехотинцев, 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959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912">
              <w:rPr>
                <w:rFonts w:ascii="Times New Roman" w:hAnsi="Times New Roman" w:cs="Times New Roman"/>
                <w:sz w:val="24"/>
                <w:szCs w:val="24"/>
              </w:rPr>
              <w:t xml:space="preserve">пр. </w:t>
            </w:r>
            <w:proofErr w:type="spellStart"/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Коста</w:t>
            </w:r>
            <w:proofErr w:type="spellEnd"/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, 227 (площадь Победы)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Атракционны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AC5912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912">
              <w:rPr>
                <w:rFonts w:ascii="Times New Roman" w:hAnsi="Times New Roman" w:cs="Times New Roman"/>
                <w:sz w:val="24"/>
                <w:szCs w:val="24"/>
              </w:rPr>
              <w:t>Оказание развлекательных услуг</w:t>
            </w:r>
          </w:p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Морских пехотинцев, 9/1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Московская, 48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Московская, 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Николаева/ул. Минина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31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Павленко, 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Пожарского/ 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Цаликова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Пушкинская/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Карцинское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 шоссе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Тельмана, 17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Тельмана/ Заводская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Хаджи Мамсурова, 32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Хаджи Мамсурова, 75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36 (двор дома)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39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7 (р-он картинг клуба)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Цоколаева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Чапаева, 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Шмулевича, 14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417606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Чапаева,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6A0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Шегрена</w:t>
            </w:r>
            <w:proofErr w:type="spellEnd"/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ул. Шмулевича, 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Арбузная клетка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348" w:rsidRPr="00D74BC6" w:rsidRDefault="00542348" w:rsidP="00A60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BC6">
              <w:rPr>
                <w:rFonts w:ascii="Times New Roman" w:hAnsi="Times New Roman" w:cs="Times New Roman"/>
                <w:sz w:val="24"/>
                <w:szCs w:val="24"/>
              </w:rPr>
              <w:t>Реализация бахчевых культур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48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Куйбышева, 21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CE1EE4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red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49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ул. Владикавказская, 48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Автолавка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Реализация бахчевых культур и плодоовощной продукции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50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417606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Кутузова, 82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4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Автолавка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417606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5B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продукции животноводства и птицеводства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51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ул.Гастело,65 «а»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52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ул.Дзержинского,72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53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ул.Кольбуса,19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54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B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Максима Горького/ ул. Ватутина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Холодильник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22B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питьевой и газированной воды, мороженного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55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C22B7F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</w:t>
            </w:r>
            <w:proofErr w:type="spellStart"/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Барбашова</w:t>
            </w:r>
            <w:proofErr w:type="spellEnd"/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(р-он Олимп парка)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56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Владикавказская, 26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7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F37C9D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57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ул.Огнева,9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  <w:tr w:rsidR="00542348" w:rsidRPr="00C32112" w:rsidTr="00A60C79">
        <w:trPr>
          <w:trHeight w:val="563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6A018D" w:rsidRDefault="00542348" w:rsidP="00A60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58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ул.Строителей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транскама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2348" w:rsidRPr="00E2443B" w:rsidRDefault="00542348" w:rsidP="00A60C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Цистерна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42348" w:rsidRPr="00925BB2" w:rsidRDefault="00542348" w:rsidP="00A60C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37C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кваса</w:t>
            </w:r>
          </w:p>
        </w:tc>
      </w:tr>
    </w:tbl>
    <w:p w:rsidR="0003698D" w:rsidRDefault="0003698D" w:rsidP="005362A2">
      <w:pPr>
        <w:suppressAutoHyphens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838FD" w:rsidRDefault="002838FD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590255" w:rsidRDefault="00590255" w:rsidP="00C336A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23B04">
        <w:rPr>
          <w:rFonts w:ascii="Times New Roman" w:eastAsia="Times New Roman" w:hAnsi="Times New Roman" w:cs="Times New Roman"/>
          <w:sz w:val="24"/>
          <w:szCs w:val="24"/>
          <w:lang w:eastAsia="zh-CN"/>
        </w:rPr>
        <w:t>Начало и окончание приема заявок на участие в конкурс</w:t>
      </w:r>
      <w:r w:rsidR="00FF4A0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е: с момента опубликования </w:t>
      </w:r>
      <w:r w:rsidR="00FF4A0C" w:rsidRPr="004C0DA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10.07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 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Место получения информации об условиях Конкурса: г.</w:t>
      </w:r>
      <w:r w:rsidR="00872661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Владикавказ, пл.</w:t>
      </w:r>
      <w:r w:rsidR="00872661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Штыба, 2, 3 этаж, кабинет № 308, с 10 ч. 00 мин. до 17 ч. 00 мин. ежедневно, тел.70-76-05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Заявки принимаются: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г.Владикавказ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308, с 10 ч. 00 мин. до 18 ч. 00 мин. ежедневно.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Время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место проведения конкурса: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с 11 ч. 00 мин. г. Владикавказ,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320.</w:t>
      </w:r>
    </w:p>
    <w:p w:rsidR="00E23B04" w:rsidRPr="00542348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Вс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крытие и рассмотрение заявок: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с 11.00. г. Владикавказ, </w:t>
      </w:r>
      <w:proofErr w:type="spellStart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пл.Штыба</w:t>
      </w:r>
      <w:proofErr w:type="spellEnd"/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, 2, 3 этаж, кабинет № 320.</w:t>
      </w:r>
    </w:p>
    <w:p w:rsidR="00E23B04" w:rsidRPr="00E23B04" w:rsidRDefault="00E23B04" w:rsidP="00E23B04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Опре</w:t>
      </w:r>
      <w:r w:rsidR="00FF4A0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деление победителей Конкурса: </w:t>
      </w:r>
      <w:r w:rsidR="00CF0D5C"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13.07.2020</w:t>
      </w:r>
      <w:r w:rsidRPr="00542348">
        <w:rPr>
          <w:rFonts w:ascii="Times New Roman" w:eastAsia="Times New Roman" w:hAnsi="Times New Roman" w:cs="Times New Roman"/>
          <w:sz w:val="24"/>
          <w:szCs w:val="24"/>
          <w:lang w:eastAsia="zh-CN"/>
        </w:rPr>
        <w:t>г.</w:t>
      </w:r>
      <w:bookmarkStart w:id="0" w:name="_GoBack"/>
      <w:bookmarkEnd w:id="0"/>
    </w:p>
    <w:p w:rsidR="008B5B3B" w:rsidRPr="005362A2" w:rsidRDefault="008B5B3B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Default="005362A2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Порядок организации конкурса утвержден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постановлением АМС г.Владикавказа </w:t>
      </w:r>
      <w:r w:rsidR="00557D02"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>от 17.10.2019 № 1162</w:t>
      </w:r>
      <w:r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«Об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утверждении положения о порядке размещения нестационарных торговых объектов и объектов по оказанию услуг,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положения о проведении конкурса на право размещения нестационарных торговых объектов и объектов оказания услуг, с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 конкурсной комиссии по предоставлению права на размещение нестационарных торговых объектов,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фиксированную плату на право размещения нестационарных объектов,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перечень специализаций нестационарных торговых объектов, минимального ассортиментного перечня и номенклатуры дополнительных групп товаров, типовых архитектурных решений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>нестационарных торговых объектов, расположенных на территории муниципального образования город Владикавказа»</w:t>
      </w:r>
    </w:p>
    <w:p w:rsidR="00FF7D70" w:rsidRDefault="00FF7D70" w:rsidP="005362A2">
      <w:pPr>
        <w:suppressAutoHyphens/>
        <w:spacing w:after="0" w:line="200" w:lineRule="atLeast"/>
        <w:ind w:firstLine="70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83F44" w:rsidRDefault="00283F44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62A2" w:rsidRPr="004249E1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249E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Порядок организации конкурса</w:t>
      </w:r>
    </w:p>
    <w:p w:rsidR="00EE3E9E" w:rsidRDefault="004249E1" w:rsidP="00EE3E9E">
      <w:pPr>
        <w:widowControl w:val="0"/>
        <w:autoSpaceDE w:val="0"/>
        <w:autoSpaceDN w:val="0"/>
        <w:adjustRightInd w:val="0"/>
        <w:spacing w:before="108" w:after="108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="00EE3E9E" w:rsidRPr="003661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.1. 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Конкурсе вправе принимать участие индивидуальные предприниматели и юридические лица (далее - заявители), подавшие </w:t>
      </w:r>
      <w:hyperlink r:id="rId5" w:history="1">
        <w:r w:rsidR="00EE3E9E" w:rsidRPr="003661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заявку</w:t>
        </w:r>
      </w:hyperlink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предоставлении права на размещение НТО по форме согласно приложению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к настоящему 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извещению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приложением документов, указанных в</w:t>
      </w:r>
      <w:r w:rsidR="00EE3E9E" w:rsidRPr="003661B3">
        <w:rPr>
          <w:rFonts w:ascii="Times New Roman" w:hAnsi="Times New Roman" w:cs="Times New Roman"/>
          <w:sz w:val="28"/>
          <w:szCs w:val="28"/>
        </w:rPr>
        <w:t xml:space="preserve"> </w:t>
      </w:r>
      <w:r w:rsidR="00E26C73">
        <w:rPr>
          <w:rFonts w:ascii="Times New Roman" w:hAnsi="Times New Roman" w:cs="Times New Roman"/>
          <w:sz w:val="28"/>
          <w:szCs w:val="28"/>
        </w:rPr>
        <w:t>насто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ящем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извещении о проведении </w:t>
      </w:r>
      <w:r w:rsidR="00E26C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конкурса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P88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Кандидаты на участие в конкурсе представляют </w:t>
      </w:r>
      <w:hyperlink r:id="rId6" w:history="1">
        <w:r w:rsidR="00EE3E9E" w:rsidRPr="00E87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заявку</w:t>
        </w:r>
      </w:hyperlink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приложением документов, подтверждающих полномочия лица на осуществление действий от имени участника Конкурса (для юридического лица - копии решения или выписки из решения юридического лица о назначении руководителя, или копии доверенности уполномоченного представителя в случае представления интересов лицом, не имеющим права на основании учредительных документов действовать от имени юридического лица без доверенности, копии документа, удостоверяющего личность; для индивидуального предпринимателя - копии документа, удостоверяющего личность индивидуального предпринимателя, или копии доверенности уполномоченного индивидуальным предпринимателем представителя и копии документа, удостоверяющего личность представителя),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архитектурное решение (э</w:t>
      </w:r>
      <w:r w:rsidR="00EE3E9E" w:rsidRPr="003A70B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скизный проект, включающий ситуационный план, генеральный план, кладочный план (план на отметке нуля), фасады НТО в четырех проекциях, визуализация объекта, вписанная в существующую местность, также указываются требования к НТО: размеры, материал стен, кр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овли фасадные решения), 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документов, содержащих сведения, подтверждающие соответствие заявителя конкурсным условиям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.2.1. </w:t>
      </w:r>
      <w:r w:rsidR="00EE3E9E"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Конкурсная документация подготавливается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Управлением</w:t>
      </w:r>
      <w:r w:rsidR="00EE3E9E"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содержит критерии оценки предложений о функциональных и качественных характеристиках оказываемых услуг, в том числе: 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архитектурные;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инвестиционные;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ассортимент (специализация);</w:t>
      </w:r>
    </w:p>
    <w:p w:rsidR="00EE3E9E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оснащение торгово-технологическим оборудованием;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1C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социальная значимость.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P120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.3. Управление запрашивает в государственных органах и подведомственных государственным органам организациях, в распоряжении которых находятся указанные документы:</w:t>
      </w:r>
    </w:p>
    <w:p w:rsidR="00EE3E9E" w:rsidRPr="006107F6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выписки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Единого государственного реестра юридических лиц или нотариально заверенную копию такой выписки (для юридического лица) или выписки из Единого государственного реестра индивидуальных предпринимателей или нотариально 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заверенную копию такой выписки (для индивидуального предпринимателя), не более чем за 30 дней до дня извещения о проведении Конкурса;</w:t>
      </w:r>
    </w:p>
    <w:p w:rsidR="00EE3E9E" w:rsidRPr="006107F6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 Конкурса самостоятельно представляет справки налогового органа об исполнении налогоплательщиком обязанности по уплате налогов, сборов, страховых взносов, пеней налоговых санкций, не более чем за 30 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дней до дня объявления о проведении Конкурса, а также вправе самостоятельно представить документы, указанные в </w:t>
      </w:r>
      <w:r w:rsidR="00D74CD2">
        <w:rPr>
          <w:rFonts w:ascii="Times New Roman" w:hAnsi="Times New Roman" w:cs="Times New Roman"/>
          <w:sz w:val="28"/>
          <w:szCs w:val="28"/>
        </w:rPr>
        <w:t>пункте 1</w:t>
      </w:r>
      <w:r w:rsidRPr="006107F6">
        <w:rPr>
          <w:rFonts w:ascii="Times New Roman" w:hAnsi="Times New Roman" w:cs="Times New Roman"/>
          <w:sz w:val="28"/>
          <w:szCs w:val="28"/>
        </w:rPr>
        <w:t>.3</w:t>
      </w:r>
      <w:proofErr w:type="gramStart"/>
      <w:r w:rsidRPr="006107F6">
        <w:rPr>
          <w:rFonts w:ascii="Times New Roman" w:hAnsi="Times New Roman" w:cs="Times New Roman"/>
          <w:sz w:val="28"/>
          <w:szCs w:val="28"/>
        </w:rPr>
        <w:t xml:space="preserve">. 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</w:t>
      </w:r>
      <w:proofErr w:type="gramEnd"/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извещения</w:t>
      </w:r>
      <w:r w:rsidRPr="006107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.4. Заявк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документом, выражающим намерение заявителя принять участие в Конкурсе.</w:t>
      </w:r>
    </w:p>
    <w:p w:rsidR="00EE3E9E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.5. Заявитель имеет право отозвать поданную заявку не позднее чем за 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календарных дн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дня проведения конкурсной процедуры, уведомив Управление в письменной форме.</w:t>
      </w:r>
    </w:p>
    <w:p w:rsidR="00EE3E9E" w:rsidRPr="004405A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.5.1. Прием заявок на участие в аукционе прекращается за 3 дня до проведения конкурсной процедуры.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P126"/>
      <w:bookmarkEnd w:id="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.6. Все документы должны быть прошиты, скреплены печатью, заверены подписью руководителя юридического лица или прошиты и заверены подписью индивидуального предпринимателя, и иметь сквозную нумерацию страниц. Факсимильные подписи не допускаются. Подчистки и исправления не допускаются, за исключением исправлений, скрепленных печатью и заверенных подписью руководителя юридического лица или индивидуальным предпринимателем. К документам прикладывается опись документов, представляемых для участия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представляются в запечатанном конверте, на котором указываются: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юридического лица, фамилия, имя и отчество индивидуального предпринимателя;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ассортимент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размещения НТО, по которым подается заявка, в соответствии со Схемой, актуальной на дату проведения Конкурса.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конверте не допускается наличие признаков повреждений. В случае их выявления заявка и конверт с документами подлежат возврату.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Представленные на участие в Конкурсе документы заявителю не возвращаются.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.7. Участник Конкурса не должен находиться в процессе ликвидации или признания неплатежеспособным (банкротом), его деятельность на момент подачи и рассмотрения заявки на участие в Конкурсе не должна быть приостановлена (в порядке, предусмотренном </w:t>
      </w:r>
      <w:hyperlink r:id="rId7" w:history="1">
        <w:r w:rsidR="00EE3E9E" w:rsidRPr="00E872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Кодексом</w:t>
        </w:r>
      </w:hyperlink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 об административных правонарушениях).</w:t>
      </w:r>
    </w:p>
    <w:p w:rsidR="00EE3E9E" w:rsidRPr="00230BF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.8. 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обеспечивает размещение информационного сообщения о проведении Конкурса и Схему, актуальную на дату проведения конкурса, в городской газете «Владикавказ» и на официальном сайте муниципального образования </w:t>
      </w:r>
      <w:proofErr w:type="spellStart"/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г.Владикавказ</w:t>
      </w:r>
      <w:proofErr w:type="spellEnd"/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менее чем за двадцать календарных дней до даты проведения Конкурса».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.9. Информационное сообщение (извещение) должно содержать следующую информацию: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предъявляемые к участникам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конкурсного предложения;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место и время проведения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место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приема заявок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время начала и окончания приема заявок;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контактный телефон Управления;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получения информации об условиях Конкурса.</w:t>
      </w:r>
    </w:p>
    <w:p w:rsidR="00EE3E9E" w:rsidRPr="003661B3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.10. Конкурс проводится путем проведения конкурсной комиссией следующих процедур:</w:t>
      </w:r>
    </w:p>
    <w:p w:rsidR="00EE3E9E" w:rsidRPr="003661B3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вскрытие</w:t>
      </w:r>
      <w:proofErr w:type="gramEnd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конвертов с документами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рассмотрение</w:t>
      </w:r>
      <w:proofErr w:type="gramEnd"/>
      <w:r w:rsidRPr="003661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заявок на участие в Конкурсе и принятие решения о критерии допуска к участию в Конкурсе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признании участником Конкурса или об отказе в допуске к участию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победителей Конкурса и принятие решения по единственным заявкам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.11. В день, время и месте, указанных в информационном сообщении о проведении Конкурса, конкурсная комиссия: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вскрывает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конверты с заявками на участие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заявки на участие в Конкурсе и на основании результатов рассмотрения заявок на участие в Конкурсе принимает решение: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допуске к участию в Конкурсе и признании участниками Конкурса;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отказе в допуске к участию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.12. Заявителю отказывается в допуске к участию в Конкурсе в случае: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ложных данных в документах, представленных для участия в Конкурсе;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просроченной задолженности по уплате налогов, сборов, страховых взносов и налоговых санкций;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неисполнения</w:t>
      </w:r>
      <w:proofErr w:type="gramEnd"/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требований, предъявляемых к оформлению документации, установленных </w:t>
      </w:r>
      <w:r w:rsidR="00D74CD2">
        <w:rPr>
          <w:rFonts w:ascii="Times New Roman" w:hAnsi="Times New Roman" w:cs="Times New Roman"/>
          <w:sz w:val="28"/>
          <w:szCs w:val="28"/>
        </w:rPr>
        <w:t>пунктом 1</w:t>
      </w:r>
      <w:r w:rsidRPr="00E87274">
        <w:rPr>
          <w:rFonts w:ascii="Times New Roman" w:hAnsi="Times New Roman" w:cs="Times New Roman"/>
          <w:sz w:val="28"/>
          <w:szCs w:val="28"/>
        </w:rPr>
        <w:t xml:space="preserve">.6. 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</w:t>
      </w:r>
      <w:r w:rsidR="00D74CD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извещения</w:t>
      </w: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о допуске к участию в Конкурсе или об отказе в допуске к участию в Конкурсе оформляется протоколом рассмотрения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рассмотрения заявок на участие в Конкурсе размещается Управлением на официальном сайте МО г.Владикавказа в течение 5 рабочих дней со дня подписания протокола рассмотрения заявок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.13. Определение победителей.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Конкурсная комиссия определяет победителей в день проведения Конкурса путем сопоставления и оценки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Победителем Конкурса признается участник, который по решению конкурсной комиссии набрал максимальное количество баллов.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.14. Принятие решения по единственной заявке на участие в Конкурсе.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по результатам рассмотрения заявок на участие в Конкурсе конкурсная комиссия приняла решение об отказе в допуске к участию в Конкурсе по всем заявкам или только по одной заявке принято решение о допуске к участию в Конкурсе, или поступила только одна заявка на участие в Конкурсе, Конкурс признается несостоявшимся. Победителем объявляется </w:t>
      </w:r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единственный участник Конкурса.</w:t>
      </w:r>
    </w:p>
    <w:p w:rsidR="00EE3E9E" w:rsidRPr="004405A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</w:t>
      </w:r>
      <w:r w:rsidR="00EE3E9E"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.15. Право на размещение НТО не может быть предоставлено участникам Конкурса, единственным заявителям в случае, если: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указанные в заявке, отсутствуют в Схеме, актуальной на дату проведения конкурса;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специализация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указанная в заявлении на участие в конкурсе не совпадает со специализацией указанной в Схеме;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платы за право размещения нестационарного торгового объекта отсутствует в заявке, либо заявленная плата за право размещения нестационарного торгового объекта ниже указанной в конкурсной документации;</w:t>
      </w:r>
    </w:p>
    <w:p w:rsidR="00EE3E9E" w:rsidRPr="004405A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невнесения</w:t>
      </w:r>
      <w:proofErr w:type="gramEnd"/>
      <w:r w:rsidRPr="004405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задатка, если требование о внесении задатка указано в извещении о проведении конкурса.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.16. В случае, если заявки двух или более участников, ранее не осуществлявших деятельность по заявленному месту, набирают одинаковое количество баллов, предпочтение отдается участнику, ранее других представившему заявку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.17. Результаты Конкурса и рассмотрения единственной заявки на участие в Конкурсе оформляются протоколом оценки и сопоставления заявок на участие в Конкурсе. Протокол оценки и сопоставления заявок на участие в Конкурсе размещается на официальном сайте муниципального образования </w:t>
      </w:r>
      <w:proofErr w:type="spellStart"/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г.Владикавказ</w:t>
      </w:r>
      <w:proofErr w:type="spellEnd"/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 5 рабочих дней со дня подписания протокола оценки и сопоставления заявок на участие в Конкурсе.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.18. Участнику Конкурса </w:t>
      </w:r>
      <w:r w:rsidR="00EE3E9E" w:rsidRPr="00B11DA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срок не более 14 рабочих дней со дня размещения протокола оценки и сопоставления заявок на участие в Конкурсе на официальном сайте выдается выписка из данного протокола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.19. В случае невыполнения победителем Конкурса, единственным участником требований </w:t>
      </w:r>
      <w:r w:rsidR="00EE3E9E" w:rsidRPr="002F0D93">
        <w:rPr>
          <w:rFonts w:ascii="Times New Roman" w:hAnsi="Times New Roman" w:cs="Times New Roman"/>
          <w:sz w:val="28"/>
          <w:szCs w:val="28"/>
        </w:rPr>
        <w:t xml:space="preserve">раздела 4 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настоящего Положения, неявки победителя Конкурса, единственного участника в </w:t>
      </w:r>
      <w:r w:rsidR="00EE3E9E" w:rsidRPr="0091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установленный </w:t>
      </w:r>
      <w:hyperlink w:anchor="P289" w:history="1">
        <w:r w:rsidR="00EE3E9E" w:rsidRPr="0091263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пунктом 4</w:t>
        </w:r>
      </w:hyperlink>
      <w:r w:rsidR="00EE3E9E" w:rsidRPr="00912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.4 </w:t>
      </w:r>
      <w:r w:rsidR="00EE3E9E" w:rsidRPr="002F0D9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для заключения договора о размещении НТО, несвоевременного подписания договора по вине победителя Конкурса, единственного участника, а также отказа от заключения договора, Управление аннулирует решение о победителе и выставляет адрес, предусмотренный для размещения НТО, на новый Конкурс.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.20. Протокол оценки и сопоставления заявок на участие в Конкурсе является документом, удостоверяющим право победителя Конкурса, единственного участника на заключение договора, при условии выполнения всех требований, указанных в </w:t>
      </w:r>
      <w:r w:rsidR="00EE3E9E" w:rsidRPr="00E87274">
        <w:rPr>
          <w:rFonts w:ascii="Times New Roman" w:hAnsi="Times New Roman" w:cs="Times New Roman"/>
          <w:sz w:val="28"/>
          <w:szCs w:val="28"/>
        </w:rPr>
        <w:t xml:space="preserve">разделе 3 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Положения.</w:t>
      </w:r>
    </w:p>
    <w:p w:rsidR="00EE3E9E" w:rsidRPr="00E87274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E87274">
        <w:rPr>
          <w:rFonts w:ascii="Times New Roman" w:eastAsia="Times New Roman" w:hAnsi="Times New Roman" w:cs="Times New Roman"/>
          <w:sz w:val="28"/>
          <w:szCs w:val="28"/>
          <w:lang w:eastAsia="ru-RU"/>
        </w:rPr>
        <w:t>.21. Решение конкурсной комиссии об определении победителя Конкурса может быть оспорено заинтересованными лицами в судебном порядке.</w:t>
      </w:r>
    </w:p>
    <w:p w:rsidR="00EE3E9E" w:rsidRPr="00296984" w:rsidRDefault="004249E1" w:rsidP="00EE3E9E">
      <w:pPr>
        <w:ind w:firstLine="5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E3E9E" w:rsidRPr="00296984">
        <w:rPr>
          <w:rFonts w:ascii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EE3E9E" w:rsidRPr="00296984">
        <w:rPr>
          <w:rFonts w:ascii="Times New Roman" w:hAnsi="Times New Roman" w:cs="Times New Roman"/>
          <w:sz w:val="28"/>
          <w:szCs w:val="28"/>
          <w:lang w:eastAsia="ru-RU"/>
        </w:rPr>
        <w:t>. Оценка заявок осуществляется с использованием следующих критериев по балльной системе:</w:t>
      </w:r>
    </w:p>
    <w:tbl>
      <w:tblPr>
        <w:tblW w:w="0" w:type="auto"/>
        <w:tblInd w:w="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3206"/>
        <w:gridCol w:w="3531"/>
        <w:gridCol w:w="1538"/>
      </w:tblGrid>
      <w:tr w:rsidR="00EE3E9E" w:rsidRPr="00296984" w:rsidTr="00EE3E9E">
        <w:trPr>
          <w:trHeight w:val="15"/>
        </w:trPr>
        <w:tc>
          <w:tcPr>
            <w:tcW w:w="631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pacing w:val="2"/>
                <w:sz w:val="21"/>
                <w:szCs w:val="21"/>
                <w:lang w:eastAsia="ru-RU"/>
              </w:rPr>
            </w:pPr>
          </w:p>
        </w:tc>
        <w:tc>
          <w:tcPr>
            <w:tcW w:w="3328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79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5" w:type="dxa"/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lastRenderedPageBreak/>
              <w:t>N п/п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Наименование условий, требований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Описание условий, требований, документы и сведения, подтверждающие соответствие участника конкурсным условиям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EE3E9E" w:rsidRPr="00296984" w:rsidRDefault="00EE3E9E" w:rsidP="00EE3E9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Количество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Архитектурные решения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Эскизный проект, включающий ситуационный план, генеральный план, кладочный план (план на отметке нуля), фасады НТО в четырех проекциях, визуализация объекта, вписанная в существующую местность, также указываются требования к НТО: размеры, материал стен, кровли фасадные решения.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</w:t>
            </w: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Инвестиционные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предложения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Предложение о ц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ене договора о размещении НТО 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Ассортимент (специализация)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Накладные, счета-фактуры; договоры, заключенные с местными производителями, с приложением ассортиментной матрицы; информацию о количестве, типах, моделях технологического оборудования, инвентаря, используемых при осуществлении деятельности (договора купли-продажи, проката или иные документы, подтверждающие владение и пользование торгово-технологическим оборудованием и инвентарем).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</w:t>
            </w: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Обеспеченность торгово-технологическим оборудованием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Наличие технических средств измерения, наличие торгового оборудования и т.д.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 баллов</w:t>
            </w:r>
          </w:p>
        </w:tc>
      </w:tr>
      <w:tr w:rsidR="00EE3E9E" w:rsidRPr="00296984" w:rsidTr="00EE3E9E"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Социальная значимость</w:t>
            </w: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 w:rsidRPr="00671FB8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Копии благодарностей, наград, наличие рекомендаций общественных организаций, объединений предпринимателей, опыт работы в сфере торговли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EE3E9E" w:rsidRPr="00296984" w:rsidRDefault="00EE3E9E" w:rsidP="00EE3E9E">
            <w:pP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>0-5</w:t>
            </w:r>
            <w:r w:rsidRPr="00296984">
              <w:rPr>
                <w:rFonts w:ascii="Times New Roman" w:hAnsi="Times New Roman" w:cs="Times New Roman"/>
                <w:sz w:val="21"/>
                <w:szCs w:val="21"/>
                <w:lang w:eastAsia="ru-RU"/>
              </w:rPr>
              <w:t xml:space="preserve"> баллов</w:t>
            </w:r>
          </w:p>
        </w:tc>
      </w:tr>
    </w:tbl>
    <w:p w:rsidR="00EE3E9E" w:rsidRPr="00296984" w:rsidRDefault="00EE3E9E" w:rsidP="00EE3E9E">
      <w:pPr>
        <w:rPr>
          <w:lang w:eastAsia="ru-RU"/>
        </w:rPr>
      </w:pP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Значимость критериев определяется в баллах.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и сопоставление Заявок на участие в конкурсе осуществляются в целях выявления лучших предложений об условиях исполнения Договора на право размещения нестационарного торгового объекта в соответствии с критериями и в порядке, которые установлены конкурсной документацией.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оценки Заявки осуществляется подсчет количества баллов путем сложения баллов по каждому критерию оценки заявки, установленному в конкурсной документации. 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Заявке, набравшей наибольшее количество баллов, присваивается первый номер. Победителем Конкурса признается участник Конкурса, 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заявке на участие в Конкурсе, которого присвоен первый номер. В том случае, если итоговый рейтинг нескольких заявок совпадает, первый номер присваивается заявке, которая была получена раньше остальных заявок. Последующие номера заявкам с одинаковым итоговым рейтингом также присваиваются с учетом времени их подачи и регистрации в журнале.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Присуждение каждой заявке порядкового номера по мере уменьшения степени выгодности содержащихся в ней условий производится по результатам подсчета итогового количества баллов.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оценке предложений участников Конкурса членами конкурсной комиссии в отношении каждой заявки заполняются листы голосования, в которых указываются: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 в баллах по каждому критерию оценки заявок;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- итоговое количество баллов каждой заявки.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Листы голосования подписываются членами конкурсной комиссии и хранятся организатором Конкурса не менее одного года.</w:t>
      </w:r>
    </w:p>
    <w:p w:rsidR="00EE3E9E" w:rsidRPr="00671FB8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Конкурсная комиссия при проведении оценки и сопоставлении заявок может руководствоваться мнением экспертов, которых она вправе привлекать к своей деятельности в порядке, предусмотренном действующим законодательством.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Конкурсная комиссия ведет протокол оценки заявок на участие в Конкурсе, в котором должны содержаться сведения о месте, дате, времени оценки таких заявок, об участниках Конкурса, заявки на участие в Конкурсе которых были оценены, о порядке оценки заявок на участие в Конкурсе, о принятом на основании результатов оценки заявок на участие в Конкурсе решении о присвоении заявкам на участие в Конкурсе порядковых номеров, а также наименования (для юридических лиц), фамилии, имена, отчества (для физических лиц) и почтовые адреса участников Конкурса, заявкам на участие в Конкурсе которых присвоен первый, второй и последующие номера.</w:t>
      </w:r>
    </w:p>
    <w:p w:rsidR="00EE3E9E" w:rsidRPr="00671FB8" w:rsidRDefault="004249E1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="00EE3E9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E3E9E" w:rsidRPr="00671FB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Протокол подписывается всеми присутствующими членами конкурсной комиссии в течение 3 рабочих дней после проведения оценки заявок на участие в Конкурсе.</w:t>
      </w:r>
    </w:p>
    <w:p w:rsidR="00EE3E9E" w:rsidRPr="00E87274" w:rsidRDefault="00EE3E9E" w:rsidP="00EE3E9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D74CD2" w:rsidRDefault="00D74CD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2838FD" w:rsidRDefault="002838F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04240D" w:rsidRDefault="0004240D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A5678A" w:rsidRDefault="00A5678A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A5678A" w:rsidRDefault="00A5678A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872661" w:rsidRDefault="00872661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  <w:t>Приложение 1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ind w:left="43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конкурсную комиссию по предоставлению права на размещение НТО на территории города Владикавказа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Заявка (заявление) на участие в конкурсе по предоставлению права на размещение нестационарного торгового объекта на территории муниципального образования город Владикавказ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Заявитель___________________________________________________________________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Адрес местонахождения______________________________________________________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Ф.И.О. руководителя предприятия______________________________________________</w:t>
      </w:r>
    </w:p>
    <w:p w:rsidR="005362A2" w:rsidRPr="005362A2" w:rsidRDefault="009953C3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hyperlink r:id="rId8" w:history="1">
        <w:r w:rsidR="005362A2"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ИНН</w:t>
        </w:r>
      </w:hyperlink>
      <w:r w:rsidR="005362A2"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заявителя ___________________, контактный телефон________________________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ОГРН 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номер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дата, кем присвоен)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Прошу Вас рассмотреть на заседании конкурсной комиссии по предоставлению права размещения нестационарных торговых объектов на территории муниципального образования город Владикавказ возможность размещения 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</w:t>
      </w: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тип нестационарного торгового объекта: лоток, бахчевой развал, киоск, павильон и т.д.)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для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осуществления торговой деятельности ___________________________________________________________________________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специализация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: смешанный ассортимент, фрукты, бахчевые культуры т.д.)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по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адресу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>адрес</w:t>
      </w:r>
      <w:proofErr w:type="gramEnd"/>
      <w:r w:rsidRPr="005362A2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месторасположения объекта)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 </w:t>
      </w:r>
      <w:hyperlink w:anchor="sub_1000" w:history="1">
        <w:r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размещении нестационарных торговых объектов на территории муниципального образования город Владикавказ, утвержденным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постановлением АМС г.Владикавказа </w:t>
      </w:r>
      <w:r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от </w:t>
      </w:r>
      <w:r w:rsidR="00557D02" w:rsidRPr="00557D02">
        <w:rPr>
          <w:rFonts w:ascii="Times New Roman" w:eastAsia="Times New Roman" w:hAnsi="Times New Roman" w:cs="Times New Roman"/>
          <w:sz w:val="24"/>
          <w:szCs w:val="24"/>
          <w:lang w:eastAsia="ar-SA"/>
        </w:rPr>
        <w:t>17.10.2019 № 1162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«Об утверждении положения о порядке размещения нестационарных торговых объектов и объектов по оказанию услуг,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положения о проведении конкурса на право размещения нестационарных торговых объектов и объектов оказания услуг, с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 конкурсной комиссии по предоставлению права на размещение нестационарных торговых объектов,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фиксированную плату на право размещения нестационарных объектов, </w:t>
      </w:r>
      <w:r w:rsidRPr="005362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перечень специализаций нестационарных торговых объектов, минимального ассортиментного перечня и номенклатуры дополнительных групп товаров, типовых архитектурных решений </w:t>
      </w:r>
      <w:r w:rsidRPr="005362A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нестационарных торговых объектов, расположенных на территории муниципального образования город Владикавказа», </w:t>
      </w: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ознакомлен(на).</w:t>
      </w:r>
    </w:p>
    <w:p w:rsidR="005362A2" w:rsidRPr="005362A2" w:rsidRDefault="005362A2" w:rsidP="005362A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Настоящим заявлением подтверждаю, что в отношении заявителя не проводится процедура ликвидации и банкротства, деятельность не приостановлена, в</w:t>
      </w:r>
      <w:r w:rsidRPr="005362A2">
        <w:rPr>
          <w:rFonts w:ascii="Times New Roman" w:eastAsia="Times New Roman" w:hAnsi="Times New Roman" w:cs="Times New Roman"/>
          <w:sz w:val="24"/>
          <w:szCs w:val="24"/>
        </w:rPr>
        <w:t>ся информация, содержащаяся в представленных документах или их копиях, является подлинной, и не возражаю против доступа к ней всех заинтересованных лиц и размещения необходимой информации на официальном сайте администрации местного самоуправления г.Владикавказа.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 заявлению прилагаю пакет (запечатанный конверт) с документами, оформленными в соответствии с требованиями </w:t>
      </w:r>
      <w:hyperlink w:anchor="sub_1000" w:history="1">
        <w:r w:rsidRPr="005362A2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положения</w:t>
        </w:r>
      </w:hyperlink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размещении нестационарных торговых объектов на территории муниципального образования город Владикавказ.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М.П.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"____" ____________ 20___ г. 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дата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подачи заявления)             (Ф.И.О., подпись предпринимателя или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руководителя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предприятия) 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"____" ____________ 20___ г.     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(</w:t>
      </w:r>
      <w:proofErr w:type="gramStart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дата</w:t>
      </w:r>
      <w:proofErr w:type="gramEnd"/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принятия заявления)             (Ф.И.О., подпись, принявшего заявление)</w:t>
      </w: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Theme="minorEastAsia" w:hAnsi="Times New Roman" w:cs="Times New Roman"/>
          <w:sz w:val="24"/>
          <w:szCs w:val="24"/>
          <w:lang w:eastAsia="ru-RU"/>
        </w:rPr>
        <w:t>№ регистрации ___________</w:t>
      </w: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/>
          <w:bCs/>
          <w:color w:val="000000"/>
          <w:sz w:val="28"/>
          <w:szCs w:val="28"/>
          <w:lang w:eastAsia="ar-SA"/>
        </w:rPr>
      </w:pPr>
    </w:p>
    <w:p w:rsidR="00C76263" w:rsidRDefault="00C76263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90255" w:rsidRDefault="00590255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  <w:t>Приложение 2</w:t>
      </w:r>
    </w:p>
    <w:p w:rsidR="005362A2" w:rsidRPr="005362A2" w:rsidRDefault="005362A2" w:rsidP="005362A2">
      <w:pPr>
        <w:suppressAutoHyphens/>
        <w:spacing w:after="0" w:line="240" w:lineRule="auto"/>
        <w:ind w:firstLine="720"/>
        <w:jc w:val="right"/>
        <w:rPr>
          <w:rFonts w:ascii="Times New Roman" w:eastAsia="Times New Roman" w:hAnsi="Times New Roman" w:cs="Calibri"/>
          <w:bCs/>
          <w:color w:val="000000"/>
          <w:sz w:val="24"/>
          <w:szCs w:val="24"/>
          <w:lang w:eastAsia="ar-SA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Финансовое предложение за право заключения договора о размещении нестационарного торгового объекта 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(ФИО предпринимателя, наименование юридического лица)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размещение 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Start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</w:t>
      </w:r>
      <w:proofErr w:type="gramEnd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специализация объекта)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адресу: 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</w:t>
      </w:r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gramStart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>место</w:t>
      </w:r>
      <w:proofErr w:type="gramEnd"/>
      <w:r w:rsidRPr="005362A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расположения объекта)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с "____" _____________ 20__ г. по "____" ____________ 20__ г.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Стартовый размер оплаты: ________________________ руб.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(</w:t>
      </w: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прописью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Предложение размера оплаты: _____________________ руб.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(</w:t>
      </w:r>
      <w:proofErr w:type="gramStart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прописью</w:t>
      </w:r>
      <w:proofErr w:type="gramEnd"/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________________         Подпись __________________</w:t>
      </w:r>
    </w:p>
    <w:p w:rsidR="005362A2" w:rsidRPr="005362A2" w:rsidRDefault="005362A2" w:rsidP="005362A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38FD" w:rsidRDefault="005362A2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  <w:r w:rsidRPr="00536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М.П.</w:t>
      </w:r>
      <w:r w:rsidRPr="005362A2"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  <w:t xml:space="preserve">                                                                            </w:t>
      </w:r>
    </w:p>
    <w:p w:rsidR="002838FD" w:rsidRDefault="002838FD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2838FD" w:rsidRDefault="002838FD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C9244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  <w:t>Приложение № 3</w:t>
      </w: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C92448" w:rsidRDefault="00C92448" w:rsidP="00810C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Calibri"/>
          <w:color w:val="000000"/>
          <w:sz w:val="24"/>
          <w:szCs w:val="24"/>
          <w:lang w:eastAsia="ar-SA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Договор № ___ </w:t>
      </w: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br/>
        <w:t>о предоставлении права на размещение нестационарного торгового объекта на территории муниципального образования город Владикавказ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</w:p>
    <w:tbl>
      <w:tblPr>
        <w:tblW w:w="9629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4814"/>
        <w:gridCol w:w="4815"/>
      </w:tblGrid>
      <w:tr w:rsidR="00EE3E9E" w:rsidRPr="000B49E3" w:rsidTr="00EE3E9E">
        <w:tc>
          <w:tcPr>
            <w:tcW w:w="4814" w:type="dxa"/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г. Владикавказ</w:t>
            </w:r>
          </w:p>
        </w:tc>
        <w:tc>
          <w:tcPr>
            <w:tcW w:w="4815" w:type="dxa"/>
          </w:tcPr>
          <w:p w:rsidR="00EE3E9E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              "___" _______________ 20</w:t>
            </w: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 года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Администрация местного самоуправления г. Владикавказа, именуемая в дальнейшем "Администрация", в лице ________________________________, действующего на основании _______________________, с одной стороны, и _________________________________________________, действующий на основании ___________________________________, с другой стороны, а вместе именуемые "Стороны", заключили настоящий договор (далее - Договор) о нижеследующем: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1. Предмет Договора: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1.1. В соответствии с ___________________________, администрация предоставляет Участнику право на размещение нестационарного торгового объекта (далее - НТО): ___________</w:t>
      </w: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_(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далее - Объект), площадью ______ кв. м., для осуществления торговой деятельности по _____________ </w:t>
      </w:r>
      <w:proofErr w:type="spell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</w:t>
      </w:r>
      <w:proofErr w:type="spell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адресу: __________________________ на срок с ________201__ года по ____________ 201__ года. Место расположения, площадь, специализация и вид объекта указаны в соответствии со схемой размещения нестационарных торговых объектов (далее - "Схема").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1.2. Плата за право размещения НТО за весь период действия Договора составляет _________ руб. Расчет стоимости платы за право на размещение НТО прилагается 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 N 1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2. Права и обязанности Сторон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2.1. Администрация: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2.1.1. Осуществляет контроль за выполнением условий Договора и требований к размещению и эксплуатации НТО, предусмотренных </w:t>
      </w:r>
      <w:hyperlink w:anchor="sub_10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порядке размещения нестационарных торговых объектов на территории муниципального образования город Владикавказ и действующими муниципальными актами об утверждении типовых архитектурных решений и порядке приемке НТО.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2.1.2. Проводит обследование НТО с составлением акта по форме, утвержденной постановлением администрации муниципального образования город Владикавказ.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2.1.3. Расторгает Договор и демонтирует установленные НТО при нарушении (невыполнении) Участником обязательств, предусмотренных </w:t>
      </w:r>
      <w:hyperlink w:anchor="sub_10524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пунктом 2.4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Договора, за счет Участника.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2.2. Администрация может обеспечить методическую и организационную помощь в вопросах организации торговли, предоставлении услуг населению.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2.3. Участник имеет право разместить НТО в соответствии со схемой расположения (размещения) НТО 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</w:t>
        </w:r>
      </w:hyperlink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 xml:space="preserve"> № ____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Договору) и утвержденным архитектурным решением (приложение № ___ к Договору).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 Участник обязуется: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2.4.1. Обеспечить установку НТО и его готовность к работе в соответствии с требованиями к размещению и эксплуатации нестационарного торгового объекта, предусмотренных </w:t>
      </w:r>
      <w:hyperlink w:anchor="sub_10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Положением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 порядке размещении нестационарных торговых объектов на территории муниципального образования город Владикавказ.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2.4.2. Приступить к эксплуатации НТО после заключения договоров: на уборку территории, вывоз твердых бытовых и жидких отходов, потребление энергоресурсов.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2.4.3. Использовать НТО по назначению, указанному в </w:t>
      </w:r>
      <w:hyperlink w:anchor="sub_1051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пункте 1.1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2.4.4. Обеспечить выполнение установленных законодательством Российской Федерации торговых, санитарных и противопожарных норм и правил организации работы для НТО. Вести работы по благоустройству прилегающей территории. Содержать прилегающую территорию (10 метров) в надлежащем санитарном состоянии.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2.4.5. Обеспечить постоянное наличие на НТО и предъявление по требованию контролирующих органов следующих документов: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настоящего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 и с схемы расположения (размещения) НТО (</w:t>
      </w:r>
      <w:hyperlink w:anchor="sub_1005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приложение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Договору);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вывески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торгового Объекта с указанием наименования организации, места ее нахождения (адреса) и режима ее работы; индивидуальный предприниматель указывает информацию о государственной регистрации и наименовании зарегистрировавшего его органа;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подтверждающих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источник поступления, качество и безопасность реализуемой продукции;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личные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медицинские книжки работников с отметкой о прохождении периодических и профилактических медицинских обследований и отметкой о прохождении гигиенического обучения персонала;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договоров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 уборку территории, вывоз твердых бытовых и жидких отходов, потребление энергоресурсов;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предусмотренных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Законом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Российской Федерации "О защите прав потребителей";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журнала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учета мероприятий по контролю за НТО.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2.4.6. Ежеквартально перечислять в местный бюджет (бюджет муниципального образования город Владикавказ) предложенную им сумму за право размещения НТО на территории муниципального образования город Владикавказ по следующим реквизитам: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6440"/>
      </w:tblGrid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Получатель: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УФК по РСО-Алания (Администрация местного самоуправления г. Владикавказа)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Р/счет: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40101810100000010005 в Отделение - НБ Республика Северная Осетия-Алания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БИК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049033001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/счет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04103005030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ИНН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1501002346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КПП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151501001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ОКТМО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(90701000)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Код бюджетной классификации</w:t>
              </w:r>
            </w:hyperlink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59811705040040000180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Наименование КБК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Прочие неналоговые доходы</w:t>
            </w:r>
          </w:p>
        </w:tc>
      </w:tr>
      <w:tr w:rsidR="00EE3E9E" w:rsidRPr="000B49E3" w:rsidTr="00EE3E9E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Назначение платежа: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Плата за право размещения НТО на территории муниципального образования город Владикавказ.</w:t>
            </w:r>
          </w:p>
        </w:tc>
      </w:tr>
    </w:tbl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Сумма за право размещения НТО на территории муниципального образования город Владикавказ за I квартал срока действия Договора подлежит перечислению в местный бюджет (бюджет муниципального образования город Владикавказ) в течение 3 (трех) банковских дней с момента его подписания.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Сумма за право размещения НТО на территории муниципального образования город Владикавказ за последний неполный квартал определяется пропорционально времени размещения объекта в течение данного квартала.</w:t>
      </w:r>
    </w:p>
    <w:p w:rsidR="00EE3E9E" w:rsidRPr="00E31FDD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2.4.6.1.</w:t>
      </w:r>
      <w:r w:rsidRPr="00E31FDD">
        <w:t xml:space="preserve"> 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случае несвоевременной оплаты по договору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Участник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уплачивает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Администрации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пеню в размере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установленном действующим законодательством РФ</w:t>
      </w:r>
      <w:r w:rsidRPr="00E31FD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за каждый день просрочки.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2.4.7. В течение одного квартала после истечения срока Договора подать заявление об его продлении.  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2.4.8. Освободить занимаемую территорию от конструкций НТО и привести ее в первоначальное состояние в течение 3 (трех) дней: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окончании срока действия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случае досрочного расторжения Договора по инициативе администрации в соответствии с </w:t>
      </w:r>
      <w:hyperlink w:anchor="sub_105300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разделом 3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основании решения суда, вступившего в законную силу.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3. Расторжение Договора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3.1. Администрация имеет право досрочно в одностороннем порядке расторгнуть Договор, письменно уведомив Участника за 5 (пять) рабочих дней, в случаях: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неустранения</w:t>
      </w:r>
      <w:proofErr w:type="spellEnd"/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срок нарушений, выявленных при обследовании НТО и отраженных в акте, составленном уполномоченным органом АМС г. Владикавказа;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нарушения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Участником </w:t>
      </w:r>
      <w:hyperlink w:anchor="sub_10524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 xml:space="preserve">подпунктов </w:t>
        </w:r>
        <w:r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2.3,</w:t>
        </w:r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2.4.1-2.4.3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hyperlink w:anchor="sub_105246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2.4.6, 2.4.7 раздела 2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неоднократного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(два и более раз) нарушения Участником </w:t>
      </w:r>
      <w:hyperlink w:anchor="sub_105244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подпунктов 2.4.4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hyperlink w:anchor="sub_105245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2.4.5 раздела 2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</w:t>
      </w:r>
      <w:proofErr w:type="gramEnd"/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необходимости использования земельного участка (места размещения), на котором расположен НТО, для нужд администрации муниципального образования город Владикавказ (изъятие земельных участков (места), на котором размещен НТО для государственных или муниципальных нужд).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3.2. По истечении 5 (пяти) рабочих дней с момента направления уведомления Участнику по адресу, указанному в Договоре, в соответствии с </w:t>
      </w:r>
      <w:hyperlink w:anchor="sub_10541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пунктом 4.1 раздела 4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Договора Договор считается расторгнутым.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3.3. Договор может быть расторгнут досрочно по обоюдному согласию Сторон.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lastRenderedPageBreak/>
        <w:t>4. Прочие условия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4.1. Изменения и дополнения к Договору действительны, если они оформлены в письменной форме дополнительными Соглашениями и подписаны уполномоченными представителями Сторон.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4.2. В случае изменения адреса или иных реквизитов, каждая из Сторон обязана в десятидневный срок направить об этом письменное уведомление другой Стороне, в противном случае все уведомления, извещения и другие документы, отправленные по адресу, указанному в Договоре, считаются врученными.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4.3. Взаимоотношения Сторон, не урегулированные Договором, регламентируются действующим </w:t>
      </w:r>
      <w:hyperlink r:id="rId15" w:history="1">
        <w:r w:rsidRPr="000B49E3">
          <w:rPr>
            <w:rFonts w:ascii="Times New Roman" w:eastAsiaTheme="minorEastAsia" w:hAnsi="Times New Roman" w:cs="Times New Roman"/>
            <w:bCs/>
            <w:sz w:val="24"/>
            <w:szCs w:val="24"/>
            <w:lang w:eastAsia="ru-RU"/>
          </w:rPr>
          <w:t>законодательством</w:t>
        </w:r>
      </w:hyperlink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Российской Федерации.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4.4. Договор составлен в 2 (двух) экземплярах: для каждой Стороны по одному экземпляру.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Приложение: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Расчет стоимости платы за право на размещение НТО.</w:t>
      </w: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С</w:t>
      </w:r>
      <w:r w:rsidRPr="000B49E3">
        <w:rPr>
          <w:rFonts w:ascii="Times New Roman" w:eastAsiaTheme="minorEastAsia" w:hAnsi="Times New Roman" w:cs="Times New Roman"/>
          <w:sz w:val="24"/>
          <w:szCs w:val="24"/>
          <w:lang w:eastAsia="ru-RU"/>
        </w:rPr>
        <w:t>хемы расположения (раз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мещения) НТО (графический план);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Архитектурное решение.</w:t>
      </w:r>
    </w:p>
    <w:p w:rsidR="00EE3E9E" w:rsidRPr="000B49E3" w:rsidRDefault="00EE3E9E" w:rsidP="00EE3E9E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</w:pPr>
      <w:r w:rsidRPr="000B49E3">
        <w:rPr>
          <w:rFonts w:ascii="Times New Roman" w:eastAsiaTheme="minorEastAsia" w:hAnsi="Times New Roman" w:cs="Times New Roman"/>
          <w:bCs/>
          <w:sz w:val="24"/>
          <w:szCs w:val="24"/>
          <w:lang w:eastAsia="ru-RU"/>
        </w:rPr>
        <w:t>5. Реквизиты, адреса</w:t>
      </w:r>
    </w:p>
    <w:tbl>
      <w:tblPr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3896"/>
      </w:tblGrid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Администрация: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Участник:</w:t>
            </w: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АМС г. Владикавказа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Место нахождения (почтовый адрес): 362040, Россия, РСО-Алания, г. Владикавказ, пл. Штыба, 2.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Р/счет: 40101810100000010005 в Отделение - НБ Республика Северная Осетия-Алания, </w:t>
            </w:r>
            <w:hyperlink r:id="rId16" w:history="1">
              <w:r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БИК</w:t>
              </w:r>
            </w:hyperlink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049033001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Получатель УФК по РСО-Алания (Администрация местного самоуправления г. Владикавказа)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/счет 04103005030</w:t>
            </w:r>
          </w:p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ИНН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1501002346/КПП: 151501001</w:t>
            </w:r>
          </w:p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ОКТМО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(90701000)</w:t>
            </w:r>
          </w:p>
          <w:p w:rsidR="00EE3E9E" w:rsidRPr="000B49E3" w:rsidRDefault="009953C3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EE3E9E" w:rsidRPr="000B49E3">
                <w:rPr>
                  <w:rFonts w:ascii="Times New Roman" w:eastAsiaTheme="minorEastAsia" w:hAnsi="Times New Roman" w:cs="Times New Roman"/>
                  <w:bCs/>
                  <w:sz w:val="24"/>
                  <w:szCs w:val="24"/>
                  <w:lang w:eastAsia="ru-RU"/>
                </w:rPr>
                <w:t>КБК</w:t>
              </w:r>
            </w:hyperlink>
            <w:r w:rsidR="00EE3E9E"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: 59811705040040000180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3E9E" w:rsidRPr="000B49E3" w:rsidTr="00EE3E9E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Начальник Управления экономики, предпринимательства и инвестиционных проектов</w:t>
            </w: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__________________/___________/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</w:tcPr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  <w:p w:rsidR="00EE3E9E" w:rsidRPr="000B49E3" w:rsidRDefault="00EE3E9E" w:rsidP="00EE3E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0B49E3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__________________ /_____/</w:t>
            </w:r>
          </w:p>
        </w:tc>
      </w:tr>
    </w:tbl>
    <w:p w:rsidR="00EE3E9E" w:rsidRPr="000B49E3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0255" w:rsidRPr="000B49E3" w:rsidRDefault="00590255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E9E" w:rsidRDefault="00EE3E9E" w:rsidP="00EE3E9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Фиксированная плата</w:t>
      </w:r>
      <w:r w:rsidRPr="007F0322">
        <w:rPr>
          <w:rFonts w:ascii="Times New Roman" w:hAnsi="Times New Roman" w:cs="Times New Roman"/>
          <w:sz w:val="28"/>
          <w:szCs w:val="28"/>
        </w:rPr>
        <w:t xml:space="preserve"> на право размещения нестационарных объектов на территории муниципального образования город Владикавказ.</w:t>
      </w:r>
    </w:p>
    <w:p w:rsidR="00EE3E9E" w:rsidRPr="00DE2809" w:rsidRDefault="00EE3E9E" w:rsidP="00EE3E9E">
      <w:pPr>
        <w:pStyle w:val="ConsPlusNormal"/>
        <w:ind w:firstLine="540"/>
        <w:jc w:val="both"/>
        <w:rPr>
          <w:rFonts w:ascii="Times New Roman" w:eastAsia="BatangChe" w:hAnsi="Times New Roman" w:cs="Times New Roman"/>
          <w:sz w:val="28"/>
          <w:szCs w:val="28"/>
        </w:rPr>
      </w:pPr>
    </w:p>
    <w:tbl>
      <w:tblPr>
        <w:tblW w:w="0" w:type="auto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381"/>
        <w:gridCol w:w="800"/>
        <w:gridCol w:w="842"/>
        <w:gridCol w:w="907"/>
        <w:gridCol w:w="720"/>
        <w:gridCol w:w="1020"/>
        <w:gridCol w:w="1047"/>
        <w:gridCol w:w="623"/>
        <w:gridCol w:w="730"/>
      </w:tblGrid>
      <w:tr w:rsidR="00EE3E9E" w:rsidRPr="00DE2809" w:rsidTr="00EE3E9E">
        <w:tc>
          <w:tcPr>
            <w:tcW w:w="2381" w:type="dxa"/>
            <w:vMerge w:val="restart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6689" w:type="dxa"/>
            <w:gridSpan w:val="8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Размер платы в руб./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 в месяц</w:t>
            </w:r>
          </w:p>
        </w:tc>
      </w:tr>
      <w:tr w:rsidR="00EE3E9E" w:rsidRPr="00DE2809" w:rsidTr="00EE3E9E">
        <w:tc>
          <w:tcPr>
            <w:tcW w:w="2381" w:type="dxa"/>
            <w:vMerge/>
          </w:tcPr>
          <w:p w:rsidR="00EE3E9E" w:rsidRPr="00DE2809" w:rsidRDefault="00EE3E9E" w:rsidP="00EE3E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г. Владикавказ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пос. Заводской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пос.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Редант</w:t>
            </w:r>
            <w:proofErr w:type="spellEnd"/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Балта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Нижний Ларс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с. Верхний Ларс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с. Чми,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Эзми</w:t>
            </w:r>
            <w:proofErr w:type="spellEnd"/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мкр</w:t>
            </w:r>
            <w:proofErr w:type="spellEnd"/>
            <w:proofErr w:type="gramEnd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Карца</w:t>
            </w:r>
            <w:proofErr w:type="spellEnd"/>
          </w:p>
        </w:tc>
      </w:tr>
      <w:tr w:rsidR="00EE3E9E" w:rsidRPr="00DE2809" w:rsidTr="00EE3E9E">
        <w:tc>
          <w:tcPr>
            <w:tcW w:w="9070" w:type="dxa"/>
            <w:gridSpan w:val="9"/>
          </w:tcPr>
          <w:p w:rsidR="00EE3E9E" w:rsidRPr="00DE2809" w:rsidRDefault="00EE3E9E" w:rsidP="00EE3E9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Торговля во временных сооружениях и необустроенных местах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1. Реализация продовольственных товаров смешанного ассортимента, включая слабоалкогольные и подакцизные товары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2. Реализация продовольственных товаров смешанного ассортимента, исключая слабоалкогольные и подакцизные товары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3. Реализация питьевой и газированной воды, 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реализация мороженого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262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Реализация кваса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5. Реализация бахчевых культур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6. Реализация хлебобулочных и кондитерских изделий</w:t>
            </w:r>
          </w:p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7. Реализация продукции животноводства и птицеводства, реализация рыбы, ракообразных и моллюсков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 Реализация непродовольственных товаров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9. Реализация елок, елочных изделий, саженцев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10. Реализация канцтоваров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11. Реализация печатной продукции средств массовой информации, книжной продукции, связанной с образованием, наукой и культурой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12. Размещение летних кафе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9070" w:type="dxa"/>
            <w:gridSpan w:val="9"/>
          </w:tcPr>
          <w:p w:rsidR="00EE3E9E" w:rsidRPr="00DE2809" w:rsidRDefault="00EE3E9E" w:rsidP="00EE3E9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Услуги населению во временных сооружениях и необустроенных местах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13. Бытовые услуги населению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14. Услуги фотоателье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 xml:space="preserve">15. Прокат бытовой радиоэлектронной 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аппаратуры, видео- и аудиокассет, дисков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 Изготовление и реализация предметов похоронного ритуала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17. Оказание услуг по ремонту, техническому обслуживанию и мойке автотранспортных средств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18. Оказание развлекательных услуг, зоопарки, цирки, аттракционы (передвижные и стационарные объекты)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19. Пункты продаж полисов страхования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20. Справочно-информационные услуги, диспетчерские службы пассажирского транспорта, пункты продаж проездных билетов городского пассажирского транспорта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. Оказание прочих услуг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. Терминалы экспресс-оплаты, банкоматы и финансовые услуги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629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2809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</w:tr>
      <w:tr w:rsidR="00EE3E9E" w:rsidRPr="00DE2809" w:rsidTr="00EE3E9E">
        <w:tc>
          <w:tcPr>
            <w:tcW w:w="2381" w:type="dxa"/>
          </w:tcPr>
          <w:p w:rsidR="00EE3E9E" w:rsidRPr="00DE2809" w:rsidRDefault="00EE3E9E" w:rsidP="00EE3E9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Аппарат по реализации кофе</w:t>
            </w:r>
          </w:p>
        </w:tc>
        <w:tc>
          <w:tcPr>
            <w:tcW w:w="80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42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0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2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47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30" w:type="dxa"/>
          </w:tcPr>
          <w:p w:rsidR="00EE3E9E" w:rsidRPr="00DE2809" w:rsidRDefault="00EE3E9E" w:rsidP="00EE3E9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6E4F65" w:rsidRDefault="006E4F65" w:rsidP="006E4F6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p w:rsidR="005362A2" w:rsidRPr="005362A2" w:rsidRDefault="005362A2" w:rsidP="005362A2">
      <w:pPr>
        <w:suppressAutoHyphens/>
        <w:spacing w:after="0" w:line="240" w:lineRule="auto"/>
        <w:jc w:val="center"/>
        <w:rPr>
          <w:rFonts w:ascii="Times New Roman" w:eastAsia="Calibri" w:hAnsi="Times New Roman" w:cs="Calibri"/>
          <w:b/>
          <w:bCs/>
          <w:color w:val="000000"/>
          <w:sz w:val="24"/>
          <w:szCs w:val="24"/>
        </w:rPr>
      </w:pPr>
    </w:p>
    <w:sectPr w:rsidR="005362A2" w:rsidRPr="005362A2" w:rsidSect="00671C03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B7"/>
    <w:rsid w:val="00012ADD"/>
    <w:rsid w:val="00021553"/>
    <w:rsid w:val="0003698D"/>
    <w:rsid w:val="00037B29"/>
    <w:rsid w:val="0004240D"/>
    <w:rsid w:val="000A3BA3"/>
    <w:rsid w:val="000C6E46"/>
    <w:rsid w:val="000D5F34"/>
    <w:rsid w:val="00105A24"/>
    <w:rsid w:val="0014102D"/>
    <w:rsid w:val="001B60D7"/>
    <w:rsid w:val="001D047A"/>
    <w:rsid w:val="001D19A7"/>
    <w:rsid w:val="00215963"/>
    <w:rsid w:val="00273C4A"/>
    <w:rsid w:val="002745B7"/>
    <w:rsid w:val="00276CB7"/>
    <w:rsid w:val="002838FD"/>
    <w:rsid w:val="00283F44"/>
    <w:rsid w:val="002866F0"/>
    <w:rsid w:val="002F6565"/>
    <w:rsid w:val="003003CA"/>
    <w:rsid w:val="00350231"/>
    <w:rsid w:val="0035633A"/>
    <w:rsid w:val="00361D9F"/>
    <w:rsid w:val="00372C51"/>
    <w:rsid w:val="00391775"/>
    <w:rsid w:val="003D076C"/>
    <w:rsid w:val="003D6C6C"/>
    <w:rsid w:val="003E58B1"/>
    <w:rsid w:val="003E7196"/>
    <w:rsid w:val="003F1D4F"/>
    <w:rsid w:val="003F5B1D"/>
    <w:rsid w:val="003F6816"/>
    <w:rsid w:val="00417606"/>
    <w:rsid w:val="004249E1"/>
    <w:rsid w:val="00436B59"/>
    <w:rsid w:val="00484177"/>
    <w:rsid w:val="004C0DAA"/>
    <w:rsid w:val="004C68EF"/>
    <w:rsid w:val="004E59E0"/>
    <w:rsid w:val="00511CB5"/>
    <w:rsid w:val="00521BD8"/>
    <w:rsid w:val="005362A2"/>
    <w:rsid w:val="00542348"/>
    <w:rsid w:val="00551929"/>
    <w:rsid w:val="00557D02"/>
    <w:rsid w:val="00590255"/>
    <w:rsid w:val="005961D2"/>
    <w:rsid w:val="005A4CEB"/>
    <w:rsid w:val="005A7F2B"/>
    <w:rsid w:val="005E3A75"/>
    <w:rsid w:val="005F46FB"/>
    <w:rsid w:val="0060442F"/>
    <w:rsid w:val="00610B3C"/>
    <w:rsid w:val="00611B88"/>
    <w:rsid w:val="006203CC"/>
    <w:rsid w:val="00671C03"/>
    <w:rsid w:val="00696044"/>
    <w:rsid w:val="006A018D"/>
    <w:rsid w:val="006A3B34"/>
    <w:rsid w:val="006A4650"/>
    <w:rsid w:val="006D5D3B"/>
    <w:rsid w:val="006E4F65"/>
    <w:rsid w:val="006E5505"/>
    <w:rsid w:val="00701E8B"/>
    <w:rsid w:val="0073129F"/>
    <w:rsid w:val="007454A7"/>
    <w:rsid w:val="0075417A"/>
    <w:rsid w:val="00756EB1"/>
    <w:rsid w:val="007855AB"/>
    <w:rsid w:val="00785ECE"/>
    <w:rsid w:val="007939D3"/>
    <w:rsid w:val="007A4651"/>
    <w:rsid w:val="007C045F"/>
    <w:rsid w:val="007C190D"/>
    <w:rsid w:val="007F5F17"/>
    <w:rsid w:val="00810CE4"/>
    <w:rsid w:val="008258D1"/>
    <w:rsid w:val="00872661"/>
    <w:rsid w:val="00881F4E"/>
    <w:rsid w:val="00885420"/>
    <w:rsid w:val="008B5B3B"/>
    <w:rsid w:val="008C0208"/>
    <w:rsid w:val="008F15F3"/>
    <w:rsid w:val="00942581"/>
    <w:rsid w:val="00953A88"/>
    <w:rsid w:val="00965DB1"/>
    <w:rsid w:val="00981273"/>
    <w:rsid w:val="00983433"/>
    <w:rsid w:val="009953C3"/>
    <w:rsid w:val="009D6E3D"/>
    <w:rsid w:val="009D74F7"/>
    <w:rsid w:val="00A06C21"/>
    <w:rsid w:val="00A241CA"/>
    <w:rsid w:val="00A5678A"/>
    <w:rsid w:val="00A60C79"/>
    <w:rsid w:val="00A75C1A"/>
    <w:rsid w:val="00A763AB"/>
    <w:rsid w:val="00A90084"/>
    <w:rsid w:val="00AA1556"/>
    <w:rsid w:val="00AC3295"/>
    <w:rsid w:val="00AD7580"/>
    <w:rsid w:val="00B14DAF"/>
    <w:rsid w:val="00B277C5"/>
    <w:rsid w:val="00B30EAB"/>
    <w:rsid w:val="00B55DC3"/>
    <w:rsid w:val="00BA29C1"/>
    <w:rsid w:val="00BA5976"/>
    <w:rsid w:val="00BE17FA"/>
    <w:rsid w:val="00BF1A66"/>
    <w:rsid w:val="00BF1DD3"/>
    <w:rsid w:val="00C06879"/>
    <w:rsid w:val="00C336A4"/>
    <w:rsid w:val="00C42DD7"/>
    <w:rsid w:val="00C430AC"/>
    <w:rsid w:val="00C67594"/>
    <w:rsid w:val="00C76263"/>
    <w:rsid w:val="00C92448"/>
    <w:rsid w:val="00CD4610"/>
    <w:rsid w:val="00CD511B"/>
    <w:rsid w:val="00CE1EE4"/>
    <w:rsid w:val="00CE28B9"/>
    <w:rsid w:val="00CF0D5C"/>
    <w:rsid w:val="00D13AAE"/>
    <w:rsid w:val="00D52DA2"/>
    <w:rsid w:val="00D74CD2"/>
    <w:rsid w:val="00D90DB3"/>
    <w:rsid w:val="00DE5141"/>
    <w:rsid w:val="00DF753F"/>
    <w:rsid w:val="00E2029A"/>
    <w:rsid w:val="00E21032"/>
    <w:rsid w:val="00E23B04"/>
    <w:rsid w:val="00E2443B"/>
    <w:rsid w:val="00E26C73"/>
    <w:rsid w:val="00E32B23"/>
    <w:rsid w:val="00E33EA9"/>
    <w:rsid w:val="00E93B4C"/>
    <w:rsid w:val="00EE3E9E"/>
    <w:rsid w:val="00EF634D"/>
    <w:rsid w:val="00F12FE9"/>
    <w:rsid w:val="00F25AD3"/>
    <w:rsid w:val="00F3107B"/>
    <w:rsid w:val="00F93DA1"/>
    <w:rsid w:val="00FA62E1"/>
    <w:rsid w:val="00FF4A0C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BBF7A-3134-4F5F-9D27-AD2A414E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28B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36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3698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E4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EE3E9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2034853.1000" TargetMode="External"/><Relationship Id="rId13" Type="http://schemas.openxmlformats.org/officeDocument/2006/relationships/hyperlink" Target="garantF1://70365940.0" TargetMode="External"/><Relationship Id="rId18" Type="http://schemas.openxmlformats.org/officeDocument/2006/relationships/hyperlink" Target="garantF1://70365940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4D4C6D015C99FCC86500CBEDE45C5C2B97EAC45ABA089EE13D9DE43058Y9W9H" TargetMode="External"/><Relationship Id="rId12" Type="http://schemas.openxmlformats.org/officeDocument/2006/relationships/hyperlink" Target="garantF1://12074212.1000" TargetMode="External"/><Relationship Id="rId17" Type="http://schemas.openxmlformats.org/officeDocument/2006/relationships/hyperlink" Target="garantF1://12034853.1000" TargetMode="External"/><Relationship Id="rId2" Type="http://schemas.openxmlformats.org/officeDocument/2006/relationships/styles" Target="styles.xml"/><Relationship Id="rId16" Type="http://schemas.openxmlformats.org/officeDocument/2006/relationships/hyperlink" Target="garantF1://455333.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D4C6D015C99FCC86500D5E0F230032E93E19E5FBF0F9DBE65C2BF6D0F900479FBB97E8561EB2D7346EF2DYCW6H" TargetMode="External"/><Relationship Id="rId11" Type="http://schemas.openxmlformats.org/officeDocument/2006/relationships/hyperlink" Target="garantF1://12034853.1000" TargetMode="External"/><Relationship Id="rId5" Type="http://schemas.openxmlformats.org/officeDocument/2006/relationships/hyperlink" Target="consultantplus://offline/ref=4D4C6D015C99FCC86500D5E0F230032E93E19E5FBF0F9DBE65C2BF6D0F900479FBB97E8561EB2D7346EF2DYCW6H" TargetMode="External"/><Relationship Id="rId15" Type="http://schemas.openxmlformats.org/officeDocument/2006/relationships/hyperlink" Target="garantF1://10064072.3200" TargetMode="External"/><Relationship Id="rId10" Type="http://schemas.openxmlformats.org/officeDocument/2006/relationships/hyperlink" Target="garantF1://455333.0" TargetMode="External"/><Relationship Id="rId19" Type="http://schemas.openxmlformats.org/officeDocument/2006/relationships/hyperlink" Target="garantF1://70308460.1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06035.0" TargetMode="External"/><Relationship Id="rId14" Type="http://schemas.openxmlformats.org/officeDocument/2006/relationships/hyperlink" Target="garantF1://70308460.100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1C90-E238-4C52-BF32-4F30575E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21</Pages>
  <Words>5526</Words>
  <Characters>31501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 Етдзаева</dc:creator>
  <cp:keywords/>
  <dc:description/>
  <cp:lastModifiedBy>Белла Лалиева</cp:lastModifiedBy>
  <cp:revision>34</cp:revision>
  <cp:lastPrinted>2020-06-08T12:43:00Z</cp:lastPrinted>
  <dcterms:created xsi:type="dcterms:W3CDTF">2019-11-11T13:41:00Z</dcterms:created>
  <dcterms:modified xsi:type="dcterms:W3CDTF">2020-06-09T13:26:00Z</dcterms:modified>
</cp:coreProperties>
</file>