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UNDER ORDER VI RULE 17 READ WITH SECTION 151 CPC FOR AMENDMENT OF THE [PLAINT / WRITTEN STATEMENT]</w:t>
      </w:r>
    </w:p>
    <w:p>
      <w:pPr>
        <w:keepNext w:val="0"/>
        <w:widowControl/>
        <w:jc w:val="both"/>
      </w:pPr>
      <w:r>
        <w:rPr>
          <w:b w:val="0"/>
          <w:u w:val="none"/>
        </w:rPr>
        <w:t>Respectfully showeth:</w:t>
      </w:r>
    </w:p>
    <w:p>
      <w:pPr>
        <w:keepNext w:val="0"/>
        <w:widowControl/>
        <w:ind w:left="360" w:hanging="360"/>
        <w:jc w:val="both"/>
      </w:pPr>
      <w:r>
        <w:rPr>
          <w:b w:val="0"/>
          <w:u w:val="none"/>
        </w:rPr>
        <w:t>1. That the applicant filed the [PLAINT / WRITTEN STATEMENT] on [DATE], and the case is now at the stage of [STAGE].</w:t>
      </w:r>
    </w:p>
    <w:p>
      <w:pPr>
        <w:keepNext w:val="0"/>
        <w:widowControl/>
        <w:ind w:left="360" w:hanging="360"/>
        <w:jc w:val="both"/>
      </w:pPr>
      <w:r>
        <w:rPr>
          <w:b w:val="0"/>
          <w:u w:val="none"/>
        </w:rPr>
        <w:t>2. That the applicant seeks to make the following amendments: (a) in paragraph [__], for the words "[EXISTING TEXT]", substitute "[PROPOSED TEXT]"; (b) after paragraph [__], insert a new paragraph [__]: "[PROPOSED TEXT]"; (c) [__]. A copy of the amended [plaint / written statement] is annexed.</w:t>
      </w:r>
    </w:p>
    <w:p>
      <w:pPr>
        <w:keepNext w:val="0"/>
        <w:widowControl/>
        <w:ind w:left="360" w:hanging="360"/>
        <w:jc w:val="both"/>
      </w:pPr>
      <w:r>
        <w:rPr>
          <w:b w:val="0"/>
          <w:u w:val="none"/>
        </w:rPr>
        <w:t>3. That the amendment is necessary for determining the real questions in controversy between the parties because [REASON].</w:t>
      </w:r>
    </w:p>
    <w:p>
      <w:pPr>
        <w:keepNext w:val="0"/>
        <w:widowControl/>
        <w:ind w:left="360" w:hanging="360"/>
        <w:jc w:val="both"/>
      </w:pPr>
      <w:r>
        <w:rPr>
          <w:b w:val="0"/>
          <w:u w:val="none"/>
        </w:rPr>
        <w:t>4. That the effect on the nature of the [suit / defence], existing admissions and the other party is [SPECIFY]. Any prejudice can be addressed by [TERMS AND OPPORTUNITY], for the reasons stated below.</w:t>
      </w:r>
    </w:p>
    <w:p>
      <w:pPr>
        <w:keepNext w:val="0"/>
        <w:widowControl/>
        <w:ind w:left="360" w:hanging="360"/>
        <w:jc w:val="both"/>
      </w:pPr>
      <w:r>
        <w:rPr>
          <w:b w:val="0"/>
          <w:u w:val="none"/>
        </w:rPr>
        <w:t>5. [If trial has commenced: That despite due diligence, the applicant could not have raised the matter before the commencement of trial because [REASON], as required by the proviso to Order VI Rule 17.]</w:t>
      </w:r>
    </w:p>
    <w:p>
      <w:pPr>
        <w:keepNext w:val="0"/>
        <w:widowControl/>
        <w:ind w:left="360" w:hanging="360"/>
        <w:jc w:val="both"/>
      </w:pPr>
      <w:r>
        <w:rPr>
          <w:b w:val="0"/>
          <w:u w:val="none"/>
        </w:rPr>
        <w:t>6. That each proposed change is shown in a comparison schedule: existing paragraph [ ], exact deletion [ ], exact insertion [ ], and consequential prayer/valuation change [ ]. The clean amended pleading accompanies this application.</w:t>
      </w:r>
    </w:p>
    <w:p>
      <w:pPr>
        <w:keepNext w:val="0"/>
        <w:widowControl/>
        <w:ind w:left="360" w:hanging="360"/>
        <w:jc w:val="both"/>
      </w:pPr>
      <w:r>
        <w:rPr>
          <w:b w:val="0"/>
          <w:u w:val="none"/>
        </w:rPr>
        <w:t>7. That the amendment concerns the real controversy because [specific issue]. It is based on [existing transaction / later event] occurring or discovered on [date], supported by [record].</w:t>
      </w:r>
    </w:p>
    <w:p>
      <w:pPr>
        <w:keepNext w:val="0"/>
        <w:widowControl/>
        <w:ind w:left="360" w:hanging="360"/>
        <w:jc w:val="both"/>
      </w:pPr>
      <w:r>
        <w:rPr>
          <w:b w:val="0"/>
          <w:u w:val="none"/>
        </w:rPr>
        <w:t>8. That the trial [has / has not] commenced, with reference to [orders and stage]. If commenced, despite due diligence the matter could not have been raised earlier because [steps, dates and impediment]; a bare inadvertence assertion is not relied on.</w:t>
      </w:r>
    </w:p>
    <w:p>
      <w:pPr>
        <w:keepNext w:val="0"/>
        <w:widowControl/>
        <w:ind w:left="360" w:hanging="360"/>
        <w:jc w:val="both"/>
      </w:pPr>
      <w:r>
        <w:rPr>
          <w:b w:val="0"/>
          <w:u w:val="none"/>
        </w:rPr>
        <w:t>9. That the proposed amendment [does / does not] affect an admission, introduce a new claim or alter the nature of the case; the actual effect is [analysis]. Any accrued limitation defence is addressed by [dates and legal basis].</w:t>
      </w:r>
    </w:p>
    <w:p>
      <w:pPr>
        <w:keepNext w:val="0"/>
        <w:widowControl/>
        <w:ind w:left="360" w:hanging="360"/>
        <w:jc w:val="both"/>
      </w:pPr>
      <w:r>
        <w:rPr>
          <w:b w:val="0"/>
          <w:u w:val="none"/>
        </w:rPr>
        <w:t>10. That prejudice can be met by [reply, additional issue, evidence opportunity and costs], and the reasons the proposed change is bona fide are [facts].</w:t>
      </w:r>
    </w:p>
    <w:p>
      <w:pPr>
        <w:keepNext w:val="0"/>
        <w:widowControl/>
        <w:ind w:left="360" w:hanging="360"/>
        <w:jc w:val="both"/>
      </w:pPr>
      <w:r>
        <w:rPr>
          <w:b w:val="0"/>
          <w:u w:val="none"/>
        </w:rPr>
        <w:t>11. That [OPTIONAL: retain only after verifying the cited rule and these facts] each amendment in [comparison schedule] addresses [real issue]. Applying Revajeetu, necessity, bona fides, limitation, admissions and prejudice are answered by [specific facts]; if trial has commenced, the separate due-diligence requirement is satisfied by [dated steps and impediment].</w:t>
      </w:r>
    </w:p>
    <w:p>
      <w:pPr>
        <w:keepNext/>
        <w:widowControl/>
        <w:jc w:val="center"/>
      </w:pPr>
      <w:r>
        <w:rPr>
          <w:b/>
          <w:u w:val="single"/>
        </w:rPr>
        <w:t>PRAYER</w:t>
      </w:r>
    </w:p>
    <w:p>
      <w:pPr>
        <w:keepNext w:val="0"/>
        <w:widowControl/>
        <w:jc w:val="both"/>
      </w:pPr>
      <w:r>
        <w:rPr>
          <w:b w:val="0"/>
          <w:u w:val="none"/>
        </w:rPr>
        <w:t>It is, therefore, respectfully prayed that the applicant may kindly be permitted to amend the [plaint / written statement] as proposed, and the amended pleading may be taken on record.</w:t>
      </w:r>
    </w:p>
    <w:p>
      <w:pPr>
        <w:keepNext w:val="0"/>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Examine the Order VI Rule 17 proviso separately after trial commencement. Attach a marked comparison and clean version; address limitation, admissions and prejudice expressly.</w:t>
      </w:r>
    </w:p>
    <w:p>
      <w:pPr>
        <w:keepNext w:val="0"/>
        <w:widowControl/>
        <w:spacing w:after="40"/>
        <w:jc w:val="both"/>
      </w:pPr>
      <w:r>
        <w:rPr>
          <w:b w:val="0"/>
          <w:u w:val="none"/>
        </w:rPr>
        <w:t>Fact-specific authority. Revajeetu Builders &amp; Developers v. Narayanaswamy &amp; Sons, (2009) 10 SCC 84; 9 October 2009, paras 61–70, especially 67. Relate necessity, bona fides, prejudice, changed character and limitation to each amendment. The liberal approach does not excuse withdrawal of a material admission or failure to satisfy post-trial due diligence. Read the judgment</w:t>
      </w:r>
    </w:p>
    <w:p>
      <w:pPr>
        <w:keepNext w:val="0"/>
        <w:widowControl/>
        <w:jc w:val="both"/>
      </w:pPr>
      <w:r>
        <w:rPr>
          <w:b w:val="0"/>
          <w:u w:val="none"/>
        </w:rPr>
        <w:t>Source: https://indiankanoon.org/doc/1893329/</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