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FOR ADJOURNMENT OF THE HEARING FIXED FOR [DATE] [UNDER ORDER XVII RULE 1 CPC / SECTION 346 OF THE BHARATIYA NAGARIK SURAKSHA SANHITA, 2023 (SECTION 309 CrPC)]</w:t>
      </w:r>
    </w:p>
    <w:p>
      <w:pPr>
        <w:keepNext w:val="0"/>
        <w:widowControl/>
        <w:jc w:val="both"/>
      </w:pPr>
      <w:r>
        <w:rPr>
          <w:b w:val="0"/>
          <w:u w:val="none"/>
        </w:rPr>
        <w:t>Respectfully showeth:</w:t>
      </w:r>
    </w:p>
    <w:p>
      <w:pPr>
        <w:keepNext w:val="0"/>
        <w:widowControl/>
        <w:ind w:left="360" w:hanging="360"/>
        <w:jc w:val="both"/>
      </w:pPr>
      <w:r>
        <w:rPr>
          <w:b w:val="0"/>
          <w:u w:val="none"/>
        </w:rPr>
        <w:t>1. That the above-noted case is fixed for [DATE] for [STAGE].</w:t>
      </w:r>
    </w:p>
    <w:p>
      <w:pPr>
        <w:keepNext w:val="0"/>
        <w:widowControl/>
        <w:ind w:left="360" w:hanging="360"/>
        <w:jc w:val="both"/>
      </w:pPr>
      <w:r>
        <w:rPr>
          <w:b w:val="0"/>
          <w:u w:val="none"/>
        </w:rPr>
        <w:t>2. That the applicant is unable to proceed on that date because [REASON — e.g. illness of the party / counsel, non-availability of a witness, documents awaited, counsel engaged before another court], with supporting documents annexed.</w:t>
      </w:r>
    </w:p>
    <w:p>
      <w:pPr>
        <w:keepNext w:val="0"/>
        <w:widowControl/>
        <w:ind w:left="360" w:hanging="360"/>
        <w:jc w:val="both"/>
      </w:pPr>
      <w:r>
        <w:rPr>
          <w:b w:val="0"/>
          <w:u w:val="none"/>
        </w:rPr>
        <w:t>3. That this is the [first / second] adjournment sought by the applicant at this stage, and it is not sought to delay the proceedings.</w:t>
      </w:r>
    </w:p>
    <w:p>
      <w:pPr>
        <w:keepNext w:val="0"/>
        <w:widowControl/>
        <w:ind w:left="360" w:hanging="360"/>
        <w:jc w:val="both"/>
      </w:pPr>
      <w:r>
        <w:rPr>
          <w:b w:val="0"/>
          <w:u w:val="none"/>
        </w:rPr>
        <w:t>4. That the anticipated prejudice to the other side is [SPECIFY] and can be mitigated by [TERMS]. The applicant is ready to bear such costs as this Hon'ble Court may impose.</w:t>
      </w:r>
    </w:p>
    <w:p>
      <w:pPr>
        <w:keepNext w:val="0"/>
        <w:widowControl/>
        <w:ind w:left="360" w:hanging="360"/>
        <w:jc w:val="both"/>
      </w:pPr>
      <w:r>
        <w:rPr>
          <w:b w:val="0"/>
          <w:u w:val="none"/>
        </w:rPr>
        <w:t>5. That the case is fixed for [specific task] on [date]; the applicant requests the shortest necessary adjournment until [date or period] because [specific event and date], proved by [annexure].</w:t>
      </w:r>
    </w:p>
    <w:p>
      <w:pPr>
        <w:keepNext w:val="0"/>
        <w:widowControl/>
        <w:ind w:left="360" w:hanging="360"/>
        <w:jc w:val="both"/>
      </w:pPr>
      <w:r>
        <w:rPr>
          <w:b w:val="0"/>
          <w:u w:val="none"/>
        </w:rPr>
        <w:t>6. That prior adjournments requested by this party during the hearing were [dates, reasons and orders]. If the usual three-adjournment limit is engaged, the exceptional circumstance beyond control is [facts].</w:t>
      </w:r>
    </w:p>
    <w:p>
      <w:pPr>
        <w:keepNext w:val="0"/>
        <w:widowControl/>
        <w:ind w:left="360" w:hanging="360"/>
        <w:jc w:val="both"/>
      </w:pPr>
      <w:r>
        <w:rPr>
          <w:b w:val="0"/>
          <w:u w:val="none"/>
        </w:rPr>
        <w:t>7. That reasonable alternatives considered were [alternate counsel / remote appearance if permitted / production through other witness], which could not address the difficulty because [reason].</w:t>
      </w:r>
    </w:p>
    <w:p>
      <w:pPr>
        <w:keepNext w:val="0"/>
        <w:widowControl/>
        <w:ind w:left="360" w:hanging="360"/>
        <w:jc w:val="both"/>
      </w:pPr>
      <w:r>
        <w:rPr>
          <w:b w:val="0"/>
          <w:u w:val="none"/>
        </w:rPr>
        <w:t>8. That prejudice to the other party can be mitigated by [costs, prompt service, fixed next date or undertaking]. The request is not based solely on counsel’s engagement elsewhere.</w:t>
      </w:r>
    </w:p>
    <w:p>
      <w:pPr>
        <w:keepNext w:val="0"/>
        <w:widowControl/>
        <w:ind w:left="360" w:hanging="360"/>
        <w:jc w:val="both"/>
      </w:pPr>
      <w:r>
        <w:rPr>
          <w:b w:val="0"/>
          <w:u w:val="none"/>
        </w:rPr>
        <w:t>9. That [OPTIONAL: retain only after verifying the cited rule and these facts] [for a civil hearing] the exceptional impediment beyond control is [event and proof]. Applying Salem Advocate Bar Association (II), the prior adjournments [schedule], alternatives considered [ ] and proposed terms [ ] justify the shortest necessary extension; no adjournment is claimed as a right.</w:t>
      </w:r>
    </w:p>
    <w:p>
      <w:pPr>
        <w:keepNext/>
        <w:widowControl/>
        <w:jc w:val="center"/>
      </w:pPr>
      <w:r>
        <w:rPr>
          <w:b/>
          <w:u w:val="single"/>
        </w:rPr>
        <w:t>PRAYER</w:t>
      </w:r>
    </w:p>
    <w:p>
      <w:pPr>
        <w:keepNext w:val="0"/>
        <w:widowControl/>
        <w:jc w:val="both"/>
      </w:pPr>
      <w:r>
        <w:rPr>
          <w:b w:val="0"/>
          <w:u w:val="none"/>
        </w:rPr>
        <w:t>It is, therefore, respectfully prayed that the hearing fixed for [DATE] may kindly be adjourned to a suitable date, in the interest of justice.</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Use Order XVII CPC for civil hearings; use the applicable criminal provision and restrictions for criminal matters. State the exact task affected and support the reason with contemporary records.</w:t>
      </w:r>
    </w:p>
    <w:p>
      <w:pPr>
        <w:keepNext w:val="0"/>
        <w:widowControl/>
        <w:spacing w:after="40"/>
        <w:jc w:val="both"/>
      </w:pPr>
      <w:r>
        <w:rPr>
          <w:b w:val="0"/>
          <w:u w:val="none"/>
        </w:rPr>
        <w:t>Fact-specific authority. Salem Advocate Bar Association (II) v. Union of India, (2005) 6 SCC 344; 2 August 2005, discussion headed “Adjournments”. Explain the exceptional impediment and prior adjournments. The decision preserves discretion in exceptional circumstances; it does not make an adjournment a party’s right. Read the judgment</w:t>
      </w:r>
    </w:p>
    <w:p>
      <w:pPr>
        <w:keepNext w:val="0"/>
        <w:widowControl/>
        <w:jc w:val="both"/>
      </w:pPr>
      <w:r>
        <w:rPr>
          <w:b w:val="0"/>
          <w:u w:val="none"/>
        </w:rPr>
        <w:t>Source: https://indiankanoon.org/doc/342197/</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