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UNDER ORDER VI RULE 17 READ WITH SECTION 151 CPC FOR AMENDMENT OF THE [PLAINT / WRITTEN STATEMENT]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applicant filed the [PLAINT / WRITTEN STATEMENT] on [DATE], and the case is now at the stage of [STAGE].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applicant seeks to make the following amendments: (a) in paragraph [__], for the words "[EXISTING TEXT]", substitute "[PROPOSED TEXT]"; (b) after paragraph [__], insert a new paragraph [__]: "[PROPOSED TEXT]"; (c) [__]. A copy of the amended [plaint / written statement] is annexed.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amendment is necessary for determining the real questions in controversy between the parties because [REASON].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amendment does not change the nature of the [suit / defence] and causes no prejudice to the other side, which will have an opportunity to reply.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[If trial has commenced: That despite due diligence, the applicant could not have raised the matter before the commencement of trial because [REASON], as required by the proviso to Order VI Rule 17.]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applicant may kindly be permitted to amend the [plaint / written statement] as proposed, and the amended pleading may be taken on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Amendment of pleadings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