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ON BEHALF OF THE [ACCUSED / PARTY] FOR EXEMPTION FROM PERSONAL APPEARANCE FOR [TODAY / THE DATE __] [UNDER SECTION 228 / 355 OF THE BHARATIYA NAGARIK SURAKSHA SANHITA, 2023 (SECTION 205 / 317 CrPC)] [or, in a civil matter, UNDER ORDER III RULE 1 READ WITH SECTION 151 CPC]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above-noted case is fixed for [today / DATE] for [STAGE OF THE CASE].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applicant is unable to appear in person on the said date because [REASON — e.g. illness, as per the medical certificate annexed as Annexure A-1 / unavoidable travel / other].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absence of the applicant is neither intentional nor deliberate. The applicant is being represented by counsel, who is present.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[In a criminal matter: That the applicant undertakes not to dispute identity, and has no objection to proceedings, including recording of evidence, taking place in the presence of counsel.]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That the applicant undertakes to appear in person on the next date of hearing or whenever directed by this Hon'ble Court.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applicant may kindly be exempted from personal appearance for [today / DATE], in the interest of justice.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Exemption from personal appearance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