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State of [STATE / U.T.]</w:t>
      </w:r>
      <w:r>
        <w:rPr>
          <w:b/>
        </w:rPr>
        <w:tab/>
        <w:t>… State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ACCUSED]</w:t>
      </w:r>
      <w:r>
        <w:rPr>
          <w:b/>
        </w:rPr>
        <w:tab/>
        <w:t>…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FOR SUBSTITUTION OF SURETY / ACCEPTANCE OF FRESH BAIL BONDS AND DISCHARGE OF THE EARLIER SURETY [SECTION 489 OF THE BHARATIYA NAGARIK SURAKSHA SANHITA, 2023 (SECTION 444 CrPC)]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applicant / accused was granted bail vide order dated [DATE] passed by [COURT], and furnished bail bonds with [NAME OF EXISTING SURETY] as surety.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existing surety [has applied for discharge / is unable to continue as surety because __ / has died on 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applicant offers [NAME OF NEW SURETY], [PARTICULARS], as fresh surety, who owns [PROPERTY / FIXED DEPOSIT / VEHICLE — details] and is solvent for the bond amount. The documents are annexed.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applicant undertakes to appear on every date of hearing and to abide by all the conditions of bail.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fresh bail / surety bonds of [NAME OF NEW SURETY] may kindly be accepted, and the earlier surety discharged, in accordance with law.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 / ACCUSED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State of [STATE / U.T.]</w:t>
      </w:r>
      <w:r>
        <w:rPr>
          <w:b/>
        </w:rPr>
        <w:tab/>
        <w:t>… State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ACCUSED]</w:t>
      </w:r>
      <w:r>
        <w:rPr>
          <w:b/>
        </w:rPr>
        <w:tab/>
        <w:t>…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/ accused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proposed surety is solvent for the bond amount, and his / her affidavit of solvency is filed separately.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Bail bond / surety substitution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