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 w:val="0"/>
          <w:i w:val="0"/>
          <w:u w:val="none"/>
        </w:rPr>
        <w:t>Next date of hearing: [DATE]</w:t>
      </w:r>
    </w:p>
    <w:p>
      <w:pPr>
        <w:jc w:val="center"/>
      </w:pPr>
      <w:r>
        <w:rPr>
          <w:b/>
          <w:i w:val="0"/>
          <w:u w:val="single"/>
        </w:rPr>
        <w:t>APPLICATION UNDER [ORDER VII RULE 14(3) / ORDER VIII RULE 1A(3)] READ WITH SECTION 151 CPC FOR LEAVE TO PLACE ON RECORD ADDITIONAL DOCUMENTS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case is at the stage of [STAGE].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applicant seeks to place on record the following documents: (1) [DOCUMENT, DATE]; (2) [DOCUMENT, DATE]; (3) [__].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these documents could not be filed earlier with the [plaint / written statement] because [REASON — e.g. they were not in the applicant's possession / were traced later / came into existence afterwards].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the documents are relevant and necessary for a just decision of the case, and no prejudice will be caused to the other side, which can rebut them.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applicant may kindly be granted leave to produce the above documents, and the same may be taken on record.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APPLICANT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applicant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application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application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of additional documents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