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THE ISSUE OF CERTIFIED COPIES OF [DOCUMENTS / ORDERS] [URGENT / ORDINARY]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is [a party to / the counsel for __ in] the above-noted case [or: a non-party with interest, as stated in the accompanying affidavit].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requires certified copies of the following: (1) [ORDER / JUDGMENT dated __]; (2) [DOCUMENT / DEPOSITION of __ recorded on __]; (3) 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copies are required for [PURPOSE — e.g. filing an appeal / production before another forum].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requisite copying fee / stamps have been affixed or deposited [and urgent charges, if applicable].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certified copies of the documents listed above may kindly be issued to the applicant.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rPr>
          <w:b w:val="0"/>
          <w:i/>
          <w:sz w:val="20"/>
          <w:u w:val="none"/>
        </w:rPr>
        <w:t>Note: Attach the copying fee as prescribed. An affidavit is usually needed only where the applicant is not a party or the rules require it.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Certified copy application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