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UNDER ORDER IX RULE 9 READ WITH SECTION 151 CPC FOR RESTORATION OF THE SUIT DISMISSED IN DEFAULT ON [DATE]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above-noted suit was fixed for [STAGE] on [DATE] and was dismissed in default of appearance of the plaintiff [under Order IX Rule 8 CPC].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plaintiff and counsel could not appear on that date because [SUFFICIENT CAUSE — e.g. illness with medical record, wrong noting of the date, counsel's genuine reason].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non-appearance was neither intentional nor deliberate, and the plaintiff has always been diligent in pursuing the suit.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4.</w:t>
        <w:tab/>
        <w:t>That this application is filed within thirty days of the order of dismissal [Article 122 of the Limitation Act, 1963].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order dated [DATE] dismissing the suit in default may kindly be set aside, and the suit restored to its original number and stage.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 / PLAINTIFF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/ plaintiff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Restoration of suit dismissed in default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