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UNDER ORDER XXXIX RULES 1 AND 2 READ WITH SECTION 151 CPC FOR THE GRANT OF A TEMPORARY INJUNCTION DURING THE PENDENCY OF THE SUIT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plaintiff / applicant has filed the accompanying suit for [RELIEF], the contents of which may be read as part of this application.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has a prima facie case, as [STATE BRIEFLY — title, possession, documents].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balance of convenience lies in favour of the applicant, as [REASON].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applicant will suffer irreparable loss and injury, which cannot be compensated in money, if the defendant is not restrained from [ACT] during the pendency of the suit.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there is urgency, as [the defendant is likely to __ at any time], and the object of granting the injunction would be defeated by delay. [Ground for ex parte ad interim relief, if sought.]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defendant, his agents and servants may kindly be restrained by a temporary injunction from [ACT] in respect of [SUIT PROPERTY / SUBJECT MATTER] during the pendency of the suit, and an ex parte ad interim injunction may be granted till the disposal of this application.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rPr>
          <w:b w:val="0"/>
          <w:i/>
          <w:sz w:val="20"/>
          <w:u w:val="none"/>
        </w:rPr>
        <w:t>Note: If an ex parte injunction is granted, comply with Order XXXIX Rule 3 CPC (deliver or send the papers to the opposite party as directed).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injunction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