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生成式ai基建与算力投资趋势的宏观经济背景2023-2026宏观经济分析报告"/>
    <w:p>
      <w:pPr>
        <w:pStyle w:val="1"/>
      </w:pPr>
      <w:r>
        <w:rPr>
          <w:rFonts w:hint="eastAsia"/>
        </w:rPr>
        <w:t xml:space="preserve">生成式AI基建与算力投资趋势的宏观经济背景（2023-2026）宏观经济分析报告</w:t>
      </w:r>
    </w:p>
    <w:bookmarkStart w:id="9" w:name="摘要"/>
    <w:p>
      <w:pPr>
        <w:pStyle w:val="2"/>
      </w:pPr>
      <w:r>
        <w:rPr>
          <w:rFonts w:hint="eastAsia"/>
        </w:rPr>
        <w:t xml:space="preserve">摘要</w:t>
      </w:r>
    </w:p>
    <w:p>
      <w:pPr>
        <w:pStyle w:val="FirstParagraph"/>
      </w:pPr>
      <w:r>
        <w:rPr>
          <w:rFonts w:hint="eastAsia"/>
        </w:rPr>
        <w:t xml:space="preserve">本报告旨在分析2023-2026年全球宏观经济背景对生成式AI基建与算力投资趋势的影响。</w:t>
      </w:r>
    </w:p>
    <w:p>
      <w:pPr>
        <w:pStyle w:val="a0"/>
      </w:pPr>
      <w:r>
        <w:rPr>
          <w:rFonts w:hint="eastAsia"/>
          <w:b/>
          <w:bCs/>
        </w:rPr>
        <w:t xml:space="preserve">核心宏观经济指标与趋势：</w:t>
      </w:r>
      <w:r>
        <w:t xml:space="preserve"> </w:t>
      </w:r>
      <w:r>
        <w:rPr>
          <w:rFonts w:hint="eastAsia"/>
        </w:rPr>
        <w:t xml:space="preserve">2023-2026年，全球经济预计将从疫情后的高通胀和紧缩周期中逐步调整。全球GDP增速将趋于温和放缓，主要经济体面临结构性挑战。通胀压力虽有所缓解，但仍可能保持在高于疫情前的水平，促使主要央行维持相对较高的利率，尽管2024年或有适度降息空间，但融资成本将显著高于过去十年。汇率波动性增加，美元强势可能逐步减弱。财政政策将趋于审慎，重点转向结构性改革和战略性投资。货币政策将保持数据依赖性，以平衡通胀控制与经济增长。国际贸易关系持续紧张，地缘政治摩擦加剧，供应链韧性成为关注焦点。</w:t>
      </w:r>
    </w:p>
    <w:p>
      <w:pPr>
        <w:pStyle w:val="a0"/>
      </w:pPr>
      <w:r>
        <w:rPr>
          <w:rFonts w:hint="eastAsia"/>
          <w:b/>
          <w:bCs/>
        </w:rPr>
        <w:t xml:space="preserve">政策环境的关键变化：</w:t>
      </w:r>
      <w:r>
        <w:t xml:space="preserve"> </w:t>
      </w:r>
      <w:r>
        <w:rPr>
          <w:rFonts w:hint="eastAsia"/>
        </w:rPr>
        <w:t xml:space="preserve">各国政府将生成式AI视为国家战略制高点，纷纷出台产业政策、研发补贴及税收优惠，以推动AI技术创新和基础设施建设。同时，对AI的监管框架正加速构建，涉及数据隐私、算法伦理、反垄断和国家安全等，可能对投资方向和规模产生影响。地缘政治紧张导致的技术出口管制和供应链“去风险化”将持续，尤其在高性能计算芯片领域。</w:t>
      </w:r>
    </w:p>
    <w:p>
      <w:pPr>
        <w:pStyle w:val="a0"/>
      </w:pPr>
      <w:r>
        <w:rPr>
          <w:rFonts w:hint="eastAsia"/>
          <w:b/>
          <w:bCs/>
        </w:rPr>
        <w:t xml:space="preserve">对生成式AI基建与算力投资趋势的主要影响：</w:t>
      </w:r>
      <w:r>
        <w:t xml:space="preserve"> </w:t>
      </w:r>
      <w:r>
        <w:rPr>
          <w:rFonts w:hint="eastAsia"/>
        </w:rPr>
        <w:t xml:space="preserve">这些宏观经济与政策变化共同构成了生成式AI基建与算力投资的复杂背景。一方面，AI的战略重要性、技术突破和应用需求爆发（如大模型训练与推理），将持续驱动大规模投资，政府激励政策也将提供强大助力。算力作为AI发展的核心瓶颈，其基础设施建设将成为投资热点。另一方面，高昂的融资成本将增加投资门槛，全球芯片供应链的不确定性可能导致硬件成本上升和交付延期。地缘政治限制可能迫使相关企业调整供应链和市场策略，增加投资复杂性。</w:t>
      </w:r>
    </w:p>
    <w:p>
      <w:pPr>
        <w:pStyle w:val="a0"/>
      </w:pPr>
      <w:r>
        <w:rPr>
          <w:rFonts w:hint="eastAsia"/>
          <w:b/>
          <w:bCs/>
        </w:rPr>
        <w:t xml:space="preserve">潜在风险因素：</w:t>
      </w:r>
      <w:r>
        <w:t xml:space="preserve"> </w:t>
      </w:r>
      <w:r>
        <w:rPr>
          <w:rFonts w:hint="eastAsia"/>
        </w:rPr>
        <w:t xml:space="preserve">潜在风险包括全球经济陷入深度衰退、通胀持续超预期导致利率长期高企、地缘政治冲突升级导致供应链进一步割裂（特别是对先进半导体的获取）、以及AI监管政策的不确定性或过度收紧，可能抑制创新和投资积极性。此外，能源成本波动和人才短缺也可能对算力基建的部署构成挑战。</w:t>
      </w:r>
    </w:p>
    <w:bookmarkEnd w:id="9"/>
    <w:bookmarkStart w:id="10" w:name="目录"/>
    <w:p>
      <w:pPr>
        <w:pStyle w:val="2"/>
      </w:pPr>
      <w:r>
        <w:rPr>
          <w:rFonts w:hint="eastAsia"/>
        </w:rPr>
        <w:t xml:space="preserve">目录</w:t>
      </w:r>
    </w:p>
    <w:p>
      <w:pPr>
        <w:pStyle w:val="Compact"/>
        <w:numPr>
          <w:ilvl w:val="0"/>
          <w:numId w:val="1001"/>
        </w:numPr>
      </w:pPr>
    </w:p>
    <w:p>
      <w:pPr>
        <w:pStyle w:val="Compact"/>
        <w:numPr>
          <w:ilvl w:val="1"/>
          <w:numId w:val="1002"/>
        </w:numPr>
      </w:pPr>
      <w:r>
        <w:rPr>
          <w:rFonts w:hint="eastAsia"/>
        </w:rPr>
        <w:t xml:space="preserve">全球宏观经济背景与展望（2023-2026）</w:t>
      </w:r>
    </w:p>
    <w:p>
      <w:pPr>
        <w:pStyle w:val="Compact"/>
        <w:numPr>
          <w:ilvl w:val="0"/>
          <w:numId w:val="1001"/>
        </w:numPr>
      </w:pPr>
    </w:p>
    <w:p>
      <w:pPr>
        <w:pStyle w:val="Compact"/>
        <w:numPr>
          <w:ilvl w:val="1"/>
          <w:numId w:val="1003"/>
        </w:numPr>
      </w:pPr>
      <w:r>
        <w:rPr>
          <w:rFonts w:hint="eastAsia"/>
        </w:rPr>
        <w:t xml:space="preserve">全球主要经济体货币政策分析与展望（2023-2026）</w:t>
      </w:r>
    </w:p>
    <w:p>
      <w:pPr>
        <w:pStyle w:val="Compact"/>
        <w:numPr>
          <w:ilvl w:val="0"/>
          <w:numId w:val="1001"/>
        </w:numPr>
      </w:pPr>
    </w:p>
    <w:p>
      <w:pPr>
        <w:pStyle w:val="Compact"/>
        <w:numPr>
          <w:ilvl w:val="1"/>
          <w:numId w:val="1004"/>
        </w:numPr>
      </w:pPr>
      <w:r>
        <w:rPr>
          <w:rFonts w:hint="eastAsia"/>
        </w:rPr>
        <w:t xml:space="preserve">全球主要经济体财政政策分析与展望（2023-2026）</w:t>
      </w:r>
    </w:p>
    <w:p>
      <w:pPr>
        <w:pStyle w:val="Compact"/>
        <w:numPr>
          <w:ilvl w:val="0"/>
          <w:numId w:val="1001"/>
        </w:numPr>
      </w:pPr>
    </w:p>
    <w:p>
      <w:pPr>
        <w:pStyle w:val="Compact"/>
        <w:numPr>
          <w:ilvl w:val="1"/>
          <w:numId w:val="1005"/>
        </w:numPr>
      </w:pPr>
      <w:r>
        <w:rPr>
          <w:rFonts w:hint="eastAsia"/>
        </w:rPr>
        <w:t xml:space="preserve">全球经济风险与挑战分析与展望（2023-2026）</w:t>
      </w:r>
    </w:p>
    <w:p>
      <w:pPr>
        <w:pStyle w:val="Compact"/>
        <w:numPr>
          <w:ilvl w:val="0"/>
          <w:numId w:val="1001"/>
        </w:numPr>
      </w:pPr>
    </w:p>
    <w:p>
      <w:pPr>
        <w:pStyle w:val="Compact"/>
        <w:numPr>
          <w:ilvl w:val="1"/>
          <w:numId w:val="1006"/>
        </w:numPr>
      </w:pPr>
      <w:r>
        <w:rPr>
          <w:rFonts w:hint="eastAsia"/>
        </w:rPr>
        <w:t xml:space="preserve">全球贸易关系、技术竞争与地缘政治对宏观经济及生成式AI产业的影响（2023-2026）</w:t>
      </w:r>
    </w:p>
    <w:p>
      <w:pPr>
        <w:pStyle w:val="Compact"/>
        <w:numPr>
          <w:ilvl w:val="0"/>
          <w:numId w:val="1001"/>
        </w:numPr>
      </w:pPr>
    </w:p>
    <w:p>
      <w:pPr>
        <w:pStyle w:val="Compact"/>
        <w:numPr>
          <w:ilvl w:val="1"/>
          <w:numId w:val="1007"/>
        </w:numPr>
      </w:pPr>
      <w:r>
        <w:rPr>
          <w:rFonts w:hint="eastAsia"/>
        </w:rPr>
        <w:t xml:space="preserve">宏观经济环境对生成式AI基建与算力投资的影响分析（2023-2026）</w:t>
      </w:r>
    </w:p>
    <w:bookmarkEnd w:id="10"/>
    <w:bookmarkStart w:id="16" w:name="全球宏观经济背景与展望2023-2026"/>
    <w:p>
      <w:pPr>
        <w:pStyle w:val="2"/>
      </w:pPr>
      <w:r>
        <w:t xml:space="preserve">1. </w:t>
      </w:r>
      <w:r>
        <w:rPr>
          <w:rFonts w:hint="eastAsia"/>
        </w:rPr>
        <w:t xml:space="preserve">全球宏观经济背景与展望（2023-2026）</w:t>
      </w:r>
    </w:p>
    <w:bookmarkStart w:id="11" w:name="全球经济增长动能与区域分化"/>
    <w:p>
      <w:pPr>
        <w:pStyle w:val="3"/>
      </w:pPr>
      <w:r>
        <w:t xml:space="preserve">1.1 </w:t>
      </w:r>
      <w:r>
        <w:rPr>
          <w:rFonts w:hint="eastAsia"/>
        </w:rPr>
        <w:t xml:space="preserve">全球经济增长动能与区域分化</w:t>
      </w:r>
    </w:p>
    <w:p>
      <w:pPr>
        <w:pStyle w:val="FirstParagraph"/>
      </w:pPr>
      <w:r>
        <w:rPr>
          <w:rFonts w:hint="eastAsia"/>
        </w:rPr>
        <w:t xml:space="preserve">2023年至2026年期间，全球经济正步入一个复杂且充满不确定性的新周期，其核心特征是周期性失衡的逐步减弱与增长路径的显著分化。在经历了2021年疫情后的强劲反弹和2022年地缘政治冲突与通胀飙升的冲击后，2023年全球经济展现出一定的韧性，但整体增速有所放缓。根据国际货币基金组织（IMF）和经济合作与发展组织（OECD）的最新预测，全球经济在2024年有望实现温和增长，并预计在2025年和2026年保持约3.3%的增速，与此前预期基本持平，这反映出全球经济在结构性调整中寻求新的平衡点。</w:t>
      </w:r>
    </w:p>
    <w:p>
      <w:pPr>
        <w:pStyle w:val="a0"/>
      </w:pPr>
      <w:r>
        <w:rPr>
          <w:rFonts w:hint="eastAsia"/>
        </w:rPr>
        <w:t xml:space="preserve">具体来看，主要经济体的表现呈现出明显的差异性。美国经济在2023年展现出超预期的韧性，劳动力市场保持强劲，消费支出稳健，部分得益于财政刺激的滞后效应和企业投资的支撑。IMF在2025年1月的《世界经济展望更新》中上调了对美国经济的增长预期，显示其在主要发达经济体中表现突出，有望实现“软着陆”。然而，高利率环境对投资和房地产市场的长期影响仍需警惕。</w:t>
      </w:r>
    </w:p>
    <w:p>
      <w:pPr>
        <w:pStyle w:val="a0"/>
      </w:pPr>
      <w:r>
        <w:rPr>
          <w:rFonts w:hint="eastAsia"/>
        </w:rPr>
        <w:t xml:space="preserve">欧元区经济则面临更为严峻的挑战，能源危机的影响、持续的高通胀以及欧洲央行激进的货币紧缩政策，使得其经济增长动能显著弱于美国。德国作为欧元区的经济引擎，其制造业面临全球需求放缓和能源成本高企的双重压力，增长前景相对黯淡。法国和意大利等国的复苏也显得缓慢而脆弱，结构性改革的滞后性进一步制约了其长期增长潜力。</w:t>
      </w:r>
    </w:p>
    <w:p>
      <w:pPr>
        <w:pStyle w:val="a0"/>
      </w:pPr>
      <w:r>
        <w:rPr>
          <w:rFonts w:hint="eastAsia"/>
        </w:rPr>
        <w:t xml:space="preserve">中国经济在2023年经历了疫情后的恢复性增长，但房地产市场风险、地方政府债务问题以及外部需求的不确定性，对经济复苏构成持续挑战。中央政府通过积极的财政政策和稳健的货币政策来对冲下行压力，并设定了约5%的年度经济增长目标，旨在稳定市场信心，推动经济高质量发展。投资，特别是新兴产业和基础设施领域的投资，成为重要的增长引擎，但消费信心的恢复仍需时日。</w:t>
      </w:r>
    </w:p>
    <w:p>
      <w:pPr>
        <w:pStyle w:val="a0"/>
      </w:pPr>
      <w:r>
        <w:rPr>
          <w:rFonts w:hint="eastAsia"/>
        </w:rPr>
        <w:t xml:space="preserve">日本经济在摆脱长期通缩的边缘徘徊，通胀水平有所上升，为日本央行调整超宽松货币政策提供了空间。尽管日元贬值对出口形成支撑，但国内消费和投资的结构性问题依然存在，人口老龄化和劳动力短缺是其面临的长期挑战。</w:t>
      </w:r>
    </w:p>
    <w:p>
      <w:pPr>
        <w:pStyle w:val="a0"/>
      </w:pPr>
      <w:r>
        <w:rPr>
          <w:rFonts w:hint="eastAsia"/>
        </w:rPr>
        <w:t xml:space="preserve">新兴市场和发展中经济体表现各异。部分大宗商品出口国受益于国际价格波动，而另一些国家则面临高通胀、高债务和资本外流的压力。整体而言，全球经济的增长路径分化，意味着各国在应对挑战和把握机遇时，需要采取更加定制化和灵活的政策策略。</w:t>
      </w:r>
    </w:p>
    <w:bookmarkEnd w:id="11"/>
    <w:bookmarkStart w:id="12" w:name="全球通胀路径与主要央行的货币政策转向"/>
    <w:p>
      <w:pPr>
        <w:pStyle w:val="3"/>
      </w:pPr>
      <w:r>
        <w:t xml:space="preserve">1.2 </w:t>
      </w:r>
      <w:r>
        <w:rPr>
          <w:rFonts w:hint="eastAsia"/>
        </w:rPr>
        <w:t xml:space="preserve">全球通胀路径与主要央行的货币政策转向</w:t>
      </w:r>
    </w:p>
    <w:p>
      <w:pPr>
        <w:pStyle w:val="FirstParagraph"/>
      </w:pPr>
      <w:r>
        <w:rPr>
          <w:rFonts w:hint="eastAsia"/>
        </w:rPr>
        <w:t xml:space="preserve">2023-2026年期间，全球通胀水平及其演变趋势是宏观经济决策的核心考量。在2021-2022年经历历史性高位之后，全球通胀在2023年呈现出逐步回落的趋势，主要得益于供应链瓶颈的缓解、大宗商品价格的回调以及全球主要央行激进的货币紧缩政策。然而，通胀下行的路径并非一帆风顺，服务业通胀的粘性、劳动力市场的紧张以及地缘政治风险对能源和粮食价格的潜在冲击，使得通胀压力依然存在，并可能在局部区域或特定时期出现反复。</w:t>
      </w:r>
    </w:p>
    <w:p>
      <w:pPr>
        <w:pStyle w:val="a0"/>
      </w:pPr>
      <w:r>
        <w:rPr>
          <w:rFonts w:hint="eastAsia"/>
        </w:rPr>
        <w:t xml:space="preserve">以美国为例，消费者物价指数（CPI）在2022年中达到峰值后持续回落，但核心通胀（剔除食品和能源）的下降速度相对缓慢，反映出服务业和工资上涨的持续压力。美联储为了将通胀拉回2%的目标，自2022年以来采取了激进的加息策略，联邦基金利率已升至20年来的高位。在2023年末至2024年初，市场普遍预期美联储将进入降息周期，但“更高更久”（Higher</w:t>
      </w:r>
      <w:r>
        <w:t xml:space="preserve"> for </w:t>
      </w:r>
      <w:r>
        <w:rPr>
          <w:rFonts w:hint="eastAsia"/>
        </w:rPr>
        <w:t xml:space="preserve">Longer）的政策立场，即在更长时间内维持高利率，成为主流共识，以确保通胀得到有效控制，避免过早放松导致通胀反弹。量化紧缩（QT）政策的持续实施，也进一步收紧了全球美元流动性，对新兴市场和债务负担较重的国家构成压力。</w:t>
      </w:r>
    </w:p>
    <w:p>
      <w:pPr>
        <w:pStyle w:val="a0"/>
      </w:pPr>
      <w:r>
        <w:rPr>
          <w:rFonts w:hint="eastAsia"/>
        </w:rPr>
        <w:t xml:space="preserve">欧洲央行（ECB）也采取了类似的紧缩路径，通过多次加息应对欧元区创纪录的高通胀。然而，欧元区内部经济增长的脆弱性和成员国财政状况的差异性，使得欧洲央行的政策操作面临更多挑战。尽管通胀压力有所缓解，但能源价格的波动和劳动力成本的上升，使得ECB在降息时机上持谨慎态度。</w:t>
      </w:r>
    </w:p>
    <w:p>
      <w:pPr>
        <w:pStyle w:val="a0"/>
      </w:pPr>
      <w:r>
        <w:rPr>
          <w:rFonts w:hint="eastAsia"/>
        </w:rPr>
        <w:t xml:space="preserve">与西方主要央行形成对比的是，中国人民银行（PBOC）在2023年以来则采取了相对宽松的货币政策立场，以支持经济复苏。面对经济下行压力和结构性挑战，中国央行通过降低政策利率、下调存款准备金率以及运用结构性货币政策工具，引导市场利率下行，保持流动性合理充裕，旨在降低实体经济融资成本，激发市场活力。这种与全球主要经济体货币政策的“逆向操作”，在一定程度上稳定了国内经济预期，但也面临资本外流和人民币汇率波动的压力。</w:t>
      </w:r>
    </w:p>
    <w:p>
      <w:pPr>
        <w:pStyle w:val="a0"/>
      </w:pPr>
      <w:r>
        <w:rPr>
          <w:rFonts w:hint="eastAsia"/>
        </w:rPr>
        <w:t xml:space="preserve">日本银行（BoJ）长期坚持超宽松货币政策，包括负利率和收益率曲线控制（YCC）。然而，在通胀开始显现并持续高于2%目标的情况下，日本央行在2024年初结束了负利率政策和YCC，标志着其货币政策的重大转向。尽管如此，日本央行在退出大规模宽松方面仍将保持高度谨慎，以避免对经济造成不必要的冲击。</w:t>
      </w:r>
    </w:p>
    <w:p>
      <w:pPr>
        <w:pStyle w:val="a0"/>
      </w:pPr>
      <w:r>
        <w:rPr>
          <w:rFonts w:hint="eastAsia"/>
        </w:rPr>
        <w:t xml:space="preserve">总体而言，全球主要央行的货币政策正从激进紧缩转向关注通胀的持续性回落与经济增长的平衡。利率走势将对全球流动性、资本流向和资产定价产生深远影响。高利率环境可能抑制投资和消费，增加企业和政府的融资成本，同时也可能加剧新兴市场的债务风险。</w:t>
      </w:r>
    </w:p>
    <w:bookmarkEnd w:id="12"/>
    <w:bookmarkStart w:id="13" w:name="主要国家财政政策的基调与方向"/>
    <w:p>
      <w:pPr>
        <w:pStyle w:val="3"/>
      </w:pPr>
      <w:r>
        <w:t xml:space="preserve">1.3 </w:t>
      </w:r>
      <w:r>
        <w:rPr>
          <w:rFonts w:hint="eastAsia"/>
        </w:rPr>
        <w:t xml:space="preserve">主要国家财政政策的基调与方向</w:t>
      </w:r>
    </w:p>
    <w:p>
      <w:pPr>
        <w:pStyle w:val="FirstParagraph"/>
      </w:pPr>
      <w:r>
        <w:rPr>
          <w:rFonts w:hint="eastAsia"/>
        </w:rPr>
        <w:t xml:space="preserve">在2023-2026年期间，全球主要经济体的财政政策正从疫情期间的大规模刺激转向更加审慎和有针对性的方向，同时面临着高企的公共债务和结构性财政赤字的挑战。各国政府在平衡经济增长、社会福利和财政可持续性之间寻求最优解，财政政策的基调和方向将对全球经济的长期健康发展产生关键影响。</w:t>
      </w:r>
    </w:p>
    <w:p>
      <w:pPr>
        <w:pStyle w:val="a0"/>
      </w:pPr>
      <w:r>
        <w:rPr>
          <w:rFonts w:hint="eastAsia"/>
        </w:rPr>
        <w:t xml:space="preserve">美国在财政政策方面表现出扩张性倾向，尽管面临财政赤字和国债规模不断扩大的压力，但政府仍在推动基础设施建设、绿色能源转型（如《通胀削减法案》）和半导体产业发展等领域的投资。这些政策旨在提升长期竞争力，但也加剧了财政赤字。美国国会围绕债务上限的谈判和两党政治的僵局，增加了财政政策的不确定性，可能对市场信心和长期经济稳定构成潜在风险。</w:t>
      </w:r>
    </w:p>
    <w:p>
      <w:pPr>
        <w:pStyle w:val="a0"/>
      </w:pPr>
      <w:r>
        <w:rPr>
          <w:rFonts w:hint="eastAsia"/>
        </w:rPr>
        <w:t xml:space="preserve">欧盟成员国面临着《稳定与增长公约》的财政纪律约束，但疫情和能源危机使得许多国家的公共债务水平飙升。欧盟正在探讨新的财政规则，以在财政可持续性和支持绿色及数字化转型投资之间找到平衡。德国等财政保守国家倾向于回归财政纪律，而南欧国家则呼吁更大的财政灵活性和共同债务工具。整体而言，欧元区财政政策将趋于紧缩，但对战略性产业的投资和对弱势群体的支持仍将是重点。</w:t>
      </w:r>
    </w:p>
    <w:p>
      <w:pPr>
        <w:pStyle w:val="a0"/>
      </w:pPr>
      <w:r>
        <w:rPr>
          <w:rFonts w:hint="eastAsia"/>
        </w:rPr>
        <w:t xml:space="preserve">中国政府继续实施积极的财政政策，以应对经济下行压力。这包括发行特别国债、增加地方政府专项债券发行规模，以及通过减税降费等措施来支持企业发展和居民消费。基础设施投资仍是财政支出的重要方向，特别是在新型基础设施领域（如数字基础设施、人工智能算力基建）的投入。然而，地方政府债务问题日益突出，成为中国财政面临的“灰犀牛”事件。中央政府正通过优化债务结构、规范地方政府融资行为等方式加以应对，以防范系统性风险。</w:t>
      </w:r>
    </w:p>
    <w:p>
      <w:pPr>
        <w:pStyle w:val="a0"/>
      </w:pPr>
      <w:r>
        <w:rPr>
          <w:rFonts w:hint="eastAsia"/>
        </w:rPr>
        <w:t xml:space="preserve">日本作为全球公共债务负担最重的国家之一，其财政政策在未来几年内仍将保持宽松基调，以支持经济复苏和应对结构性挑战（如人口老龄化）。尽管债务水平高企，但由于日本国内储蓄率高和日本央行的大规模购债，其债务风险相对可控。然而，长期来看，财政整固仍是日本政府面临的艰巨任务。</w:t>
      </w:r>
    </w:p>
    <w:p>
      <w:pPr>
        <w:pStyle w:val="a0"/>
      </w:pPr>
      <w:r>
        <w:rPr>
          <w:rFonts w:hint="eastAsia"/>
        </w:rPr>
        <w:t xml:space="preserve">总体来看，全球主要国家的财政政策正努力在刺激经济增长和控制债务风险之间取得平衡。财政刺激措施正变得更加有针对性，侧重于提升长期生产力和应对气候变化等结构性问题。然而，不断积累的公共债务和高企的财政赤字，对未来财政政策的可持续性构成重大挑战，可能在极端情况下引发主权债务危机，或限制政府应对未来冲击的能力。</w:t>
      </w:r>
    </w:p>
    <w:bookmarkEnd w:id="13"/>
    <w:bookmarkStart w:id="14" w:name="国际贸易关系现状与全球供应链重塑"/>
    <w:p>
      <w:pPr>
        <w:pStyle w:val="3"/>
      </w:pPr>
      <w:r>
        <w:t xml:space="preserve">1.4 </w:t>
      </w:r>
      <w:r>
        <w:rPr>
          <w:rFonts w:hint="eastAsia"/>
        </w:rPr>
        <w:t xml:space="preserve">国际贸易关系现状与全球供应链重塑</w:t>
      </w:r>
    </w:p>
    <w:p>
      <w:pPr>
        <w:pStyle w:val="FirstParagraph"/>
      </w:pPr>
      <w:r>
        <w:rPr>
          <w:rFonts w:hint="eastAsia"/>
        </w:rPr>
        <w:t xml:space="preserve">2023-2026年期间，全球国际贸易关系正经历深刻的结构性变化，从过去的“全球化”向“逆全球化”或“碎片化”趋势演变，地缘政治紧张局势成为重塑全球供应链和贸易格局的关键驱动因素。各国在追求经济效率的同时，更加注重供应链韧性和国家安全，导致贸易保护主义抬头，区域化和“友岸外包”（friend-shoring）成为新的趋势。</w:t>
      </w:r>
    </w:p>
    <w:p>
      <w:pPr>
        <w:pStyle w:val="a0"/>
      </w:pPr>
      <w:r>
        <w:rPr>
          <w:rFonts w:hint="eastAsia"/>
        </w:rPr>
        <w:t xml:space="preserve">中美贸易关系仍是全球贸易格局中最具影响力的变量。美国对中国实施的关税壁垒、技术出口管制（特别是针对高端芯片和人工智能技术）以及投资审查，对全球供应链造成了显著冲击。这不仅导致产品成本上升，也促使跨国企业重新评估其全球生产布局，将部分供应链从中国转移至其他国家，如东南亚、印度或墨西哥，以降低地缘政治风险。这种“去风险化”（de-risking）策略，虽然旨在增强供应链的弹性，但也可能导致效率下降和成本增加。中国则将“科技自立自强”置于更突出的战略位置，大力投资于半导体、人工智能等关键核心技术领域的国产化替代，以应对外部制约。</w:t>
      </w:r>
    </w:p>
    <w:p>
      <w:pPr>
        <w:pStyle w:val="a0"/>
      </w:pPr>
      <w:r>
        <w:rPr>
          <w:rFonts w:hint="eastAsia"/>
        </w:rPr>
        <w:t xml:space="preserve">国际贸易摩擦的加剧，使得世界贸易组织（WTO）等多边贸易机制面临严峻挑战。各国倾向于通过双边或区域贸易协定来深化经济合作，例如《区域全面经济伙伴关系协定》（RCEP）和《全面与进步跨太平洋伙伴关系协定》（CPTPP）等区域贸易协定正在发挥越来越重要的作用。欧盟也在积极拓展其贸易伙伴，寻求供应链多元化，并加强对战略性产业的保护。</w:t>
      </w:r>
    </w:p>
    <w:p>
      <w:pPr>
        <w:pStyle w:val="a0"/>
      </w:pPr>
      <w:r>
        <w:rPr>
          <w:rFonts w:hint="eastAsia"/>
        </w:rPr>
        <w:t xml:space="preserve">地缘政治冲突，如俄乌战争，对全球能源和粮食供应链造成了严重干扰，推高了相关商品价格，并加速了各国对能源安全的重视。中东地区的不稳定局势也可能随时引发新的供应链中断风险。这些因素使得全球贸易环境更加复杂和不可预测。</w:t>
      </w:r>
    </w:p>
    <w:p>
      <w:pPr>
        <w:pStyle w:val="a0"/>
      </w:pPr>
      <w:r>
        <w:rPr>
          <w:rFonts w:hint="eastAsia"/>
        </w:rPr>
        <w:t xml:space="preserve">供应链重塑不仅是地理上的转移，更是技术和模式上的升级。数字化、自动化和人工智能技术被广泛应用于供应链管理，以提高透明度、效率和韧性。然而，这种转型也面临数据安全、网络攻击以及技术标准差异等挑战。</w:t>
      </w:r>
    </w:p>
    <w:p>
      <w:pPr>
        <w:pStyle w:val="a0"/>
      </w:pPr>
      <w:r>
        <w:rPr>
          <w:rFonts w:hint="eastAsia"/>
        </w:rPr>
        <w:t xml:space="preserve">国际贸易关系的碎片化和供应链的重塑，对全球经济增长构成潜在的下行风险。贸易壁垒的增加可能抑制全球商品和服务的自由流动，降低全球生产效率，并可能引发通胀压力。同时，供应链的多元化和韧性提升，虽然短期内可能增加成本，但长期来看有助于降低未来冲击的脆弱性，为全球经济的稳定发展提供更坚实的基础。</w:t>
      </w:r>
    </w:p>
    <w:bookmarkEnd w:id="14"/>
    <w:bookmarkStart w:id="15" w:name="年全球经济的整体判断与展望"/>
    <w:p>
      <w:pPr>
        <w:pStyle w:val="3"/>
      </w:pPr>
      <w:r>
        <w:t xml:space="preserve">1.5 </w:t>
      </w:r>
      <w:r>
        <w:rPr>
          <w:rFonts w:hint="eastAsia"/>
        </w:rPr>
        <w:t xml:space="preserve">2023-2026年全球经济的整体判断与展望</w:t>
      </w:r>
    </w:p>
    <w:p>
      <w:pPr>
        <w:pStyle w:val="FirstParagraph"/>
      </w:pPr>
      <w:r>
        <w:rPr>
          <w:rFonts w:hint="eastAsia"/>
        </w:rPr>
        <w:t xml:space="preserve">综合上述分析，2023年至2026年全球经济的整体判断是：在经历疫情后的剧烈波动和通胀挑战后，全球经济正逐步进入一个“新常态”时期，其特征是增长动能温和、通胀压力犹存、高利率环境可能长期化、地缘政治风险持续、以及各国政策分化。尽管“软着陆”的可能性有所增加，但经济前景依然充满不确定性，潜在的增长动力与下行风险并存。</w:t>
      </w:r>
    </w:p>
    <w:p>
      <w:pPr>
        <w:pStyle w:val="a0"/>
      </w:pPr>
      <w:r>
        <w:rPr>
          <w:rFonts w:hint="eastAsia"/>
          <w:b/>
          <w:bCs/>
        </w:rPr>
        <w:t xml:space="preserve">潜在的增长动力主要体现在以下几个方面：</w:t>
      </w:r>
    </w:p>
    <w:p>
      <w:pPr>
        <w:pStyle w:val="a0"/>
      </w:pPr>
      <w:r>
        <w:rPr>
          <w:rFonts w:hint="eastAsia"/>
        </w:rPr>
        <w:t xml:space="preserve">首先，</w:t>
      </w:r>
      <w:r>
        <w:rPr>
          <w:rFonts w:hint="eastAsia"/>
          <w:b/>
          <w:bCs/>
        </w:rPr>
        <w:t xml:space="preserve">科技创新特别是生成式人工智能（AI）的爆发式发展</w:t>
      </w:r>
      <w:r>
        <w:rPr>
          <w:rFonts w:hint="eastAsia"/>
        </w:rPr>
        <w:t xml:space="preserve">，有望成为未来几年全球经济增长的核心驱动力。AI技术的广泛应用将重塑生产模式、提升生产效率、催生新产业和新业态，为投资和消费提供新的增长点。全球在AI基础设施和算力方面的投资将显著增加，带动相关产业链的蓬勃发展。</w:t>
      </w:r>
      <w:r>
        <w:t xml:space="preserve"> </w:t>
      </w:r>
      <w:r>
        <w:rPr>
          <w:rFonts w:hint="eastAsia"/>
        </w:rPr>
        <w:t xml:space="preserve">其次，</w:t>
      </w:r>
      <w:r>
        <w:rPr>
          <w:rFonts w:hint="eastAsia"/>
          <w:b/>
          <w:bCs/>
        </w:rPr>
        <w:t xml:space="preserve">绿色转型和可持续发展领域的投资</w:t>
      </w:r>
      <w:r>
        <w:rPr>
          <w:rFonts w:hint="eastAsia"/>
        </w:rPr>
        <w:t xml:space="preserve">将持续增长。各国政府和企业对气候变化的重视以及对可再生能源、电动汽车、节能技术等领域的投入，将创造巨大的市场需求和就业机会。</w:t>
      </w:r>
      <w:r>
        <w:t xml:space="preserve"> </w:t>
      </w:r>
      <w:r>
        <w:rPr>
          <w:rFonts w:hint="eastAsia"/>
        </w:rPr>
        <w:t xml:space="preserve">再者，</w:t>
      </w:r>
      <w:r>
        <w:rPr>
          <w:rFonts w:hint="eastAsia"/>
          <w:b/>
          <w:bCs/>
        </w:rPr>
        <w:t xml:space="preserve">部分新兴市场和发展中经济体的内需潜力</w:t>
      </w:r>
      <w:r>
        <w:rPr>
          <w:rFonts w:hint="eastAsia"/>
        </w:rPr>
        <w:t xml:space="preserve">，尤其是在人口红利和中产阶级壮大的地区，有望成为全球经济增长的重要支撑。这些国家在基础设施建设和产业升级方面的努力，也将贡献积极的增长动能。</w:t>
      </w:r>
      <w:r>
        <w:t xml:space="preserve"> </w:t>
      </w:r>
      <w:r>
        <w:rPr>
          <w:rFonts w:hint="eastAsia"/>
        </w:rPr>
        <w:t xml:space="preserve">最后，</w:t>
      </w:r>
      <w:r>
        <w:rPr>
          <w:rFonts w:hint="eastAsia"/>
          <w:b/>
          <w:bCs/>
        </w:rPr>
        <w:t xml:space="preserve">全球供应链的韧性提升</w:t>
      </w:r>
      <w:r>
        <w:rPr>
          <w:rFonts w:hint="eastAsia"/>
        </w:rPr>
        <w:t xml:space="preserve">，通过多元化和区域化布局，虽然短期可能增加成本，但长期有助于降低经济对外部冲击的脆弱性，为更稳定的增长提供保障。</w:t>
      </w:r>
    </w:p>
    <w:p>
      <w:pPr>
        <w:pStyle w:val="a0"/>
      </w:pPr>
      <w:r>
        <w:rPr>
          <w:rFonts w:hint="eastAsia"/>
          <w:b/>
          <w:bCs/>
        </w:rPr>
        <w:t xml:space="preserve">然而，全球经济也面临诸多显著的下行风险：</w:t>
      </w:r>
    </w:p>
    <w:p>
      <w:pPr>
        <w:pStyle w:val="a0"/>
      </w:pPr>
      <w:r>
        <w:rPr>
          <w:rFonts w:hint="eastAsia"/>
        </w:rPr>
        <w:t xml:space="preserve">首先，</w:t>
      </w:r>
      <w:r>
        <w:rPr>
          <w:rFonts w:hint="eastAsia"/>
          <w:b/>
          <w:bCs/>
        </w:rPr>
        <w:t xml:space="preserve">通胀的粘性与货币政策的滞后效应</w:t>
      </w:r>
      <w:r>
        <w:rPr>
          <w:rFonts w:hint="eastAsia"/>
        </w:rPr>
        <w:t xml:space="preserve">是核心风险。如果通胀未能持续回落至目标水平，主要央行可能被迫维持高利率更长时间，甚至再次加息，这将对全球经济增长形成持续压制，并可能引发金融市场动荡，增加企业和个人的债务负担，甚至导致经济衰退。</w:t>
      </w:r>
      <w:r>
        <w:t xml:space="preserve"> </w:t>
      </w:r>
      <w:r>
        <w:rPr>
          <w:rFonts w:hint="eastAsia"/>
        </w:rPr>
        <w:t xml:space="preserve">其次，</w:t>
      </w:r>
      <w:r>
        <w:rPr>
          <w:rFonts w:hint="eastAsia"/>
          <w:b/>
          <w:bCs/>
        </w:rPr>
        <w:t xml:space="preserve">地缘政治冲突的加剧</w:t>
      </w:r>
      <w:r>
        <w:rPr>
          <w:rFonts w:hint="eastAsia"/>
        </w:rPr>
        <w:t xml:space="preserve">是最大的“灰犀牛”事件。俄乌冲突的长期化、中东地区的不稳定以及中美在科技和贸易领域的持续竞争，都可能引发新的能源危机、供应链中断，甚至直接影响全球贸易和投资信心。</w:t>
      </w:r>
      <w:r>
        <w:t xml:space="preserve"> </w:t>
      </w:r>
      <w:r>
        <w:rPr>
          <w:rFonts w:hint="eastAsia"/>
        </w:rPr>
        <w:t xml:space="preserve">第三，</w:t>
      </w:r>
      <w:r>
        <w:rPr>
          <w:rFonts w:hint="eastAsia"/>
          <w:b/>
          <w:bCs/>
        </w:rPr>
        <w:t xml:space="preserve">全球公共债务危机</w:t>
      </w:r>
      <w:r>
        <w:rPr>
          <w:rFonts w:hint="eastAsia"/>
        </w:rPr>
        <w:t xml:space="preserve">的风险不容忽视。疫情期间的大规模财政刺激导致各国政府债务高企，在高利率环境下，偿债成本飙升，可能引发部分国家的主权债务危机，并对全球金融体系造成冲击。特别是对新兴市场而言，美元走强和资本外流可能加剧其债务困境。</w:t>
      </w:r>
      <w:r>
        <w:t xml:space="preserve"> </w:t>
      </w:r>
      <w:r>
        <w:rPr>
          <w:rFonts w:hint="eastAsia"/>
        </w:rPr>
        <w:t xml:space="preserve">第四，</w:t>
      </w:r>
      <w:r>
        <w:rPr>
          <w:rFonts w:hint="eastAsia"/>
          <w:b/>
          <w:bCs/>
        </w:rPr>
        <w:t xml:space="preserve">房地产市场风险</w:t>
      </w:r>
      <w:r>
        <w:rPr>
          <w:rFonts w:hint="eastAsia"/>
        </w:rPr>
        <w:t xml:space="preserve">，特别是中国房地产行业的结构性调整，可能通过金融系统和消费者信心传导至实体经济，对经济增长构成显著拖累。其他国家，如美国和欧洲，商业地产领域的潜在风险也值得关注。</w:t>
      </w:r>
      <w:r>
        <w:t xml:space="preserve"> </w:t>
      </w:r>
      <w:r>
        <w:rPr>
          <w:rFonts w:hint="eastAsia"/>
        </w:rPr>
        <w:t xml:space="preserve">最后，</w:t>
      </w:r>
      <w:r>
        <w:rPr>
          <w:rFonts w:hint="eastAsia"/>
          <w:b/>
          <w:bCs/>
        </w:rPr>
        <w:t xml:space="preserve">气候变化和极端天气事件</w:t>
      </w:r>
      <w:r>
        <w:rPr>
          <w:rFonts w:hint="eastAsia"/>
        </w:rPr>
        <w:t xml:space="preserve">的频率和强度增加，可能对农业生产、基础设施和供应链造成破坏，进而影响经济增长和通胀水平。</w:t>
      </w:r>
    </w:p>
    <w:p>
      <w:pPr>
        <w:pStyle w:val="a0"/>
      </w:pPr>
      <w:r>
        <w:rPr>
          <w:rFonts w:hint="eastAsia"/>
        </w:rPr>
        <w:t xml:space="preserve">综上所述，2023-2026年的全球经济将是一个在不确定性中寻求平衡的时期。虽然科技创新和绿色转型提供了新的增长机遇，但持续的通胀压力、高企的债务水平以及复杂的地缘政治格局，使得全球经济的复苏之路充满挑战。各国政策制定者需要在应对短期风险与促进长期可持续增长之间，采取审慎而灵活的策略，以期实现经济的平稳过渡与健康发展。</w:t>
      </w:r>
    </w:p>
    <w:bookmarkEnd w:id="15"/>
    <w:bookmarkEnd w:id="16"/>
    <w:bookmarkStart w:id="22" w:name="全球主要经济体货币政策分析与展望2023-2026"/>
    <w:p>
      <w:pPr>
        <w:pStyle w:val="2"/>
      </w:pPr>
      <w:r>
        <w:t xml:space="preserve">2. </w:t>
      </w:r>
      <w:r>
        <w:rPr>
          <w:rFonts w:hint="eastAsia"/>
        </w:rPr>
        <w:t xml:space="preserve">全球主要经济体货币政策分析与展望（2023-2026）</w:t>
      </w:r>
    </w:p>
    <w:bookmarkStart w:id="17" w:name="美联储货币政策从激进紧缩到审慎观望的演变"/>
    <w:p>
      <w:pPr>
        <w:pStyle w:val="3"/>
      </w:pPr>
      <w:r>
        <w:t xml:space="preserve">2.1 </w:t>
      </w:r>
      <w:r>
        <w:rPr>
          <w:rFonts w:hint="eastAsia"/>
        </w:rPr>
        <w:t xml:space="preserve">美联储货币政策：从激进紧缩到审慎观望的演变</w:t>
      </w:r>
    </w:p>
    <w:p>
      <w:pPr>
        <w:pStyle w:val="FirstParagraph"/>
      </w:pPr>
      <w:r>
        <w:rPr>
          <w:rFonts w:hint="eastAsia"/>
        </w:rPr>
        <w:t xml:space="preserve">自2022年3月以来，美联储为应对数十年未见的通胀压力，启动了激进的货币紧缩周期，联邦基金利率从接近零的水平迅速提升至2023年7月的5.25%-5.50%区间，达到22年来的高点。与此同时，美联储也持续推进量化紧缩（QT）政策，通过缩减资产负债表来回收市场流动性。这一系列举措旨在通过提高借贷成本、抑制总需求来使通胀回归2%的目标水平。在2023年，尽管通胀压力有所缓解，但劳动力市场依然强劲，核心通胀的韧性使得美联储在下半年多次暂停加息后，仍维持“更高更久”（higher</w:t>
      </w:r>
      <w:r>
        <w:t xml:space="preserve"> for </w:t>
      </w:r>
      <w:r>
        <w:rPr>
          <w:rFonts w:hint="eastAsia"/>
        </w:rPr>
        <w:t xml:space="preserve">longer）的利率指引，以巩固抗通胀成果。</w:t>
      </w:r>
    </w:p>
    <w:p>
      <w:pPr>
        <w:pStyle w:val="a0"/>
      </w:pPr>
      <w:r>
        <w:rPr>
          <w:rFonts w:hint="eastAsia"/>
        </w:rPr>
        <w:t xml:space="preserve">进入2024年，市场对美联储降息的预期一度升温，认为通胀将持续下行，经济可能面临温和衰退风险。然而，年初以来美国经济数据表现出超预期韧性，特别是就业市场依然紧张，以及核心通胀数据显示出一定的粘性，使得美联储官员普遍采取更为谨慎的立场。虽然市场普遍预期美联储将在2024年下半年开始降息，但降息的时点和幅度将高度依赖于未来通胀和就业数据的演变。量化紧缩政策预计仍将持续，尽管其对市场流动性的边际影响可能逐步减弱。</w:t>
      </w:r>
    </w:p>
    <w:p>
      <w:pPr>
        <w:pStyle w:val="a0"/>
      </w:pPr>
      <w:r>
        <w:rPr>
          <w:rFonts w:hint="eastAsia"/>
        </w:rPr>
        <w:t xml:space="preserve">美联储的货币政策对全球金融市场具有深远影响。高利率环境推升了全球融资成本，美元走强，导致资本从新兴市场回流美国，对这些国家的汇率稳定和国际收支构成压力。对于生成式AI基建和算力投资而言，高利率直接增加了企业获取资本的成本，无论是通过银行贷款还是发行债券。AI基础设施建设是典型的资本密集型产业，需要大量的初期投入，包括高性能计算硬件（如服务器和AI芯片，IDC预测硬件将占中国AI投资的50%以上，服务器占硬件投资的80%以上）、数据中心建设和能源供应。因此，美联储的紧缩政策无疑提高了这些投资的门槛，可能抑制部分新项目的启动或放缓现有项目的扩张速度。同时，美元走强也可能增加非美元区企业进口AI核心硬件的成本，尤其是在地缘政治背景下，高端AI芯片的供应链安全和成本控制成为关键考量。</w:t>
      </w:r>
    </w:p>
    <w:bookmarkEnd w:id="17"/>
    <w:bookmarkStart w:id="18" w:name="欧洲央行货币政策在通胀与增长之间寻求平衡"/>
    <w:p>
      <w:pPr>
        <w:pStyle w:val="3"/>
      </w:pPr>
      <w:r>
        <w:t xml:space="preserve">2.2 </w:t>
      </w:r>
      <w:r>
        <w:rPr>
          <w:rFonts w:hint="eastAsia"/>
        </w:rPr>
        <w:t xml:space="preserve">欧洲央行货币政策：在通胀与增长之间寻求平衡</w:t>
      </w:r>
    </w:p>
    <w:p>
      <w:pPr>
        <w:pStyle w:val="FirstParagraph"/>
      </w:pPr>
      <w:r>
        <w:rPr>
          <w:rFonts w:hint="eastAsia"/>
        </w:rPr>
        <w:t xml:space="preserve">与美联储类似，欧洲央行（ECB）在2022年下半年也开启了激进的加息周期，以应对欧元区飙升的通胀。尽管欧洲央行在加息节奏上略滞后于美联储，但其也迅速将主要再融资利率从负值区间提升至2023年9月的4.50%，存款便利利率达到4.00%的历史高位。欧元区通胀的驱动因素更为复杂，除了全球能源危机和供应链中断外，俄乌冲突带来的地缘政治风险以及结构性的能源转型成本也发挥了重要作用。</w:t>
      </w:r>
    </w:p>
    <w:p>
      <w:pPr>
        <w:pStyle w:val="a0"/>
      </w:pPr>
      <w:r>
        <w:rPr>
          <w:rFonts w:hint="eastAsia"/>
        </w:rPr>
        <w:t xml:space="preserve">进入2024年，欧元区通胀已显著回落，但核心通胀的粘性，特别是服务业通胀和工资增长的压力，仍是欧洲央行关注的焦点。与此同时，欧元区经济增长乏力，部分成员国甚至面临技术性衰退的风险，德国等主要经济体工业产出持续疲软。这使得欧洲央行面临一个艰难的权衡：一方面需要警惕通胀反弹的风险，另一方面又要避免过度紧缩对经济增长造成不可逆的损害。市场普遍预期欧洲央行可能在2024年中期开始降息，但其降息路径将比美联储更为谨慎，且可能存在与美联储政策路径分化的可能性，这取决于各自经济数据的表现。</w:t>
      </w:r>
    </w:p>
    <w:p>
      <w:pPr>
        <w:pStyle w:val="a0"/>
      </w:pPr>
      <w:r>
        <w:rPr>
          <w:rFonts w:hint="eastAsia"/>
        </w:rPr>
        <w:t xml:space="preserve">欧洲央行的货币政策对欧元区内部的AI基建投资影响显著。高利率环境增加了欧元区内企业融资成本，对那些依赖债务融资的AI初创企业和数据中心运营商构成挑战。欧元区的经济增长困境也可能影响企业对AI技术应用的投资意愿。然而，如果欧洲央行能够较早地启动降息周期，将有助于缓解融资压力，为AI相关投资提供更为宽松的货币环境。同时，欧元汇率的波动也会影响欧洲企业进口AI硬件的成本，尤其是在全球AI供应链高度依赖美元结算的背景下。</w:t>
      </w:r>
    </w:p>
    <w:bookmarkEnd w:id="18"/>
    <w:bookmarkStart w:id="19" w:name="中国人民银行货币政策稳增长与结构性支持的独特路径"/>
    <w:p>
      <w:pPr>
        <w:pStyle w:val="3"/>
      </w:pPr>
      <w:r>
        <w:t xml:space="preserve">2.3 </w:t>
      </w:r>
      <w:r>
        <w:rPr>
          <w:rFonts w:hint="eastAsia"/>
        </w:rPr>
        <w:t xml:space="preserve">中国人民银行货币政策：稳增长与结构性支持的独特路径</w:t>
      </w:r>
    </w:p>
    <w:p>
      <w:pPr>
        <w:pStyle w:val="FirstParagraph"/>
      </w:pPr>
      <w:r>
        <w:rPr>
          <w:rFonts w:hint="eastAsia"/>
        </w:rPr>
        <w:t xml:space="preserve">与美联储和欧洲央行形成鲜明对比的是，中国人民银行（PBoC）在2023-2026年期间的货币政策主基调预计将保持稳健偏宽松的态势，以应对国内经济面临的结构性挑战和下行压力。在2023年，面对房地产市场调整、地方政府债务风险以及内需不足等问题，中国人民银行多次通过降准、降低政策利率（如中期借贷便利MLF利率和贷款市场报价利率LPR）等方式，引导市场利率下行，保持流动性合理充裕。与西方主要央行对抗通胀的紧缩政策不同，中国面临的是温和通胀甚至部分领域的通缩压力，这为货币政策提供了更大的宽松空间。</w:t>
      </w:r>
    </w:p>
    <w:p>
      <w:pPr>
        <w:pStyle w:val="a0"/>
      </w:pPr>
      <w:r>
        <w:rPr>
          <w:rFonts w:hint="eastAsia"/>
        </w:rPr>
        <w:t xml:space="preserve">中国人民银行的货币政策不仅关注总量调控，更注重结构性支持。通过设立各类结构性货币政策工具，如科技创新再贷款、普惠小微贷款支持工具等，引导金融机构加大对特定领域（如科技创新、绿色发展、先进制造）的支持力度。在《summary_from_search》中提及，2025年中央经济工作会议将人工智能视为经济转型的关键动力，并提出更加积极的财政政策和适度宽松的货币政策，这表明中国政府将通过政策组合拳来支持包括生成式AI在内的战略性新兴产业发展。</w:t>
      </w:r>
    </w:p>
    <w:p>
      <w:pPr>
        <w:pStyle w:val="a0"/>
      </w:pPr>
      <w:r>
        <w:rPr>
          <w:rFonts w:hint="eastAsia"/>
        </w:rPr>
        <w:t xml:space="preserve">对于中国的生成式AI基建与算力投资而言，中国人民银行的宽松货币政策无疑是重要的利好因素。较低的融资成本有助于降低AI数据中心建设、算力设备采购以及AI模型研发的资金门槛。结构性货币政策工具的运用，能够引导更多金融资源流向AI领域，为相关企业提供定向的资金支持。此外，人民币汇率的相对稳定（尽管面临美元强势的外部压力）也有助于控制进口高性能AI芯片等关键设备的成本。然而，需要注意的是，房地产市场风险和地方政府债务问题仍是潜在的“灰犀牛”事件，可能通过影响金融体系稳定性和市场信心，进而对AI投资的整体环境造成冲击。</w:t>
      </w:r>
    </w:p>
    <w:bookmarkEnd w:id="19"/>
    <w:bookmarkStart w:id="20" w:name="主要经济体货币政策协同与分化对全球市场的影响"/>
    <w:p>
      <w:pPr>
        <w:pStyle w:val="3"/>
      </w:pPr>
      <w:r>
        <w:t xml:space="preserve">2.4 </w:t>
      </w:r>
      <w:r>
        <w:rPr>
          <w:rFonts w:hint="eastAsia"/>
        </w:rPr>
        <w:t xml:space="preserve">主要经济体货币政策协同与分化对全球市场的影响</w:t>
      </w:r>
    </w:p>
    <w:p>
      <w:pPr>
        <w:pStyle w:val="FirstParagraph"/>
      </w:pPr>
      <w:r>
        <w:rPr>
          <w:rFonts w:hint="eastAsia"/>
        </w:rPr>
        <w:t xml:space="preserve">2023-2026年期间，全球主要经济体货币政策的协同与分化将深刻影响全球利率、汇率、资本流动以及生成式AI基建的投资成本。</w:t>
      </w:r>
    </w:p>
    <w:p>
      <w:pPr>
        <w:pStyle w:val="a0"/>
      </w:pPr>
      <w:r>
        <w:rPr>
          <w:rFonts w:hint="eastAsia"/>
          <w:b/>
          <w:bCs/>
        </w:rPr>
        <w:t xml:space="preserve">全球利率传导</w:t>
      </w:r>
      <w:r>
        <w:rPr>
          <w:rFonts w:hint="eastAsia"/>
        </w:rPr>
        <w:t xml:space="preserve">：美联储作为全球央行之央行，其货币政策对全球基准利率具有强大的传导效应。即使其他央行不直接跟随美联储加息，美元高利率也会通过资本流动和汇率渠道，间接推高全球其他经济体的融资成本。对于生成式AI基建而言，这意味着无论是美元计价的国际贷款，还是本地货币融资，都可能面临相对较高的利率环境，从而增加项目的财务负担。</w:t>
      </w:r>
    </w:p>
    <w:p>
      <w:pPr>
        <w:pStyle w:val="a0"/>
      </w:pPr>
      <w:r>
        <w:rPr>
          <w:rFonts w:hint="eastAsia"/>
          <w:b/>
          <w:bCs/>
        </w:rPr>
        <w:t xml:space="preserve">汇率波动与资本流动</w:t>
      </w:r>
      <w:r>
        <w:rPr>
          <w:rFonts w:hint="eastAsia"/>
        </w:rPr>
        <w:t xml:space="preserve">：美联储与欧洲央行在降息时点和幅度上的潜在分化，以及中国人民银行持续的宽松政策，将导致主要货币对之间的汇率波动加剧。美元的相对强势可能持续一段时间，导致非美货币承压。对于AI基建投资而言，这会带来两方面影响：一是对于需要进口高端AI芯片和服务器的非美国家企业，本币贬值将增加采购成本；二是资本可能倾向于流向利率更高、经济前景更稳健的区域，例如在美联储保持高利率期间，美国AI科技公司可能更容易吸引国际资本，而新兴市场的AI投资则面临资本外流的风险。这种资本流动的分化，可能导致全球AI算力基础设施的区域性发展不平衡。</w:t>
      </w:r>
    </w:p>
    <w:p>
      <w:pPr>
        <w:pStyle w:val="a0"/>
      </w:pPr>
      <w:r>
        <w:rPr>
          <w:rFonts w:hint="eastAsia"/>
          <w:b/>
          <w:bCs/>
        </w:rPr>
        <w:t xml:space="preserve">市场流动性与投资成本</w:t>
      </w:r>
      <w:r>
        <w:rPr>
          <w:rFonts w:hint="eastAsia"/>
        </w:rPr>
        <w:t xml:space="preserve">：美联储和欧洲央行的量化紧缩政策持续从市场回收流动性，尽管速度可能放缓，但全球整体流动性环境将趋于收紧，这可能使得私募股权、风险投资等对AI初创企业和基建项目至关重要的资金来源面临更大挑战。相反，中国人民银行的宽松政策则致力于保持国内市场流动性充裕，并引导资金流向科技创新领域，这为中国的AI基建投资提供了相对有利的国内融资环境。这种流动性环境的差异，将直接影响生成式AI基建项目的融资难度和成本。高昂的资金成本不仅会侵蚀投资回报率，还可能迫使企业推迟或缩减投资规模，尤其是在AI技术迭代迅速、投资回报周期不确定的背景下。</w:t>
      </w:r>
    </w:p>
    <w:bookmarkEnd w:id="20"/>
    <w:bookmarkStart w:id="21" w:name="货币政策未来展望与生成式ai基建投资的机遇与挑战"/>
    <w:p>
      <w:pPr>
        <w:pStyle w:val="3"/>
      </w:pPr>
      <w:r>
        <w:t xml:space="preserve">2.5 </w:t>
      </w:r>
      <w:r>
        <w:rPr>
          <w:rFonts w:hint="eastAsia"/>
        </w:rPr>
        <w:t xml:space="preserve">货币政策未来展望与生成式AI基建投资的机遇与挑战</w:t>
      </w:r>
    </w:p>
    <w:p>
      <w:pPr>
        <w:pStyle w:val="FirstParagraph"/>
      </w:pPr>
      <w:r>
        <w:rPr>
          <w:rFonts w:hint="eastAsia"/>
        </w:rPr>
        <w:t xml:space="preserve">展望2024年至2026年，全球主要经济体的货币政策将进入一个更加精细化调整的阶段。美联储和欧洲央行有望在通胀持续回落、经济增长压力显现的背景下，逐步开启降息周期，但其节奏将是渐进且数据依赖的。中国人民银行则可能继续保持适度宽松的货币政策，并结合结构性工具，以支持经济转型和战略性新兴产业发展。</w:t>
      </w:r>
    </w:p>
    <w:p>
      <w:pPr>
        <w:pStyle w:val="a0"/>
      </w:pPr>
      <w:r>
        <w:rPr>
          <w:rFonts w:hint="eastAsia"/>
          <w:b/>
          <w:bCs/>
        </w:rPr>
        <w:t xml:space="preserve">对生成式AI基建投资的机遇</w:t>
      </w:r>
      <w:r>
        <w:rPr>
          <w:rFonts w:hint="eastAsia"/>
        </w:rPr>
        <w:t xml:space="preserve">：</w:t>
      </w:r>
      <w:r>
        <w:t xml:space="preserve"> </w:t>
      </w:r>
      <w:r>
        <w:t xml:space="preserve">*</w:t>
      </w:r>
      <w:r>
        <w:t xml:space="preserve"> </w:t>
      </w:r>
      <w:r>
        <w:rPr>
          <w:rFonts w:hint="eastAsia"/>
          <w:b/>
          <w:bCs/>
        </w:rPr>
        <w:t xml:space="preserve">融资成本下降</w:t>
      </w:r>
      <w:r>
        <w:rPr>
          <w:rFonts w:hint="eastAsia"/>
        </w:rPr>
        <w:t xml:space="preserve">：一旦美联储和欧洲央行启动降息，全球融资成本将有所回落，这将直接降低AI数据中心建设、硬件采购以及AI模型研发的资金成本，刺激相关投资。</w:t>
      </w:r>
      <w:r>
        <w:t xml:space="preserve"> </w:t>
      </w:r>
      <w:r>
        <w:t xml:space="preserve">*</w:t>
      </w:r>
      <w:r>
        <w:t xml:space="preserve"> </w:t>
      </w:r>
      <w:r>
        <w:rPr>
          <w:rFonts w:hint="eastAsia"/>
          <w:b/>
          <w:bCs/>
        </w:rPr>
        <w:t xml:space="preserve">估值修复与资本回流</w:t>
      </w:r>
      <w:r>
        <w:rPr>
          <w:rFonts w:hint="eastAsia"/>
        </w:rPr>
        <w:t xml:space="preserve">：宽松的货币政策通常有利于科技成长型公司的估值修复，并可能吸引更多资本重新流入风险资产，包括AI领域的股权投资。</w:t>
      </w:r>
      <w:r>
        <w:t xml:space="preserve"> </w:t>
      </w:r>
      <w:r>
        <w:t xml:space="preserve">*</w:t>
      </w:r>
      <w:r>
        <w:t xml:space="preserve"> </w:t>
      </w:r>
      <w:r>
        <w:rPr>
          <w:rFonts w:hint="eastAsia"/>
          <w:b/>
          <w:bCs/>
        </w:rPr>
        <w:t xml:space="preserve">中国政策红利</w:t>
      </w:r>
      <w:r>
        <w:rPr>
          <w:rFonts w:hint="eastAsia"/>
        </w:rPr>
        <w:t xml:space="preserve">：中国持续的稳增长和结构性支持政策，特别是对AI等战略性产业的倾斜，将为国内AI基建投资提供稳定的政策支持和相对低廉的融资环境。</w:t>
      </w:r>
    </w:p>
    <w:p>
      <w:pPr>
        <w:pStyle w:val="a0"/>
      </w:pPr>
      <w:r>
        <w:rPr>
          <w:rFonts w:hint="eastAsia"/>
          <w:b/>
          <w:bCs/>
        </w:rPr>
        <w:t xml:space="preserve">对生成式AI基建投资的挑战与风险</w:t>
      </w:r>
      <w:r>
        <w:rPr>
          <w:rFonts w:hint="eastAsia"/>
        </w:rPr>
        <w:t xml:space="preserve">：</w:t>
      </w:r>
      <w:r>
        <w:t xml:space="preserve"> </w:t>
      </w:r>
      <w:r>
        <w:t xml:space="preserve">*</w:t>
      </w:r>
      <w:r>
        <w:t xml:space="preserve"> </w:t>
      </w:r>
      <w:r>
        <w:rPr>
          <w:rFonts w:hint="eastAsia"/>
          <w:b/>
          <w:bCs/>
        </w:rPr>
        <w:t xml:space="preserve">通胀粘性与“更高更久”风险</w:t>
      </w:r>
      <w:r>
        <w:rPr>
          <w:rFonts w:hint="eastAsia"/>
        </w:rPr>
        <w:t xml:space="preserve">：如果通胀（特别是核心通胀）表现出超预期的粘性，主要央行可能维持高利率更长时间，甚至在降息后再次加息，这将持续压制AI基建投资的意愿和能力。</w:t>
      </w:r>
      <w:r>
        <w:t xml:space="preserve"> </w:t>
      </w:r>
      <w:r>
        <w:t xml:space="preserve">*</w:t>
      </w:r>
      <w:r>
        <w:t xml:space="preserve"> </w:t>
      </w:r>
      <w:r>
        <w:rPr>
          <w:rFonts w:hint="eastAsia"/>
          <w:b/>
          <w:bCs/>
        </w:rPr>
        <w:t xml:space="preserve">地缘政治与供应链风险</w:t>
      </w:r>
      <w:r>
        <w:rPr>
          <w:rFonts w:hint="eastAsia"/>
        </w:rPr>
        <w:t xml:space="preserve">：如《summary_from_search》所述，中美在AI芯片等关键技术领域的竞争以及出口管制，使得全球AI供应链面临碎片化风险。货币政策虽然不能直接解决供应链问题，但高利率环境会增加企业应对供应链冲击的财务压力。</w:t>
      </w:r>
      <w:r>
        <w:t xml:space="preserve"> </w:t>
      </w:r>
      <w:r>
        <w:t xml:space="preserve">*</w:t>
      </w:r>
      <w:r>
        <w:t xml:space="preserve"> </w:t>
      </w:r>
      <w:r>
        <w:rPr>
          <w:rFonts w:hint="eastAsia"/>
          <w:b/>
          <w:bCs/>
        </w:rPr>
        <w:t xml:space="preserve">能源成本波动</w:t>
      </w:r>
      <w:r>
        <w:rPr>
          <w:rFonts w:hint="eastAsia"/>
        </w:rPr>
        <w:t xml:space="preserve">：生成式AI的爆发式增长导致数据中心能源需求激增（IEA预测到2026年全球数据中心、AI和加密货币行业的电力消耗可能翻倍）。虽然货币政策不直接影响能源价格，但其对整体经济活动和投资环境的影响，会间接影响企业对能源效率提升的投入以及应对能源成本波动的能力。</w:t>
      </w:r>
      <w:r>
        <w:t xml:space="preserve"> </w:t>
      </w:r>
      <w:r>
        <w:t xml:space="preserve">*</w:t>
      </w:r>
      <w:r>
        <w:t xml:space="preserve"> </w:t>
      </w:r>
      <w:r>
        <w:rPr>
          <w:rFonts w:hint="eastAsia"/>
          <w:b/>
          <w:bCs/>
        </w:rPr>
        <w:t xml:space="preserve">金融稳定性风险</w:t>
      </w:r>
      <w:r>
        <w:rPr>
          <w:rFonts w:hint="eastAsia"/>
        </w:rPr>
        <w:t xml:space="preserve">：全球经济仍面临多重不确定性，如商业地产风险、部分国家主权债务问题等“灰犀牛”事件。一旦爆发金融危机，将导致市场流动性骤然紧张，资本避险情绪升温，对所有高资本投入的AI项目构成系统性冲击。</w:t>
      </w:r>
    </w:p>
    <w:p>
      <w:pPr>
        <w:pStyle w:val="a0"/>
      </w:pPr>
      <w:r>
        <w:rPr>
          <w:rFonts w:hint="eastAsia"/>
        </w:rPr>
        <w:t xml:space="preserve">综上所述，未来几年全球主要经济体的货币政策将是影响生成式AI基建与算力投资趋势的关键变量。政策的调整方向和节奏，将直接决定全球市场流动性的松紧、融资成本的高低，进而塑造AI产业的投资格局和发展速度。投资者需密切关注各国宏观经济数据和央行政策动向，以识别潜在机遇并规避风险。</w:t>
      </w:r>
    </w:p>
    <w:bookmarkEnd w:id="21"/>
    <w:bookmarkEnd w:id="22"/>
    <w:bookmarkStart w:id="27" w:name="全球主要经济体财政政策分析与展望2023-2026"/>
    <w:p>
      <w:pPr>
        <w:pStyle w:val="2"/>
      </w:pPr>
      <w:r>
        <w:t xml:space="preserve">3. </w:t>
      </w:r>
      <w:r>
        <w:rPr>
          <w:rFonts w:hint="eastAsia"/>
        </w:rPr>
        <w:t xml:space="preserve">全球主要经济体财政政策分析与展望（2023-2026）</w:t>
      </w:r>
    </w:p>
    <w:bookmarkStart w:id="23" w:name="美国财政政策在通胀与债务压力下的权衡"/>
    <w:p>
      <w:pPr>
        <w:pStyle w:val="3"/>
      </w:pPr>
      <w:r>
        <w:t xml:space="preserve">3.1 </w:t>
      </w:r>
      <w:r>
        <w:rPr>
          <w:rFonts w:hint="eastAsia"/>
        </w:rPr>
        <w:t xml:space="preserve">美国财政政策：在通胀与债务压力下的权衡</w:t>
      </w:r>
    </w:p>
    <w:p>
      <w:pPr>
        <w:pStyle w:val="FirstParagraph"/>
      </w:pPr>
      <w:r>
        <w:rPr>
          <w:rFonts w:hint="eastAsia"/>
        </w:rPr>
        <w:t xml:space="preserve">2023年至2026年期间，美国财政政策的演变呈现出在应对通胀、支持经济转型与管理日益增长的政府债务之间进行复杂权衡的态势。在美联储激进加息以抑制通胀的背景下，美国财政政策并未完全转向紧缩，而是继续通过立法推动结构性投资，这在一定程度上加剧了财政与货币政策的协调难度。</w:t>
      </w:r>
    </w:p>
    <w:p>
      <w:pPr>
        <w:pStyle w:val="a0"/>
      </w:pPr>
      <w:r>
        <w:rPr>
          <w:rFonts w:hint="eastAsia"/>
        </w:rPr>
        <w:t xml:space="preserve">在支出方面，拜登政府延续了通过大规模立法刺激特定产业发展的策略。《通胀削减法案》（Inflation</w:t>
      </w:r>
      <w:r>
        <w:t xml:space="preserve"> Reduction Act, </w:t>
      </w:r>
      <w:r>
        <w:rPr>
          <w:rFonts w:hint="eastAsia"/>
        </w:rPr>
        <w:t xml:space="preserve">IRA）和《芯片与科学法案》（CHIPS</w:t>
      </w:r>
      <w:r>
        <w:t xml:space="preserve"> and Science </w:t>
      </w:r>
      <w:r>
        <w:rPr>
          <w:rFonts w:hint="eastAsia"/>
        </w:rPr>
        <w:t xml:space="preserve">Act）是其核心组成部分。IRA通过提供税收抵免和补贴，旨在加速清洁能源转型和降低医疗成本，预计未来十年将投入数千亿美元。尽管其名称带有“通胀削减”，但短期内大规模的财政支出，特别是在绿色能源和电动汽车领域的投入，可能在特定领域推高成本并刺激需求，对美联储的抗通胀努力构成一定挑战。CHIPS法案则直接拨款527亿美元用于激励美国本土半导体制造、研发和劳动力培训，旨在增强美国在全球芯片供应链中的韧性和竞争力。这些政策的实施，直接推动了高科技制造业，尤其是半导体和相关AI硬件基础设施的本土化投资，例如英特尔、台积电等公司在美国的建厂计划，这为生成式AI所需的算力基础设施提供了上游支撑。</w:t>
      </w:r>
    </w:p>
    <w:p>
      <w:pPr>
        <w:pStyle w:val="a0"/>
      </w:pPr>
      <w:r>
        <w:rPr>
          <w:rFonts w:hint="eastAsia"/>
        </w:rPr>
        <w:t xml:space="preserve">然而，持续的财政扩张也使得美国政府债务水平不断攀升。截至2023年末，美国联邦政府债务已突破33万亿美元，占GDP的比重超过120%。高企的债务水平不仅增加了政府的利息负担（在美联储加息周期中尤为显著），也引发了市场对财政可持续性的担忧。联邦基金利率的上升使得新发国债和存量国债的再融资成本显著增加，进一步挤压了财政空间。若财政赤字持续维持在高位，可能引发“财政主导”的风险，即货币政策为了配合财政融资而被迫放松，从而削弱其抗通胀的独立性。此外，大规模的政府借贷可能对私人投资产生“挤出效应”，抬高市场利率，使得企业（包括AI科技企业）的融资成本上升，尽管IRA和CHIPS法案的定向补贴在一定程度上抵消了这种效应。</w:t>
      </w:r>
    </w:p>
    <w:p>
      <w:pPr>
        <w:pStyle w:val="a0"/>
      </w:pPr>
      <w:r>
        <w:rPr>
          <w:rFonts w:hint="eastAsia"/>
        </w:rPr>
        <w:t xml:space="preserve">税收政策方面，拜登政府曾提议提高企业所得税率和对富人征税，以增加财政收入并解决收入不平等问题，但多数提案在国会受阻。未来几年，税收政策的调整将主要围绕现有法案的实施细则展开，如IRA中的清洁能源税收抵免。整体而言，美国财政政策在2023-2026年间将继续在支持特定产业发展、应对通胀压力和管理巨额债务之间寻求平衡，其对经济增长、通胀路径以及全球资本流向（包括对AI科技投资的吸引力）的影响将是多维且复杂的。</w:t>
      </w:r>
    </w:p>
    <w:bookmarkEnd w:id="23"/>
    <w:bookmarkStart w:id="24" w:name="欧元区与日本财政政策结构性挑战与刺激路径"/>
    <w:p>
      <w:pPr>
        <w:pStyle w:val="3"/>
      </w:pPr>
      <w:r>
        <w:t xml:space="preserve">3.2 </w:t>
      </w:r>
      <w:r>
        <w:rPr>
          <w:rFonts w:hint="eastAsia"/>
        </w:rPr>
        <w:t xml:space="preserve">欧元区与日本财政政策：结构性挑战与刺激路径</w:t>
      </w:r>
    </w:p>
    <w:p>
      <w:pPr>
        <w:pStyle w:val="FirstParagraph"/>
      </w:pPr>
      <w:r>
        <w:rPr>
          <w:rFonts w:hint="eastAsia"/>
          <w:b/>
          <w:bCs/>
        </w:rPr>
        <w:t xml:space="preserve">欧元区：在财政纪律与结构性转型中寻求平衡</w:t>
      </w:r>
    </w:p>
    <w:p>
      <w:pPr>
        <w:pStyle w:val="a0"/>
      </w:pPr>
      <w:r>
        <w:rPr>
          <w:rFonts w:hint="eastAsia"/>
        </w:rPr>
        <w:t xml:space="preserve">欧元区各成员国的财政政策在2023-2026年期间面临多重挑战与机遇。在经历能源危机和高通胀的冲击后，欧元区各国政府在2023年普遍实施了能源补贴和生活成本支持措施，这导致财政赤字和债务水平在短期内有所上升。然而，随着通胀压力的缓解和欧洲央行（ECB）的货币紧缩，欧元区正逐步回归审慎的财政立场。欧盟委员会已提议改革《稳定与增长公约》（Stability</w:t>
      </w:r>
      <w:r>
        <w:t xml:space="preserve"> and Growth </w:t>
      </w:r>
      <w:r>
        <w:rPr>
          <w:rFonts w:hint="eastAsia"/>
        </w:rPr>
        <w:t xml:space="preserve">Pact），旨在为成员国提供更大的财政调整灵活性，同时确保债务可持续性，并鼓励对绿色转型和数字化的结构性投资。</w:t>
      </w:r>
    </w:p>
    <w:p>
      <w:pPr>
        <w:pStyle w:val="a0"/>
      </w:pPr>
      <w:r>
        <w:rPr>
          <w:rFonts w:hint="eastAsia"/>
        </w:rPr>
        <w:t xml:space="preserve">在具体支出结构上，欧元区各国政府正加大对数字基础设施、研发（R&amp;D）以及可再生能源领域的投入，以应对气候变化和提升区域竞争力。例如，通过“下一代欧盟”（NextGenerationEU）复苏计划，大量资金被导向数字化转型和绿色经济项目，这间接推动了对AI相关数据中心、高性能计算网络等基建的投资。德国、法国等核心经济体在AI研发、量子计算等前沿科技领域的公共投入也在增加，以期在全球科技竞争中占据一席之地。然而，欧元区内部的财政差异依然显著，意大利、希腊等高负债国家的财政空间受限，其紧缩压力可能抑制其在科技创新领域的投资潜力。此外，财政政策与欧洲央行货币政策的协调性将是关键。若各国财政刺激力度过大，可能与欧洲央行的抗通胀目标产生冲突，导致利率维持高位，进而影响私人投资。</w:t>
      </w:r>
    </w:p>
    <w:p>
      <w:pPr>
        <w:pStyle w:val="a0"/>
      </w:pPr>
      <w:r>
        <w:rPr>
          <w:rFonts w:hint="eastAsia"/>
          <w:b/>
          <w:bCs/>
        </w:rPr>
        <w:t xml:space="preserve">日本：超高债务下的结构性改革与科技投资</w:t>
      </w:r>
    </w:p>
    <w:p>
      <w:pPr>
        <w:pStyle w:val="a0"/>
      </w:pPr>
      <w:r>
        <w:rPr>
          <w:rFonts w:hint="eastAsia"/>
        </w:rPr>
        <w:t xml:space="preserve">日本的财政政策长期以来以扩张性著称，旨在应对通缩、刺激经济增长和缓解人口老龄化带来的挑战。截至2023年末，日本政府债务占GDP的比重已超过260%，是发达经济体中最高的国家之一。在2023-2026年期间，日本政府继续推行积极的财政支出，尤其是在应对物价上涨、支持育儿政策以及加强经济安全保障方面。例如，为应对日元贬值和输入性通胀，政府曾推出一系列物价上涨对策，并通过补贴稳定能源和食品价格。</w:t>
      </w:r>
    </w:p>
    <w:p>
      <w:pPr>
        <w:pStyle w:val="a0"/>
      </w:pPr>
      <w:r>
        <w:rPr>
          <w:rFonts w:hint="eastAsia"/>
        </w:rPr>
        <w:t xml:space="preserve">尽管债务高企，日本政府仍在战略性地增加对科技创新和数字化的投入。在“数字田园都市国家构想”的框架下，日本政府致力于推动数字基础设施建设，包括5G网络、数据中心以及光纤网络的普及。同时，对半导体、人工智能、量子技术等关键领域的研发补贴和税收优惠也在持续加码，旨在提升日本在全球科技价值链中的地位。例如，日本政府积极吸引台积电等国际半导体巨头赴日设厂，并为国内企业提供资金支持以发展下一代芯片技术，这直接利好AI算力基建的上游供应链。</w:t>
      </w:r>
    </w:p>
    <w:p>
      <w:pPr>
        <w:pStyle w:val="a0"/>
      </w:pPr>
      <w:r>
        <w:rPr>
          <w:rFonts w:hint="eastAsia"/>
        </w:rPr>
        <w:t xml:space="preserve">然而，日本财政政策面临的挑战在于如何在维持经济增长的同时，逐步实现财政整固。日本央行（BOJ）的超宽松货币政策为政府的巨额债务提供了低成本融资，但随着全球利率环境的变化和日本国内通胀压力的显现，日本央行未来可能面临调整政策的压力，这将直接影响日本政府的融资成本。此外，人口结构性问题导致社会保障支出持续增加，进一步挤压了公共投资空间。日本财政政策对汇率（日元贬值）和利率的影响将持续受到关注，而其对科技投资的长期支持，将是其能否实现经济结构转型的关键。</w:t>
      </w:r>
    </w:p>
    <w:bookmarkEnd w:id="24"/>
    <w:bookmarkStart w:id="25" w:name="中国财政政策稳增长与结构性转型的双重目标"/>
    <w:p>
      <w:pPr>
        <w:pStyle w:val="3"/>
      </w:pPr>
      <w:r>
        <w:t xml:space="preserve">3.3 </w:t>
      </w:r>
      <w:r>
        <w:rPr>
          <w:rFonts w:hint="eastAsia"/>
        </w:rPr>
        <w:t xml:space="preserve">中国财政政策：稳增长与结构性转型的双重目标</w:t>
      </w:r>
    </w:p>
    <w:p>
      <w:pPr>
        <w:pStyle w:val="FirstParagraph"/>
      </w:pPr>
      <w:r>
        <w:rPr>
          <w:rFonts w:hint="eastAsia"/>
        </w:rPr>
        <w:t xml:space="preserve">在2023年至2026年期间，中国财政政策的核心目标是在复杂多变的国内外环境下，实现经济的稳健增长并推动经济结构的战略性转型。面对房地产市场调整、外部需求波动和地缘政治压力，中国政府明确提出要实施“更加积极的财政政策”，并将其与“适度宽松的货币政策”相协调，以确保经济运行在合理区间，并为高质量发展提供支撑。</w:t>
      </w:r>
    </w:p>
    <w:p>
      <w:pPr>
        <w:pStyle w:val="a0"/>
      </w:pPr>
      <w:r>
        <w:rPr>
          <w:rFonts w:hint="eastAsia"/>
        </w:rPr>
        <w:t xml:space="preserve">在财政支出方面，中国政府加大了对基础设施建设的投入，特别是新型基础设施，如5G网络、工业互联网、大数据中心以及人工智能算力中心的建设。这不仅是稳增长的重要抓手，更是服务于国家战略性新兴产业发展的长期布局。例如，国家层面推动的“东数西算”工程，旨在优化全国算力资源布局，通过财政资金引导和政策支持，鼓励社会资本参与构建面向未来的智能计算基础设施。这直接为生成式AI等前沿技术的发展提供了坚实的算力底座。此外，对关键核心技术攻关的财政支持力度持续加大，包括在半导体、高端制造、生物医药等领域的研发投入和产业补贴，以期实现科技自立自强，应对外部“卡脖子”风险。</w:t>
      </w:r>
    </w:p>
    <w:p>
      <w:pPr>
        <w:pStyle w:val="a0"/>
      </w:pPr>
      <w:r>
        <w:rPr>
          <w:rFonts w:hint="eastAsia"/>
        </w:rPr>
        <w:t xml:space="preserve">在税收政策方面，中国政府持续实施结构性减税降费措施，特别是针对科技创新型企业和中小微企业。例如，提高研发费用加计扣除比例、对高新技术企业实施税收优惠等政策，旨在降低企业创新成本，激发市场主体活力。这些政策直接鼓励了企业增加研发投入，加速技术成果转化，对AI等高科技领域的私人投资具有显著的激励作用。同时，针对特定产业的财政补贴和引导基金也在发挥作用，例如设立各类产业投资基金，通过股权投资等方式支持初创期和成长期的AI企业发展。</w:t>
      </w:r>
    </w:p>
    <w:p>
      <w:pPr>
        <w:pStyle w:val="a0"/>
      </w:pPr>
      <w:r>
        <w:rPr>
          <w:rFonts w:hint="eastAsia"/>
        </w:rPr>
        <w:t xml:space="preserve">然而，中国财政政策也面临一些挑战。地方政府债务问题是其中之一，部分地方政府面临较大的偿债压力，这可能制约其未来的财政扩张空间和对新基建的投资能力。中央政府通过发行专项债、优化债务结构等方式，正在积极化解地方债务风险。此外，在经济转型过程中，传统产业的调整和新兴产业的培育需要大量的财政资源投入，如何平衡短期稳增长与长期结构性改革之间的关系，是财政政策需要持续权衡的重点。</w:t>
      </w:r>
    </w:p>
    <w:p>
      <w:pPr>
        <w:pStyle w:val="a0"/>
      </w:pPr>
      <w:r>
        <w:rPr>
          <w:rFonts w:hint="eastAsia"/>
        </w:rPr>
        <w:t xml:space="preserve">总的来说，中国财政政策在2023-2026年期间将继续发挥其在宏观调控和结构优化中的关键作用。通过积极的财政支出和结构性税收优惠，政府旨在稳定经济增长，引导资源流向战略性新兴产业，特别是为生成式AI基建和算力投资提供强有力的政策和资金支持，从而推动中国在全球数字经济和人工智能领域的竞争力。</w:t>
      </w:r>
    </w:p>
    <w:bookmarkEnd w:id="25"/>
    <w:bookmarkStart w:id="26" w:name="财政政策对全球ai基建与算力投资的传导机制与风险"/>
    <w:p>
      <w:pPr>
        <w:pStyle w:val="3"/>
      </w:pPr>
      <w:r>
        <w:t xml:space="preserve">3.4 </w:t>
      </w:r>
      <w:r>
        <w:rPr>
          <w:rFonts w:hint="eastAsia"/>
        </w:rPr>
        <w:t xml:space="preserve">财政政策对全球AI基建与算力投资的传导机制与风险</w:t>
      </w:r>
    </w:p>
    <w:p>
      <w:pPr>
        <w:pStyle w:val="FirstParagraph"/>
      </w:pPr>
      <w:r>
        <w:rPr>
          <w:rFonts w:hint="eastAsia"/>
        </w:rPr>
        <w:t xml:space="preserve">全球主要经济体的财政政策，无论其立场是扩张性还是紧缩性，都通过多重机制对生成式AI基建与算力投资产生深远影响。这种影响不仅体现在直接的政府投入上，更在于其对市场预期、企业投资决策、融资成本以及技术生态构建的间接塑造。</w:t>
      </w:r>
    </w:p>
    <w:p>
      <w:pPr>
        <w:pStyle w:val="a0"/>
      </w:pPr>
      <w:r>
        <w:rPr>
          <w:rFonts w:hint="eastAsia"/>
          <w:b/>
          <w:bCs/>
        </w:rPr>
        <w:t xml:space="preserve">传导机制：</w:t>
      </w:r>
    </w:p>
    <w:p>
      <w:pPr>
        <w:pStyle w:val="Compact"/>
        <w:numPr>
          <w:ilvl w:val="0"/>
          <w:numId w:val="1008"/>
        </w:numPr>
      </w:pPr>
      <w:r>
        <w:rPr>
          <w:rFonts w:hint="eastAsia"/>
          <w:b/>
          <w:bCs/>
        </w:rPr>
        <w:t xml:space="preserve">直接投资与补贴引导：</w:t>
      </w:r>
      <w:r>
        <w:t xml:space="preserve"> </w:t>
      </w:r>
      <w:r>
        <w:rPr>
          <w:rFonts w:hint="eastAsia"/>
        </w:rPr>
        <w:t xml:space="preserve">最直接的机制是各国政府通过财政预算对AI研发、算力基础设施建设、数据中心能效提升等领域的直接投资和补贴。例如，美国《芯片与科学法案》的巨额补贴直接刺激了半导体制造投资，为AI芯片的生产提供了基础。中国“东数西算”工程的推进以及对战略新兴产业的财政支持，则直接引导了大规模数据中心和智能计算中心的建设。这些政府投入降低了私人企业进入AI基建领域的初始成本和风险，鼓励了相关产业的快速发展。</w:t>
      </w:r>
    </w:p>
    <w:p>
      <w:pPr>
        <w:pStyle w:val="Compact"/>
        <w:numPr>
          <w:ilvl w:val="0"/>
          <w:numId w:val="1008"/>
        </w:numPr>
      </w:pPr>
      <w:r>
        <w:rPr>
          <w:rFonts w:hint="eastAsia"/>
          <w:b/>
          <w:bCs/>
        </w:rPr>
        <w:t xml:space="preserve">税收优惠与激励：</w:t>
      </w:r>
      <w:r>
        <w:t xml:space="preserve"> </w:t>
      </w:r>
      <w:r>
        <w:rPr>
          <w:rFonts w:hint="eastAsia"/>
        </w:rPr>
        <w:t xml:space="preserve">各国政府通过提供研发费用加计扣除、高新技术企业税收优惠、固定资产加速折旧等税收政策，降低了企业在AI技术研发、算力设备采购和数据中心建设方面的税负。这提高了企业投资AI领域的预期回报率，从而刺激了私人资本的流入。例如，中国对AI相关企业的税收优惠政策，有效激励了本土科技公司加大对AI算力和算法的投入。</w:t>
      </w:r>
    </w:p>
    <w:p>
      <w:pPr>
        <w:pStyle w:val="Compact"/>
        <w:numPr>
          <w:ilvl w:val="0"/>
          <w:numId w:val="1008"/>
        </w:numPr>
      </w:pPr>
      <w:r>
        <w:rPr>
          <w:rFonts w:hint="eastAsia"/>
          <w:b/>
          <w:bCs/>
        </w:rPr>
        <w:t xml:space="preserve">公共采购与示范效应：</w:t>
      </w:r>
      <w:r>
        <w:t xml:space="preserve"> </w:t>
      </w:r>
      <w:r>
        <w:rPr>
          <w:rFonts w:hint="eastAsia"/>
        </w:rPr>
        <w:t xml:space="preserve">政府作为AI技术和算力服务的大型采购方，其采购行为本身就能创造巨大的市场需求，并为AI技术提供应用场景。例如，各国政府在智慧城市、数字政务、国防等领域的AI应用，不仅带动了相关软硬件产品的销售，也为AI解决方案提供了验证和迭代的平台。这种公共部门的示范效应，有助于降低市场对AI技术成熟度和商业前景的不确定性，吸引更多私人投资。</w:t>
      </w:r>
    </w:p>
    <w:p>
      <w:pPr>
        <w:pStyle w:val="Compact"/>
        <w:numPr>
          <w:ilvl w:val="0"/>
          <w:numId w:val="1008"/>
        </w:numPr>
      </w:pPr>
      <w:r>
        <w:rPr>
          <w:rFonts w:hint="eastAsia"/>
          <w:b/>
          <w:bCs/>
        </w:rPr>
        <w:t xml:space="preserve">宏观经济环境塑造：</w:t>
      </w:r>
      <w:r>
        <w:t xml:space="preserve"> </w:t>
      </w:r>
      <w:r>
        <w:rPr>
          <w:rFonts w:hint="eastAsia"/>
        </w:rPr>
        <w:t xml:space="preserve">财政政策通过影响经济增长、通货膨胀、利率和汇率等宏观指标，间接影响AI投资。扩张性财政政策若能有效刺激经济增长，将提高企业对未来营收的预期，从而带动包括AI在内的各类投资。然而，若财政扩张导致通胀加剧，可能促使央行提高利率，进而增加AI基建项目的融资成本。汇率波动则会影响跨国AI投资的成本和收益，例如日元贬值可能吸引外国投资者在日本设立AI研发中心或数据中心，以利用相对较低的本地成本。</w:t>
      </w:r>
    </w:p>
    <w:p>
      <w:pPr>
        <w:pStyle w:val="Compact"/>
        <w:numPr>
          <w:ilvl w:val="0"/>
          <w:numId w:val="1008"/>
        </w:numPr>
      </w:pPr>
      <w:r>
        <w:rPr>
          <w:rFonts w:hint="eastAsia"/>
          <w:b/>
          <w:bCs/>
        </w:rPr>
        <w:t xml:space="preserve">地缘政治与产业政策：</w:t>
      </w:r>
      <w:r>
        <w:t xml:space="preserve"> </w:t>
      </w:r>
      <w:r>
        <w:rPr>
          <w:rFonts w:hint="eastAsia"/>
        </w:rPr>
        <w:t xml:space="preserve">在当前地缘政治背景下，各国财政政策越来越多地服务于国家安全和技术自主战略。例如，美国对华芯片出口管制迫使中国加大对本土AI芯片和算力基础设施的财政投入，以实现“卡脖子”技术的国产替代。这种战略性财政投入虽然可能在短期内提高成本，但从长期看，旨在构建更具韧性和自主性的AI产业链，从而确保算力资源的稳定供给。</w:t>
      </w:r>
    </w:p>
    <w:p>
      <w:pPr>
        <w:pStyle w:val="FirstParagraph"/>
      </w:pPr>
      <w:r>
        <w:rPr>
          <w:rFonts w:hint="eastAsia"/>
          <w:b/>
          <w:bCs/>
        </w:rPr>
        <w:t xml:space="preserve">潜在风险：</w:t>
      </w:r>
    </w:p>
    <w:p>
      <w:pPr>
        <w:pStyle w:val="Compact"/>
        <w:numPr>
          <w:ilvl w:val="0"/>
          <w:numId w:val="1009"/>
        </w:numPr>
      </w:pPr>
      <w:r>
        <w:rPr>
          <w:rFonts w:hint="eastAsia"/>
          <w:b/>
          <w:bCs/>
        </w:rPr>
        <w:t xml:space="preserve">财政可持续性风险：</w:t>
      </w:r>
      <w:r>
        <w:t xml:space="preserve"> </w:t>
      </w:r>
      <w:r>
        <w:rPr>
          <w:rFonts w:hint="eastAsia"/>
        </w:rPr>
        <w:t xml:space="preserve">持续的财政扩张，特别是在高利率环境下，可能导致政府债务水平不可持续，引发市场对主权债务危机的担忧。一旦财政危机爆发，可能导致政府削减对AI等领域的投资，甚至引发金融市场动荡，严重影响私人投资信心。</w:t>
      </w:r>
    </w:p>
    <w:p>
      <w:pPr>
        <w:pStyle w:val="Compact"/>
        <w:numPr>
          <w:ilvl w:val="0"/>
          <w:numId w:val="1009"/>
        </w:numPr>
      </w:pPr>
      <w:r>
        <w:rPr>
          <w:rFonts w:hint="eastAsia"/>
          <w:b/>
          <w:bCs/>
        </w:rPr>
        <w:t xml:space="preserve">“挤出效应”与资源错配：</w:t>
      </w:r>
      <w:r>
        <w:t xml:space="preserve"> </w:t>
      </w:r>
      <w:r>
        <w:rPr>
          <w:rFonts w:hint="eastAsia"/>
        </w:rPr>
        <w:t xml:space="preserve">大规模政府借贷可能推高市场利率，对私人投资产生“挤出效应”，使得AI企业融资成本上升。此外，政府主导的产业政策若过度干预市场，可能导致资源错配，效率低下，甚至催生“寻租”行为，阻碍真正的创新。</w:t>
      </w:r>
    </w:p>
    <w:p>
      <w:pPr>
        <w:pStyle w:val="Compact"/>
        <w:numPr>
          <w:ilvl w:val="0"/>
          <w:numId w:val="1009"/>
        </w:numPr>
      </w:pPr>
      <w:r>
        <w:rPr>
          <w:rFonts w:hint="eastAsia"/>
          <w:b/>
          <w:bCs/>
        </w:rPr>
        <w:t xml:space="preserve">通胀风险与货币政策冲突：</w:t>
      </w:r>
      <w:r>
        <w:t xml:space="preserve"> </w:t>
      </w:r>
      <w:r>
        <w:rPr>
          <w:rFonts w:hint="eastAsia"/>
        </w:rPr>
        <w:t xml:space="preserve">若财政刺激力度过大，可能与央行的抗通胀目标相悖，导致货币政策被迫维持更长时间的紧缩，或引发“财政主导”的局面。这不仅会增加AI项目的融资成本，也可能导致宏观经济环境的不确定性增加，抑制长期投资。</w:t>
      </w:r>
    </w:p>
    <w:p>
      <w:pPr>
        <w:pStyle w:val="Compact"/>
        <w:numPr>
          <w:ilvl w:val="0"/>
          <w:numId w:val="1009"/>
        </w:numPr>
      </w:pPr>
      <w:r>
        <w:rPr>
          <w:rFonts w:hint="eastAsia"/>
          <w:b/>
          <w:bCs/>
        </w:rPr>
        <w:t xml:space="preserve">国际协调与贸易摩擦：</w:t>
      </w:r>
      <w:r>
        <w:t xml:space="preserve"> </w:t>
      </w:r>
      <w:r>
        <w:rPr>
          <w:rFonts w:hint="eastAsia"/>
        </w:rPr>
        <w:t xml:space="preserve">各国财政政策若过于强调国内保护和产业补贴，可能引发国际贸易摩擦和投资壁垒，导致AI供应链碎片化，增加跨国AI基建和算力投资的成本和复杂性。例如，美国CHIPS法案的补贴政策引发了欧盟和韩国等贸易伙伴的担忧。</w:t>
      </w:r>
    </w:p>
    <w:p>
      <w:pPr>
        <w:pStyle w:val="Compact"/>
        <w:numPr>
          <w:ilvl w:val="0"/>
          <w:numId w:val="1009"/>
        </w:numPr>
      </w:pPr>
      <w:r>
        <w:rPr>
          <w:rFonts w:hint="eastAsia"/>
          <w:b/>
          <w:bCs/>
        </w:rPr>
        <w:t xml:space="preserve">能源成本与环境风险：</w:t>
      </w:r>
      <w:r>
        <w:t xml:space="preserve"> </w:t>
      </w:r>
      <w:r>
        <w:rPr>
          <w:rFonts w:hint="eastAsia"/>
        </w:rPr>
        <w:t xml:space="preserve">AI算力需求的爆发式增长对能源消耗提出了巨大挑战。若财政政策未能有效引导可再生能源发展和数据中心能效提升，高昂的能源成本将成为AI基建投资的沉重负担，并可能引发环境可持续性方面的“灰犀牛”事件，如电力供应紧张、碳排放超标等，进而影响AI产业的长期发展。</w:t>
      </w:r>
    </w:p>
    <w:p>
      <w:pPr>
        <w:pStyle w:val="FirstParagraph"/>
      </w:pPr>
      <w:r>
        <w:rPr>
          <w:rFonts w:hint="eastAsia"/>
        </w:rPr>
        <w:t xml:space="preserve">综上所述，全球主要经济体的财政政策在2023-2026年间将是塑造AI基建与算力投资格局的关键力量。其通过直接投入、税收激励、宏观环境塑造和战略引导等多种方式，既能为AI产业发展提供强大动力，也蕴含着财政可持续性、资源错配、通胀压力和地缘政治冲突等多重风险，需要政策制定者审慎权衡和有效管理。</w:t>
      </w:r>
    </w:p>
    <w:bookmarkEnd w:id="26"/>
    <w:bookmarkEnd w:id="27"/>
    <w:bookmarkStart w:id="32" w:name="全球经济风险与挑战分析与展望2023-2026"/>
    <w:p>
      <w:pPr>
        <w:pStyle w:val="2"/>
      </w:pPr>
      <w:r>
        <w:t xml:space="preserve">4. </w:t>
      </w:r>
      <w:r>
        <w:rPr>
          <w:rFonts w:hint="eastAsia"/>
        </w:rPr>
        <w:t xml:space="preserve">全球经济风险与挑战分析与展望（2023-2026）</w:t>
      </w:r>
    </w:p>
    <w:bookmarkStart w:id="28" w:name="地缘政治紧张与全球供应链重塑"/>
    <w:p>
      <w:pPr>
        <w:pStyle w:val="3"/>
      </w:pPr>
      <w:r>
        <w:t xml:space="preserve">4.1 </w:t>
      </w:r>
      <w:r>
        <w:rPr>
          <w:rFonts w:hint="eastAsia"/>
        </w:rPr>
        <w:t xml:space="preserve">地缘政治紧张与全球供应链重塑</w:t>
      </w:r>
    </w:p>
    <w:p>
      <w:pPr>
        <w:pStyle w:val="FirstParagraph"/>
      </w:pPr>
      <w:r>
        <w:rPr>
          <w:rFonts w:hint="eastAsia"/>
        </w:rPr>
        <w:t xml:space="preserve">2023年至2026年期间，全球经济面临的首要且深远的风险之一，源于日益加剧的地缘政治紧张局势及其对国际贸易格局和全球供应链的重塑效应。中美战略竞争是其中最核心的驱动因素，尤其在人工智能（AI）和半导体等关键技术领域，竞争已从贸易摩擦升级为技术“脱钩”和产业链“去风险化”。美国通过《芯片与科学法案》等立法，并实施严格的出口管制措施，旨在限制中国获取先进半导体技术，这不仅直接影响了中国AI产业的算力资源供应，也迫使全球半导体供应链进行深度调整。例如，英伟达等芯片巨头被迫为中国市场开发定制版芯片，以规避制裁，这反映出全球科技企业在地缘政治压力下的两难境地。</w:t>
      </w:r>
    </w:p>
    <w:p>
      <w:pPr>
        <w:pStyle w:val="a0"/>
      </w:pPr>
      <w:r>
        <w:rPr>
          <w:rFonts w:hint="eastAsia"/>
        </w:rPr>
        <w:t xml:space="preserve">这种“技术民族主义”的抬头，导致全球供应链呈现出从效率优先向韧性与安全优先转变的趋势。企业开始考虑“近岸外包”（near-shoring）或“友岸外包”（friend-shoring），以减少对单一国家或地区供应链的依赖，降低地缘政治冲击的风险。然而，这种策略的实施往往伴随着更高的生产成本和更低的效率，最终可能传导至终端产品价格，对全球CPI构成上行压力。此外，俄乌冲突的持续也对全球能源和粮食供应造成了结构性冲击，加剧了相关大宗商品价格的波动性，进一步凸显了地缘政治风险对全球经济的广泛影响。国际贸易关系的碎片化趋势，可能导致全球贸易量增速放缓，甚至出现逆全球化现象，从而对全球GDP增长构成长期拖累。各国为保障关键物资和技术的自主可控，纷纷加大国内投资，如中国将“科技自立自强”置于更突出的战略位置，加速在AI芯片、基础软件等“卡脖子”环节的国产化替代进程。这种趋势虽然有助于提升国家经济安全，但也可能导致全球技术标准和产业链生态的分裂，增加国际合作的复杂性。</w:t>
      </w:r>
    </w:p>
    <w:bookmarkEnd w:id="28"/>
    <w:bookmarkStart w:id="29" w:name="高通胀的持续性与经济衰退的潜在风险"/>
    <w:p>
      <w:pPr>
        <w:pStyle w:val="3"/>
      </w:pPr>
      <w:r>
        <w:t xml:space="preserve">4.2 </w:t>
      </w:r>
      <w:r>
        <w:rPr>
          <w:rFonts w:hint="eastAsia"/>
        </w:rPr>
        <w:t xml:space="preserve">高通胀的持续性与经济衰退的潜在风险</w:t>
      </w:r>
    </w:p>
    <w:p>
      <w:pPr>
        <w:pStyle w:val="FirstParagraph"/>
      </w:pPr>
      <w:r>
        <w:rPr>
          <w:rFonts w:hint="eastAsia"/>
        </w:rPr>
        <w:t xml:space="preserve">在2023-2026年展望期内，全球经济仍将面临高通胀持续性与潜在经济衰退并存的“滞胀”风险。尽管多数主要经济体的通胀率已从2022年的高点回落，但其黏性依然超出市场预期。通胀压力的来源日益多元化，从早期的供应链瓶颈和能源价格冲击，逐渐转向劳动力市场紧张、服务业通胀以及地缘政治导致的结构性通胀。例如，美国劳动力市场在美联储激进加息后仍保持韧性，薪资增长对服务业通胀形成支撑，使得核心CPI的回落速度慢于预期。欧洲地区则面临能源价格高企的长期影响，以及俄乌冲突带来的地缘政治溢出效应。</w:t>
      </w:r>
    </w:p>
    <w:p>
      <w:pPr>
        <w:pStyle w:val="a0"/>
      </w:pPr>
      <w:r>
        <w:rPr>
          <w:rFonts w:hint="eastAsia"/>
        </w:rPr>
        <w:t xml:space="preserve">为抑制通胀，全球主要央行，尤其是美联储，采取了历史上罕见的快速加息周期。高利率环境虽然有助于冷却需求，但同时也增加了企业和个人的融资成本，对投资和消费形成抑制。这使得全球经济增长面临下行压力，GDP增速普遍放缓。国际货币基金组织（IMF）和经济合作与发展组织（OECD）的最新预测均显示，尽管全球经济有望实现“软着陆”，但其增长前景仍面临显著的不确定性，且各国经济路径出现分化。例如，美国的预期增速被上调，一定程度上抵消了其他地区的下调。然而，如果通胀未能按预期回落，或地缘政治风险进一步升级，央行可能被迫维持高利率更长时间，这将大幅增加经济“硬着陆”的风险，即经济陷入衰退，失业率上升。财政政策在应对通胀和支持增长之间也面临两难，例如美国《通胀削减法案》和《芯片与科学法案》虽然旨在推动结构性投资，但在短期内可能通过增加需求而对通胀形成一定支撑，使得财政与货币政策的协调难度加大。这种宏观政策的复杂性，使得未来几年全球经济的走向充满了挑战。</w:t>
      </w:r>
    </w:p>
    <w:bookmarkEnd w:id="29"/>
    <w:bookmarkStart w:id="30" w:name="金融市场脆弱性与全球债务挑战"/>
    <w:p>
      <w:pPr>
        <w:pStyle w:val="3"/>
      </w:pPr>
      <w:r>
        <w:t xml:space="preserve">4.3 </w:t>
      </w:r>
      <w:r>
        <w:rPr>
          <w:rFonts w:hint="eastAsia"/>
        </w:rPr>
        <w:t xml:space="preserve">金融市场脆弱性与全球债务挑战</w:t>
      </w:r>
    </w:p>
    <w:p>
      <w:pPr>
        <w:pStyle w:val="FirstParagraph"/>
      </w:pPr>
      <w:r>
        <w:rPr>
          <w:rFonts w:hint="eastAsia"/>
        </w:rPr>
        <w:t xml:space="preserve">全球金融市场在经历了一段时期的宽松货币政策后，正面临高利率环境下的严峻考验，金融脆弱性凸显，全球债务风险成为一个不容忽视的“灰犀牛”事件。各国政府为应对疫情和经济衰退而积累的巨额公共债务，在利率飙升的背景下，偿债成本急剧上升，对财政可持续性构成巨大压力。以美国为例，在美联储持续加息的背景下，美国国债的利息支出不断攀升，财政赤字压力倍增，这在上一章节的财政政策分析中已有所提及。如果市场对主权债务的信心动摇，可能引发国债收益率进一步上行，形成恶性循环，甚至导致主权债务危机。</w:t>
      </w:r>
    </w:p>
    <w:p>
      <w:pPr>
        <w:pStyle w:val="a0"/>
      </w:pPr>
      <w:r>
        <w:rPr>
          <w:rFonts w:hint="eastAsia"/>
        </w:rPr>
        <w:t xml:space="preserve">与此同时，高利率环境也对企业和家庭部门的债务负担造成冲击。全球范围内，企业破产数量和不良贷款率有上升趋势，特别是对利率敏感的房地产行业和高杠杆企业。例如，部分新兴市场经济体由于外债占比较高，本币贬值和美元走强（汇率波动）将进一步加剧其偿债压力，可能引发资本外流和金融动荡。此外，银行体系的稳定性也面临挑战。尽管主要经济体的银行体系在监管改革后普遍增强了资本充足率，但快速加息可能导致银行资产负债表的结构性风险，如长期固定收益资产的账面损失。2023年美国几家区域性银行的倒闭事件，便是高利率环境下金融脆弱性暴露的警示。金融市场的任何重大冲击，都可能通过信贷紧缩、资产价格下跌和消费者信心下降等传导机制，对实体经济造成严重打击，进而加剧经济衰退的风险。因此，各国央行和监管机构需要在抑制通胀的同时，密切关注金融体系的系统性风险，采取审慎的宏观审慎政策，以维护金融稳定。</w:t>
      </w:r>
    </w:p>
    <w:bookmarkEnd w:id="30"/>
    <w:bookmarkStart w:id="31" w:name="能源转型资源价格波动与气候风险"/>
    <w:p>
      <w:pPr>
        <w:pStyle w:val="3"/>
      </w:pPr>
      <w:r>
        <w:t xml:space="preserve">4.4 </w:t>
      </w:r>
      <w:r>
        <w:rPr>
          <w:rFonts w:hint="eastAsia"/>
        </w:rPr>
        <w:t xml:space="preserve">能源转型、资源价格波动与气候风险</w:t>
      </w:r>
    </w:p>
    <w:p>
      <w:pPr>
        <w:pStyle w:val="FirstParagraph"/>
      </w:pPr>
      <w:r>
        <w:rPr>
          <w:rFonts w:hint="eastAsia"/>
        </w:rPr>
        <w:t xml:space="preserve">在2023年至2026年期间，全球经济将持续受到能源转型、资源价格波动以及气候变化相关风险的深远影响。俄乌冲突不仅加剧了全球能源供应的不确定性，也促使各国加速能源转型进程，但这一转型并非一帆风顺。对化石燃料的依赖短期内难以完全摆脱，导致国际原油和天然气价格波动剧烈，直接影响企业的生产成本和居民的消费支出，对CPI构成显著影响。例如，国际能源署（IEA）在2024年1月的报告中预测，到2026年，全球数据中心、人工智能和加密货币行业的电力消耗可能会翻倍，远高于未来三年全球电力需求年均3.4%的增速，这预示着AI技术发展本身也将对能源需求带来巨大挑战，并可能进一步推高电力成本。</w:t>
      </w:r>
    </w:p>
    <w:p>
      <w:pPr>
        <w:pStyle w:val="a0"/>
      </w:pPr>
      <w:r>
        <w:rPr>
          <w:rFonts w:hint="eastAsia"/>
        </w:rPr>
        <w:t xml:space="preserve">能源转型过程中，对关键矿产（如锂、钴、镍等）的需求激增，但其供应可能受到地缘政治、开采限制和环境法规等多重因素的影响，导致价格波动和供应链瓶颈，形成“绿色通胀”的潜在风险。此外，气候变化的物理风险正日益显现，极端天气事件（如洪水、干旱、热浪）在全球范围内频繁发生，不仅直接破坏基础设施和农业生产，导致农产品价格上涨，也间接影响供应链的稳定性和韧性。例如，关键航运水道的干旱可能影响国际贸易运输效率，加剧供应链中断风险。各国政府和企业在应对气候变化方面面临巨大的投资压力，需要投入大量资金用于减排、适应和技术创新，这既是挑战也是机遇。然而，如果应对措施不足或不及时，气候风险可能演变为系统性风险，对全球经济增长、金融稳定和资源分配产生不可逆转的负面影响。因此，如何平衡能源安全、经济增长和气候目标，将是未来几年全球政策制定者面临的核心挑战。</w:t>
      </w:r>
    </w:p>
    <w:bookmarkEnd w:id="31"/>
    <w:bookmarkEnd w:id="32"/>
    <w:bookmarkStart w:id="37" w:name="全球贸易关系技术竞争与地缘政治对宏观经济及生成式ai产业的影响2023-2026"/>
    <w:p>
      <w:pPr>
        <w:pStyle w:val="2"/>
      </w:pPr>
      <w:r>
        <w:t xml:space="preserve">5. </w:t>
      </w:r>
      <w:r>
        <w:rPr>
          <w:rFonts w:hint="eastAsia"/>
        </w:rPr>
        <w:t xml:space="preserve">全球贸易关系、技术竞争与地缘政治对宏观经济及生成式AI产业的影响（2023-2026）</w:t>
      </w:r>
    </w:p>
    <w:p>
      <w:pPr>
        <w:pStyle w:val="FirstParagraph"/>
      </w:pPr>
      <w:r>
        <w:rPr>
          <w:rFonts w:hint="eastAsia"/>
        </w:rPr>
        <w:t xml:space="preserve">在2023年至2026年的全球宏观经济背景下，贸易关系、技术竞争与地缘政治的交织演变，正以前所未有的深度和广度，重塑着国际经济格局，并对新兴的生成式AI产业构成独特的机遇与挑战。本章将深入剖析这些关键因素如何通过全球供应链、技术投资和资本流动等渠道，影响宏观经济指标及生成式AI基建与算力投资趋势。</w:t>
      </w:r>
    </w:p>
    <w:bookmarkStart w:id="33" w:name="全球贸易格局演变与碎片化趋势"/>
    <w:p>
      <w:pPr>
        <w:pStyle w:val="3"/>
      </w:pPr>
      <w:r>
        <w:t xml:space="preserve">5.1 </w:t>
      </w:r>
      <w:r>
        <w:rPr>
          <w:rFonts w:hint="eastAsia"/>
        </w:rPr>
        <w:t xml:space="preserve">全球贸易格局演变与碎片化趋势</w:t>
      </w:r>
    </w:p>
    <w:p>
      <w:pPr>
        <w:pStyle w:val="FirstParagraph"/>
      </w:pPr>
      <w:r>
        <w:rPr>
          <w:rFonts w:hint="eastAsia"/>
        </w:rPr>
        <w:t xml:space="preserve">2023-2026年期间，全球贸易关系正经历结构性重塑，从以往的效率优先向韧性与安全并重转型。地缘政治紧张局势，特别是中美战略竞争的持续升级，以及俄乌冲突的深远影响，加速了全球供应链的“去风险化”和区域化趋势。各国政府日益重视关键物资和技术的本土化生产，或转向“友岸外包”（friend-shoring），导致贸易壁垒增多，全球贸易摩擦加剧。</w:t>
      </w:r>
    </w:p>
    <w:p>
      <w:pPr>
        <w:pStyle w:val="a0"/>
      </w:pPr>
      <w:r>
        <w:rPr>
          <w:rFonts w:hint="eastAsia"/>
        </w:rPr>
        <w:t xml:space="preserve">这种贸易格局的演变对全球宏观经济产生了显著影响。首先，关税和非关税壁垒的增加，以及供应链重构带来的额外成本，直接推高了全球通胀压力（CPI）。企业为应对供应链中断风险，可能选择增加库存或分散生产基地，这不仅提高了运营成本，也可能降低生产效率，进而对全球GDP增长构成下行压力。例如，美国对中国商品加征关税，导致部分进口商品价格上涨，最终由消费者或进口商承担，影响了居民消费意愿和企业利润。IMF和OECD的报告虽预测全球经济将实现“平稳着陆”，但贸易碎片化带来的不确定性，无疑增加了实现这一目标的难度。</w:t>
      </w:r>
    </w:p>
    <w:p>
      <w:pPr>
        <w:pStyle w:val="a0"/>
      </w:pPr>
      <w:r>
        <w:rPr>
          <w:rFonts w:hint="eastAsia"/>
        </w:rPr>
        <w:t xml:space="preserve">其次，贸易政策的调整对国际贸易流量和结构产生深远影响。传统上以效率为导向的全球价值链正在被政治考量所取代，导致部分贸易路线和投资流向发生改变。例如，在半导体等高科技领域，美国及其盟友试图构建不包含中国的供应链体系，这使得相关产品和服务的贸易流向发生转移，甚至导致部分贸易量的萎缩。这种“脱钩”或“去风险化”的努力，虽然旨在增强国家安全，但长期来看可能削弱全球经济的整体效率和创新活力，对全球经济增长前景构成潜在风险。国际贸易关系的紧张也可能导致汇率波动加剧，例如，资本可能从高风险地区流出，寻求更安全的避风港，从而影响相关国家的汇率稳定性。</w:t>
      </w:r>
    </w:p>
    <w:p>
      <w:pPr>
        <w:pStyle w:val="a0"/>
      </w:pPr>
      <w:r>
        <w:rPr>
          <w:rFonts w:hint="eastAsia"/>
        </w:rPr>
        <w:t xml:space="preserve">对于生成式AI产业而言，贸易格局的碎片化意味着其赖以发展的全球化供应链面临巨大挑战。AI芯片、高性能服务器、光模块等关键硬件的生产和供应高度依赖全球协作。贸易限制和出口管制可能导致特定国家难以获取最先进的AI硬件，从而限制其AI技术的发展速度和规模。同时，为了规避风险，AI企业可能需要投入更多资源来构建多元化、区域化的供应链，这无疑会增加其运营成本和投资风险，并可能影响生成式AI基建和算力投资的效率和规模。</w:t>
      </w:r>
    </w:p>
    <w:bookmarkEnd w:id="33"/>
    <w:bookmarkStart w:id="34" w:name="技术竞争白热化与ai产业的战略重塑"/>
    <w:p>
      <w:pPr>
        <w:pStyle w:val="3"/>
      </w:pPr>
      <w:r>
        <w:t xml:space="preserve">5.2 </w:t>
      </w:r>
      <w:r>
        <w:rPr>
          <w:rFonts w:hint="eastAsia"/>
        </w:rPr>
        <w:t xml:space="preserve">技术竞争白热化与AI产业的战略重塑</w:t>
      </w:r>
    </w:p>
    <w:p>
      <w:pPr>
        <w:pStyle w:val="FirstParagraph"/>
      </w:pPr>
      <w:r>
        <w:rPr>
          <w:rFonts w:hint="eastAsia"/>
        </w:rPr>
        <w:t xml:space="preserve">技术竞争，尤其是以人工智能和半导体为核心的竞争，已成为当前全球地缘政治博弈的焦点。美国等西方国家通过立法、行政命令和出口管制等手段，旨在限制中国获取先进的AI芯片和相关技术，以维护其在科技领域的领先地位。例如，美国商务部对AI芯片实施的严格出口管制措施，直接影响了英伟达、AMD等公司向中国市场供应高性能AI芯片的能力。NVIDIA被迫为中国市场开发定制版芯片（如H800、L20），以符合出口管制规定，但这仍无法提供与最先进芯片同等的算力。</w:t>
      </w:r>
    </w:p>
    <w:p>
      <w:pPr>
        <w:pStyle w:val="a0"/>
      </w:pPr>
      <w:r>
        <w:rPr>
          <w:rFonts w:hint="eastAsia"/>
        </w:rPr>
        <w:t xml:space="preserve">这种技术竞争对全球AI产业产生了战略性重塑。首先，它加速了各国在关键技术领域的“科技自立自强”进程。中国将“科技自立自强”提升至国家战略高度，大力投资于半导体制造、AI芯片设计、基础软件和核心算法的研发，以期实现国产化替代。这导致了全球半导体和AI产业链的“双轨制”发展趋势，即在西方国家主导的供应链之外，中国也在积极构建自主可控的产业链。这种趋势虽然增加了全球供应链的韧性，但也可能导致技术标准的碎片化和重复投资，从而影响全球AI技术迭代的速度和效率。</w:t>
      </w:r>
    </w:p>
    <w:p>
      <w:pPr>
        <w:pStyle w:val="a0"/>
      </w:pPr>
      <w:r>
        <w:rPr>
          <w:rFonts w:hint="eastAsia"/>
        </w:rPr>
        <w:t xml:space="preserve">其次，技术竞争直接影响了生成式AI基建和算力投资的流向和模式。在受限制的国家，企业可能被迫转向使用性能相对较低的国产芯片，或者投入巨资研发自己的AI芯片，这无疑会增加AI基建的成本和复杂性。例如，中国国内的AI企业和智算中心在获取高端AI芯片受限后，不得不寻求替代方案，如通过集群化、异构计算等方式提升算力，或加大对国产AI芯片的采购和支持力度。IDC预测中国AI硬件投资将持续增长，其中服务器占比超过80%，这反映了中国在AI基建方面巨大的内生需求和投资潜力，也部分源于外部技术限制下的国产化替代需求。</w:t>
      </w:r>
    </w:p>
    <w:p>
      <w:pPr>
        <w:pStyle w:val="a0"/>
      </w:pPr>
      <w:r>
        <w:rPr>
          <w:rFonts w:hint="eastAsia"/>
        </w:rPr>
        <w:t xml:space="preserve">再者，技术壁垒和出口管制也影响了全球资本在AI领域的流动。投资者在评估AI项目时，除了考虑技术前景和市场潜力，还需要将地缘政治风险和供应链稳定性纳入考量。这可能导致部分资本从受限制的区域流出，转向技术壁垒较低或政策环境更稳定的地区，从而影响不同国家和地区AI产业的投资吸引力。同时，各国政府为支持本土AI产业发展，可能会出台财政补贴、税收优惠等政策，引导资本流向特定领域，如美国《芯片与科学法案》对本土半导体制造的巨额补贴。这些政策差异将进一步塑造全球AI投资的竞争格局。</w:t>
      </w:r>
    </w:p>
    <w:bookmarkEnd w:id="34"/>
    <w:bookmarkStart w:id="35" w:name="地缘政治风险对全球资本流动与科技投资环境的冲击"/>
    <w:p>
      <w:pPr>
        <w:pStyle w:val="3"/>
      </w:pPr>
      <w:r>
        <w:t xml:space="preserve">5.3 </w:t>
      </w:r>
      <w:r>
        <w:rPr>
          <w:rFonts w:hint="eastAsia"/>
        </w:rPr>
        <w:t xml:space="preserve">地缘政治风险对全球资本流动与科技投资环境的冲击</w:t>
      </w:r>
    </w:p>
    <w:p>
      <w:pPr>
        <w:pStyle w:val="FirstParagraph"/>
      </w:pPr>
      <w:r>
        <w:rPr>
          <w:rFonts w:hint="eastAsia"/>
        </w:rPr>
        <w:t xml:space="preserve">地缘政治紧张局势，特别是中美关系、俄乌冲突等事件，对全球资本流动和科技投资环境产生了深远而复杂的影响。这些风险不仅限于贸易和技术领域，更广泛地影响了投资者信心、市场预期和资产定价。</w:t>
      </w:r>
    </w:p>
    <w:p>
      <w:pPr>
        <w:pStyle w:val="a0"/>
      </w:pPr>
      <w:r>
        <w:rPr>
          <w:rFonts w:hint="eastAsia"/>
        </w:rPr>
        <w:t xml:space="preserve">首先，地缘政治不确定性显著增加了全球金融市场的波动性。投资者对未来经济前景的担忧，可能导致风险规避情绪上升，促使资本从新兴市场或高风险资产流向避险资产（如黄金、主权债券），从而影响相关国家的汇率稳定性和股票市场表现。例如，俄乌冲突爆发后，全球能源价格飙升，加剧了通胀压力，各国央行被迫采取紧缩的货币政策（提高利率），这又进一步抑制了全球经济增长和科技投资的活力。高利率环境增加了企业融资成本，对于需要大量前期资本投入的生成式AI基建项目而言，这无疑增加了投资门槛和风险。</w:t>
      </w:r>
    </w:p>
    <w:p>
      <w:pPr>
        <w:pStyle w:val="a0"/>
      </w:pPr>
      <w:r>
        <w:rPr>
          <w:rFonts w:hint="eastAsia"/>
        </w:rPr>
        <w:t xml:space="preserve">其次，地缘政治风险加剧了跨国投资的复杂性。企业在进行海外投资时，需要更加审慎地评估政治风险、政策不确定性和潜在的制裁风险。这可能导致外国直接投资（FDI）的减少，尤其是在敏感技术领域。例如，美国对中国科技企业的投资审查日益严格，以及中国对数据安全和国家安全的重视，使得跨国科技公司在两国进行投资和运营面临更多限制。这种投资环境的恶化，对于需要大量资本投入以建设数据中心、采购高性能计算设备的生成式AI产业而言，构成了显著的挑战。部分AI初创企业可能难以获得国际风险投资，从而限制其成长速度和创新能力。</w:t>
      </w:r>
    </w:p>
    <w:p>
      <w:pPr>
        <w:pStyle w:val="a0"/>
      </w:pPr>
      <w:r>
        <w:rPr>
          <w:rFonts w:hint="eastAsia"/>
        </w:rPr>
        <w:t xml:space="preserve">此外，地缘政治因素还可能导致“技术民族主义”的抬头，各国政府倾向于支持和保护本国科技企业，甚至对外国科技企业设置市场准入障碍。这种趋势可能导致全球科技生态系统的碎片化，阻碍技术交流与合作，并可能导致重复性研发和资源浪费。对于生成式AI产业，这意味着国际合作开发大模型、共享算力资源、共同制定行业标准等变得更加困难。企业在进行全球化布局时，必须更加关注当地的政策法规和地缘政治风险，这无疑增加了运营成本和合规压力。从宏观层面看，这种碎片化可能会降低全球创新效率，长期来看可能对全球GDP增长潜力造成负面影响。</w:t>
      </w:r>
    </w:p>
    <w:bookmarkEnd w:id="35"/>
    <w:bookmarkStart w:id="36" w:name="政策应对与战略调整构建韧性与自主可控的ai生态"/>
    <w:p>
      <w:pPr>
        <w:pStyle w:val="3"/>
      </w:pPr>
      <w:r>
        <w:t xml:space="preserve">5.4 </w:t>
      </w:r>
      <w:r>
        <w:rPr>
          <w:rFonts w:hint="eastAsia"/>
        </w:rPr>
        <w:t xml:space="preserve">政策应对与战略调整：构建韧性与自主可控的AI生态</w:t>
      </w:r>
    </w:p>
    <w:p>
      <w:pPr>
        <w:pStyle w:val="FirstParagraph"/>
      </w:pPr>
      <w:r>
        <w:rPr>
          <w:rFonts w:hint="eastAsia"/>
        </w:rPr>
        <w:t xml:space="preserve">面对全球贸易关系、技术竞争和地缘政治风险带来的挑战，各国政府和企业正积极调整政策和战略，以构建更具韧性、更自主可控的AI生态系统。这些应对措施不仅影响着宏观经济政策的走向，也直接塑造了生成式AI基建与算力投资的未来图景。</w:t>
      </w:r>
    </w:p>
    <w:p>
      <w:pPr>
        <w:pStyle w:val="a0"/>
      </w:pPr>
      <w:r>
        <w:rPr>
          <w:rFonts w:hint="eastAsia"/>
        </w:rPr>
        <w:t xml:space="preserve">在宏观经济政策层面，主要经济体在应对外部冲击时，展现出不同的侧重点。美国持续通过财政政策（如《芯片与科学法案》）和产业政策，引导资本回流本土，支持关键技术领域的研发和制造。这种政策导向旨在强化本土供应链的韧性，减少对外部的依赖，尤其是在半导体和AI芯片领域。同时，美联储的货币政策（如利率调整）在平衡通胀和经济增长的同时，也间接影响着科技企业的融资成本和投资意愿。</w:t>
      </w:r>
    </w:p>
    <w:p>
      <w:pPr>
        <w:pStyle w:val="a0"/>
      </w:pPr>
      <w:r>
        <w:rPr>
          <w:rFonts w:hint="eastAsia"/>
        </w:rPr>
        <w:t xml:space="preserve">中国则将“科技自立自强”作为国家发展的核心战略，通过更加积极的财政政策和适度宽松的货币政策，大力支持人工智能等战略性新兴产业的发展。政府投资设立智能计算中心、提供研发补贴、鼓励国产化替代等措施，旨在解决“卡脖子”问题，提升国内AI产业链的自主可控能力。例如，中央经济工作会议明确提出将人工智能作为经济转型升级的关键动力，并设定了5%左右的经济增长目标，这为AI产业的发展提供了明确的政策导向和稳定的宏观环境。这些政策不仅刺激了国内AI基建和算力投资的增长，也引导了大量社会资本流向相关领域。</w:t>
      </w:r>
    </w:p>
    <w:p>
      <w:pPr>
        <w:pStyle w:val="a0"/>
      </w:pPr>
      <w:r>
        <w:rPr>
          <w:rFonts w:hint="eastAsia"/>
        </w:rPr>
        <w:t xml:space="preserve">在企业层面，应对策略主要体现在供应链多元化、研发投入增加和国际合作模式调整。为了降低地缘政治风险，跨国公司开始寻求“中国+1”或“多中心”的供应链布局，将部分生产线转移至东南亚、墨西哥等地区，以分散风险。对于生成式AI企业而言，这意味着它们可能需要与不同国家的硬件供应商建立合作关系，甚至投资于多个区域的智算中心建设，以确保算力供应的稳定性。</w:t>
      </w:r>
    </w:p>
    <w:p>
      <w:pPr>
        <w:pStyle w:val="a0"/>
      </w:pPr>
      <w:r>
        <w:rPr>
          <w:rFonts w:hint="eastAsia"/>
        </w:rPr>
        <w:t xml:space="preserve">同时，面对技术壁垒，各国企业都在加大研发投入，力求在AI芯片设计、大模型训练、基础软件开发等核心领域取得突破。例如，中国本土企业在AI芯片和AI大模型方面的投入持续增加，旨在通过自主创新打破外部限制。这种研发投入的增加，虽然短期内可能提高企业的运营成本，但长期来看有助于提升国家在AI领域的整体竞争力，并为未来的生成式AI基建和算力发展奠定坚实基础。</w:t>
      </w:r>
    </w:p>
    <w:p>
      <w:pPr>
        <w:pStyle w:val="a0"/>
      </w:pPr>
      <w:r>
        <w:rPr>
          <w:rFonts w:hint="eastAsia"/>
        </w:rPr>
        <w:t xml:space="preserve">此外，国际合作的模式也在发生变化。尽管地缘政治紧张，但在气候变化、全球健康等共同挑战面前，国际社会仍需通过多边平台进行合作。在AI领域，这种合作可能更多地体现在非敏感技术的交流、人才培养和伦理治理等方面，而非核心技术的共享。对于生成式AI产业，这意味着在特定领域仍存在国际合作的空间，例如，通过开源社区共享模型、共同开发行业标准等，以促进技术的普惠发展。然而，在核心技术和战略性基础设施方面，各国之间的竞争和壁制将持续存在，并塑造全球AI产业的投资格局和发展路径。</w:t>
      </w:r>
    </w:p>
    <w:p>
      <w:pPr>
        <w:pStyle w:val="a0"/>
      </w:pPr>
      <w:r>
        <w:rPr>
          <w:rFonts w:hint="eastAsia"/>
        </w:rPr>
        <w:t xml:space="preserve">综上所述，2023-2026年期间，全球贸易关系、技术竞争与地缘政治的复杂互动，共同构成了生成式AI基建与算力投资的宏观背景。这些因素不仅影响着全球GDP、CPI、利率、汇率等宏观经济指标的波动，更深远地塑造了AI芯片、服务器等关键硬件的供应，以及AI产业的发展路径和投资环境。理解并适应这些变化，对于预测和把握生成式AI产业的未来趋势至关重要。</w:t>
      </w:r>
    </w:p>
    <w:bookmarkEnd w:id="36"/>
    <w:bookmarkEnd w:id="37"/>
    <w:bookmarkStart w:id="43" w:name="宏观经济环境对生成式ai基建与算力投资的影响分析2023-2026"/>
    <w:p>
      <w:pPr>
        <w:pStyle w:val="2"/>
      </w:pPr>
      <w:r>
        <w:t xml:space="preserve">6. </w:t>
      </w:r>
      <w:r>
        <w:rPr>
          <w:rFonts w:hint="eastAsia"/>
        </w:rPr>
        <w:t xml:space="preserve">宏观经济环境对生成式AI基建与算力投资的影响分析（2023-2026）</w:t>
      </w:r>
    </w:p>
    <w:bookmarkStart w:id="38" w:name="宏观经济环境对生成式ai基建与算力投资的影响分析2023-2026-1"/>
    <w:p>
      <w:pPr>
        <w:pStyle w:val="3"/>
      </w:pPr>
      <w:r>
        <w:t xml:space="preserve">6.1 6. </w:t>
      </w:r>
      <w:r>
        <w:rPr>
          <w:rFonts w:hint="eastAsia"/>
        </w:rPr>
        <w:t xml:space="preserve">宏观经济环境对生成式AI基建与算力投资的影响分析（2023-2026）</w:t>
      </w:r>
    </w:p>
    <w:p>
      <w:pPr>
        <w:pStyle w:val="FirstParagraph"/>
      </w:pPr>
      <w:r>
        <w:rPr>
          <w:rFonts w:hint="eastAsia"/>
        </w:rPr>
        <w:t xml:space="preserve">2023年至2026年，全球宏观经济环境的复杂演变对生成式AI基建与算力领域的投资构成了深远而多维度的影响。这一时期，全球经济在经历周期性失衡减弱的同时，也面临着高通胀的余波、货币政策的紧缩、地缘政治的紧张以及技术竞争的加剧。这些宏观变量并非孤立存在，而是通过资本成本、融资环境、供应链稳定性、市场需求等关键传导机制，共同塑造着生成式AI基建与算力投资的规模、方向与风险图谱。</w:t>
      </w:r>
    </w:p>
    <w:bookmarkEnd w:id="38"/>
    <w:bookmarkStart w:id="39" w:name="宏观经济增长与通胀对生成式ai投资的驱动与制约"/>
    <w:p>
      <w:pPr>
        <w:pStyle w:val="3"/>
      </w:pPr>
      <w:r>
        <w:t xml:space="preserve">6.1 </w:t>
      </w:r>
      <w:r>
        <w:rPr>
          <w:rFonts w:hint="eastAsia"/>
        </w:rPr>
        <w:t xml:space="preserve">宏观经济增长与通胀对生成式AI投资的驱动与制约</w:t>
      </w:r>
    </w:p>
    <w:p>
      <w:pPr>
        <w:pStyle w:val="FirstParagraph"/>
      </w:pPr>
      <w:r>
        <w:rPr>
          <w:rFonts w:hint="eastAsia"/>
        </w:rPr>
        <w:t xml:space="preserve">全球经济增长的预期是驱动生成式AI基建与算力投资的核心动力。根据国际货币基金组织（IMF）和经济合作与发展组织（OECD）的预测，2025年和2026年全球经济增速预计将维持在3.3%左右，尽管各国经济路径出现分化，但整体稳健的增长预期为企业投资提供了信心基础。强劲的GDP增长通常意味着企业盈利能力的提升和更充裕的现金流，从而刺激其对能够提升效率、创造新增长点的颠覆性技术–如生成式AI–进行资本开支。例如，在经济复苏或扩张阶段，企业更倾向于投资于云计算基础设施、高性能计算（HPC）集群以及AI专用芯片等算力资源，以期在市场竞争中占据优势。IDC预测，2026年中国市场AI投资预计将达266.9亿美元，约占全球投资的8.9%，居世界第二位，复合年增长率约21.7%，这正是中国经济转型和技术升级背景下，宏观增长对AI投资的直接驱动体现。</w:t>
      </w:r>
    </w:p>
    <w:p>
      <w:pPr>
        <w:pStyle w:val="a0"/>
      </w:pPr>
      <w:r>
        <w:rPr>
          <w:rFonts w:hint="eastAsia"/>
        </w:rPr>
        <w:t xml:space="preserve">然而，通货膨胀，特别是自2022年以来全球范围内的持续高企，对生成式AI基建与算力投资构成了显著的成本压力。高通胀导致原材料、能源、人力等关键生产要素价格上涨，直接增加了数据中心建设、设备采购（如AI服务器、GPU）以及日常运营的成本。国际能源署（IEA）在2024年1月的报告中指出，到2026年，全球数据中心、人工智能和加密货币行业的电力消耗可能会翻倍，达到90太瓦时（TWh），相当于730万个H100加速卡的电力需求。电力作为数据中心运营的核心成本之一，其价格波动对投资回报率具有直接影响。在通胀压力下，企业可能面临更高的建设和运营成本，这不仅侵蚀了投资回报率，也可能导致部分投资项目被推迟或缩减。此外，高通胀往往伴随着货币政策的收紧（即加息），进一步推高了融资成本，对资本密集型的AI基建项目形成了双重制约。</w:t>
      </w:r>
    </w:p>
    <w:bookmarkEnd w:id="39"/>
    <w:bookmarkStart w:id="40" w:name="货币政策与财政政策对生成式ai基建与算力投资的引导作用"/>
    <w:p>
      <w:pPr>
        <w:pStyle w:val="3"/>
      </w:pPr>
      <w:r>
        <w:t xml:space="preserve">6.2 </w:t>
      </w:r>
      <w:r>
        <w:rPr>
          <w:rFonts w:hint="eastAsia"/>
        </w:rPr>
        <w:t xml:space="preserve">货币政策与财政政策对生成式AI基建与算力投资的引导作用</w:t>
      </w:r>
    </w:p>
    <w:p>
      <w:pPr>
        <w:pStyle w:val="FirstParagraph"/>
      </w:pPr>
      <w:r>
        <w:rPr>
          <w:rFonts w:hint="eastAsia"/>
        </w:rPr>
        <w:t xml:space="preserve">货币政策，尤其是利率水平，是影响生成式AI基建与算力投资的关键宏观变量。利率直接决定了企业的资本成本和融资环境。在2022-2023年期间，为抑制高通胀，全球主要经济体央行（如美联储、欧洲央行）采取了激进的加息策略，导致借贷成本显著上升。对于需要大量前期资本投入的AI基建项目而言，高利率意味着更高的融资成本和更长的投资回报周期，这无疑会抑制企业的投资意愿，尤其对那些依赖外部融资的初创企业和成长型公司影响更为明显。相反，当利率处于较低水平时，企业获得资金的成本降低，风险投资和私募股权也更活跃，从而刺激对高科技领域的投资，包括生成式AI。汇率波动同样对AI投资产生影响，特别是对于依赖进口高端AI硬件（如英伟达GPU、先进服务器）的国家。例如，美元走强会使得非美元区国家采购以美元计价的AI设备成本更高，从而影响投资预算和决策。</w:t>
      </w:r>
    </w:p>
    <w:p>
      <w:pPr>
        <w:pStyle w:val="a0"/>
      </w:pPr>
      <w:r>
        <w:rPr>
          <w:rFonts w:hint="eastAsia"/>
        </w:rPr>
        <w:t xml:space="preserve">财政政策则通过直接投入、税收优惠和产业引导等方式，对生成式AI基建与算力投资发挥着积极的引导作用。各国政府认识到AI作为新一轮科技革命和产业变革的核心驱动力，纷纷将其提升至国家战略高度。例如，中国将人工智能视为经济转型的关键动力，并在2025年中央经济工作会议中提出更加积极的财政政策，旨在通过政府投资、补贴和税收减免来支持AI产业发展。中国已投运智能计算中心达到25个，在建超20个，这正是政府通过财政投入直接增加公共算力供给的体现。此外，政府还可以通过研发税收抵免、加速折旧等政策，降低企业在AI研发和基建方面的投入成本，激励更多私人资本进入该领域。在美国，通过《芯片与科学法案》等政策，政府旨在支持半导体产业的本土化生产，这间接也为AI芯片的供应提供了更稳定的预期，从而促进了相关AI基建的投资。政府作为AI服务和解决方案的潜在大用户，其采购政策也能有效刺激市场需求，进一步带动AI基建投资。</w:t>
      </w:r>
    </w:p>
    <w:bookmarkEnd w:id="40"/>
    <w:bookmarkStart w:id="41" w:name="国际贸易关系技术竞争与地缘政治对生成式ai供应链与投资格局的影响"/>
    <w:p>
      <w:pPr>
        <w:pStyle w:val="3"/>
      </w:pPr>
      <w:r>
        <w:t xml:space="preserve">6.3 </w:t>
      </w:r>
      <w:r>
        <w:rPr>
          <w:rFonts w:hint="eastAsia"/>
        </w:rPr>
        <w:t xml:space="preserve">国际贸易关系、技术竞争与地缘政治对生成式AI供应链与投资格局的影响</w:t>
      </w:r>
    </w:p>
    <w:p>
      <w:pPr>
        <w:pStyle w:val="FirstParagraph"/>
      </w:pPr>
      <w:r>
        <w:rPr>
          <w:rFonts w:hint="eastAsia"/>
        </w:rPr>
        <w:t xml:space="preserve">2023-2026年期间，全球贸易格局正经历结构性重塑，从以往的效率优先向韧性与安全并重转型，这对生成式AI基建与算力投资产生了深远影响。地缘政治紧张局势，特别是中美战略竞争的持续升级以及俄乌冲突的深远影响，加速了全球供应链的“去风险化”和区域化趋势。这种碎片化趋势导致AI关键硬件（如高端AI芯片、高性能服务器、光模块等）的供应链面临不稳定、采购周期延长、成本上升甚至断供的风险。例如，美国对华实施的AI芯片等关键技术出口管制，直接限制了中国获取先进算力资源的能力。这不仅迫使中国将科技自立自强置于更突出的战略位置，加速在AI芯片、基础软件等“卡脖子”环节的国产化替代进程，也促使中国加大对国内半导体制造、封装测试、AI算法框架等上游产业的投资，以构建更具韧性的本土供应链。</w:t>
      </w:r>
    </w:p>
    <w:p>
      <w:pPr>
        <w:pStyle w:val="a0"/>
      </w:pPr>
      <w:r>
        <w:rPr>
          <w:rFonts w:hint="eastAsia"/>
        </w:rPr>
        <w:t xml:space="preserve">技术竞争已成为国家间战略博弈的核心领域，AI更是其中的焦点。各国政府通过出口管制、投资审查、技术联盟等手段，限制关键技术流向竞争对手，这导致全球AI技术交流与合作受阻，可能引发技术路线分化，并增加全球AI研发和部署的成本。例如，美国对中国AI企业和技术实体的制裁名单，直接影响了这些企业获取先进算力资源和相关技术的能力，从而对其AI基建投资方向和规模产生制约。地缘政治风险带来的不确定性，如地区冲突、政治动荡，会显著增加投资环境的不确定性，可能导致资本外流或投资停滞。同时，这些因素也影响着AI产品和服务的国际市场准入，进一步塑造了全球AI基建投资的区域化和本土化趋势。在这一背景下，各国政府和企业在AI基建投资决策中，除了考虑经济效益，还需要将供应链安全、技术自主可控和地缘政治风险纳入考量，这使得投资决策更加复杂和多元。</w:t>
      </w:r>
    </w:p>
    <w:bookmarkEnd w:id="41"/>
    <w:bookmarkStart w:id="42" w:name="能源成本供应链韧性与潜在风险对生成式ai投资的挑战"/>
    <w:p>
      <w:pPr>
        <w:pStyle w:val="3"/>
      </w:pPr>
      <w:r>
        <w:t xml:space="preserve">6.4 </w:t>
      </w:r>
      <w:r>
        <w:rPr>
          <w:rFonts w:hint="eastAsia"/>
        </w:rPr>
        <w:t xml:space="preserve">能源成本、供应链韧性与潜在风险对生成式AI投资的挑战</w:t>
      </w:r>
    </w:p>
    <w:p>
      <w:pPr>
        <w:pStyle w:val="FirstParagraph"/>
      </w:pPr>
      <w:r>
        <w:rPr>
          <w:rFonts w:hint="eastAsia"/>
        </w:rPr>
        <w:t xml:space="preserve">生成式AI应用的井喷式增长带来了巨大的能源需求挑战，这直接影响着AI基建与算力投资的成本结构和可持续性。国际能源署（IEA）预测，到2026年，人工智能数据中心的电力需求将达到90太瓦时（TWh），相当于数据中心关键IT电力容量达到约10吉瓦（GW）功率。随着智能计算技术发展，数据中心的单机柜功率将从传统的6-8千瓦增至30-40千瓦，甚至更高，这极大地提升了数据处理能力，但同时也对供电和制冷技术提出了更高要求，如需要更大供电功率、更高能量密度的备电电池以及更高效的散热方式（如液冷技术）。能源价格的波动，特别是国际油价、天然气价格的上涨，将直接推高数据中心的运营成本，从而影响投资回报率，并可能促使投资者将重心转向更节能、更环保的AI基建解决方案，或投资于可再生能源整合项目，以降低长期运营风险。</w:t>
      </w:r>
    </w:p>
    <w:p>
      <w:pPr>
        <w:pStyle w:val="a0"/>
      </w:pPr>
      <w:r>
        <w:rPr>
          <w:rFonts w:hint="eastAsia"/>
        </w:rPr>
        <w:t xml:space="preserve">供应链韧性是生成式AI基建投资能否持续的关键。当前的生成式AI基建高度依赖少数供应商提供的GPU、高带宽内存（HBM）等核心组件，这使得整个产业链对外部冲击的抵抗力较弱。地缘政治因素导致的外部限制，尤其是美国对华AI芯片出口管制等政策，迫使各国（特别是中国）加大对本土AI芯片、基础软件的研发投入，推动国产化替代进程。这刺激了对国内半导体制造、封装测试、AI算法框架等上游产业的投资，以期构建更自主可控、更具韧性的AI供应链。这种趋势下，AI基建投资将更倾向于支持本土化生产和技术创新，而非仅仅追求全球最低成本。</w:t>
      </w:r>
    </w:p>
    <w:p>
      <w:pPr>
        <w:pStyle w:val="a0"/>
      </w:pPr>
      <w:r>
        <w:rPr>
          <w:rFonts w:hint="eastAsia"/>
        </w:rPr>
        <w:t xml:space="preserve">此外，生成式AI基建与算力投资还面临多重潜在风险，包括“灰犀牛”事件和系统性风险。技术中断风险是显而易见的，任何关键AI芯片或组件的供应链中断都可能导致项目延期甚至停滞。监管风险日益凸显，各国对AI伦理、数据安全、算法透明度、知识产权等方面的监管趋严，可能增加合规成本，甚至限制某些应用场景的落地。能源危机风险，如全球或区域性能源供应紧张，可能导致电力成本飙升或供应不足，直接威胁数据中心的稳定运行。高端AI人才的全球性竞争和短缺，也是制约AI研发和部署进度的重要因素。最后，宏观层面的金融市场波动、全球经济衰退等系统性风险，可能引发资本市场对科技行业的“去风险化”行为，导致融资环境恶化，估值承压，从而对AI基建投资造成冲击。投资者和政策制定者需密切关注这些风险指标，并制定相应的风险管理和应对策略，以确保生成式AI产业的健康可持续发展。</w:t>
      </w:r>
    </w:p>
    <w:bookmarkEnd w:id="42"/>
    <w:bookmarkEnd w:id="43"/>
    <w:bookmarkStart w:id="44" w:name="结论与展望"/>
    <w:p>
      <w:pPr>
        <w:pStyle w:val="2"/>
      </w:pPr>
      <w:r>
        <w:rPr>
          <w:rFonts w:hint="eastAsia"/>
        </w:rPr>
        <w:t xml:space="preserve">结论与展望</w:t>
      </w:r>
    </w:p>
    <w:p>
      <w:pPr>
        <w:pStyle w:val="FirstParagraph"/>
      </w:pPr>
      <w:r>
        <w:rPr>
          <w:rFonts w:hint="eastAsia"/>
        </w:rPr>
        <w:t xml:space="preserve">2023年至2026年，全球宏观经济背景下的生成式AI基建与算力投资，正经历一场前所未有的范式变革。报告深入剖析了这一变革的核心驱动力、显现的趋势与潜在的挑战，清晰地勾勒出算力作为新时代战略资源的地位。</w:t>
      </w:r>
    </w:p>
    <w:p>
      <w:pPr>
        <w:pStyle w:val="a0"/>
      </w:pPr>
      <w:r>
        <w:rPr>
          <w:rFonts w:hint="eastAsia"/>
        </w:rPr>
        <w:t xml:space="preserve">核心发现指出，生成式AI的爆发式增长已在全球范围内引发对高性能计算基础设施，特别是GPU算力的指数级需求。这股需求浪潮催生了空前的资本投入，科技巨头、风险投资及各国政府纷纷将算力基建视为战略高地，投资规模屡创新高。然而，这一趋势并非坦途。地缘政治紧张、供应链韧性挑战（尤其高端芯片的稀缺性）、以及能源消耗与碳排放压力，共同构成了投资环境中的显著制约因素。同时，AI专业人才的短缺也日益凸显，成为制约技术发展和应用落地的瓶颈。</w:t>
      </w:r>
    </w:p>
    <w:p>
      <w:pPr>
        <w:pStyle w:val="a0"/>
      </w:pPr>
      <w:r>
        <w:rPr>
          <w:rFonts w:hint="eastAsia"/>
        </w:rPr>
        <w:t xml:space="preserve">展望2023-2026年，算力基建投资将持续保持高位增长，但投资策略将更趋于多元化和精细化。我们将看到AI芯片设计与制造技术的加速迭代，异构计算架构将成为主流，液冷等先进散热技术将得到更广泛应用，以应对高密度算力带来的挑战。各国将更加重视算力供应链的自主可控，推动本土化芯片研发与生产，以降低外部依赖风险。此外，</w:t>
      </w:r>
      <w:r>
        <w:rPr>
          <w:rFonts w:hint="eastAsia"/>
        </w:rPr>
        <w:t xml:space="preserve">“算力即服务”</w:t>
      </w:r>
      <w:r>
        <w:rPr>
          <w:rFonts w:hint="eastAsia"/>
        </w:rPr>
        <w:t xml:space="preserve">（CaaS）模式将进一步成熟，为中小企业提供更灵活、经济的AI算力获取途径。绿色算力与可持续发展将成为行业发展的重要方向，促使企业在追求性能的同时，兼顾能效优化。</w:t>
      </w:r>
    </w:p>
    <w:p>
      <w:pPr>
        <w:pStyle w:val="a0"/>
      </w:pPr>
      <w:r>
        <w:rPr>
          <w:rFonts w:hint="eastAsia"/>
        </w:rPr>
        <w:t xml:space="preserve">基于上述分析，我们提出以下前瞻性建议：</w:t>
      </w:r>
    </w:p>
    <w:p>
      <w:pPr>
        <w:pStyle w:val="a0"/>
      </w:pPr>
      <w:r>
        <w:rPr>
          <w:rFonts w:hint="eastAsia"/>
        </w:rPr>
        <w:t xml:space="preserve">对于企业而言，应将算力投资视为核心竞争力建设的关键环节，制定前瞻性的算力战略，积极探索多云、混合云部署模式以提高资源利用效率和韧性，并加大对AI人才的培养与引进力度。同时，应密切关注供应链动态，适度进行多元化布局，并积极拥抱绿色算力技术，实现可持续发展。</w:t>
      </w:r>
    </w:p>
    <w:p>
      <w:pPr>
        <w:pStyle w:val="a0"/>
      </w:pPr>
      <w:r>
        <w:rPr>
          <w:rFonts w:hint="eastAsia"/>
        </w:rPr>
        <w:t xml:space="preserve">对政策制定者而言，则需构建支持性的宏观环境，包括出台激励政策鼓励算力基建投资与技术创新，优化能源供给结构以保障绿色算力发展，同时加强国际合作与标准制定，共同应对技术伦理和安全挑战，为生成式AI的健康发展提供清晰的监管框架和发展路径。</w:t>
      </w:r>
    </w:p>
    <w:p>
      <w:pPr>
        <w:pStyle w:val="a0"/>
      </w:pPr>
      <w:r>
        <w:rPr>
          <w:rFonts w:hint="eastAsia"/>
        </w:rPr>
        <w:t xml:space="preserve">生成式AI与算力基建的融合发展，不仅是技术层面的突破，更是驱动全球经济增长、重塑产业格局的关键力量。未来几年，谁能抢占算力高地，谁就可能在数字经济的竞争中占据主动，引领新一轮的科技革命与产业升级。</w:t>
      </w:r>
    </w:p>
    <w:bookmarkEnd w:id="44"/>
    <w:bookmarkEnd w:id="45"/>
    <w:sectPr w:rsidR="00D53B01">
      <w:footnotePr>
        <w:numRestart w:val="eachSect"/>
      </w:footnotePr>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393874A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16cid:durableId="1976450406"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3B01"/>
    <w:rsid w:val="003B0588"/>
    <w:rsid w:val="007D27F3"/>
    <w:rsid w:val="00D53B01"/>
    <w:rsid w:val="00F277CC"/>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link w:val="10"/>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2" w:type="paragraph">
    <w:name w:val="heading 2"/>
    <w:basedOn w:val="a"/>
    <w:next w:val="a0"/>
    <w:link w:val="20"/>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3" w:type="paragraph">
    <w:name w:val="heading 3"/>
    <w:basedOn w:val="a"/>
    <w:next w:val="a0"/>
    <w:link w:val="30"/>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4" w:type="paragraph">
    <w:name w:val="heading 4"/>
    <w:basedOn w:val="a"/>
    <w:next w:val="a0"/>
    <w:link w:val="40"/>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5" w:type="paragraph">
    <w:name w:val="heading 5"/>
    <w:basedOn w:val="a"/>
    <w:next w:val="a0"/>
    <w:link w:val="50"/>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6" w:type="paragraph">
    <w:name w:val="heading 6"/>
    <w:basedOn w:val="a"/>
    <w:next w:val="a0"/>
    <w:link w:val="60"/>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7" w:type="paragraph">
    <w:name w:val="heading 7"/>
    <w:basedOn w:val="a"/>
    <w:next w:val="a0"/>
    <w:link w:val="70"/>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8" w:type="paragraph">
    <w:name w:val="heading 8"/>
    <w:basedOn w:val="a"/>
    <w:next w:val="a0"/>
    <w:link w:val="80"/>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9" w:type="paragraph">
    <w:name w:val="heading 9"/>
    <w:basedOn w:val="a"/>
    <w:next w:val="a0"/>
    <w:link w:val="90"/>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rsid w:val="003B0588"/>
    <w:pPr>
      <w:spacing w:after="180" w:before="180"/>
      <w:ind w:firstLine="200" w:firstLineChars="200"/>
    </w:pPr>
    <w:rPr>
      <w:rFonts w:eastAsia="楷体"/>
    </w:r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link w:val="a5"/>
    <w:uiPriority w:val="10"/>
    <w:qFormat/>
    <w:rsid w:val="00A10FD9"/>
    <w:pPr>
      <w:spacing w:after="80"/>
      <w:contextualSpacing/>
      <w:jc w:val="center"/>
    </w:pPr>
    <w:rPr>
      <w:rFonts w:asciiTheme="majorHAnsi" w:cstheme="majorBidi" w:eastAsiaTheme="majorEastAsia" w:hAnsiTheme="majorHAnsi"/>
      <w:sz w:val="56"/>
      <w:szCs w:val="56"/>
    </w:rPr>
  </w:style>
  <w:style w:customStyle="1" w:styleId="a5" w:type="character">
    <w:name w:val="标题 字符"/>
    <w:basedOn w:val="a1"/>
    <w:link w:val="a4"/>
    <w:uiPriority w:val="10"/>
    <w:rsid w:val="00A10FD9"/>
    <w:rPr>
      <w:rFonts w:asciiTheme="majorHAnsi" w:cstheme="majorBidi" w:eastAsiaTheme="majorEastAsia" w:hAnsiTheme="majorHAnsi"/>
      <w:sz w:val="56"/>
      <w:szCs w:val="56"/>
    </w:rPr>
  </w:style>
  <w:style w:styleId="a6" w:type="paragraph">
    <w:name w:val="Subtitle"/>
    <w:basedOn w:val="a4"/>
    <w:next w:val="a0"/>
    <w:link w:val="a7"/>
    <w:uiPriority w:val="11"/>
    <w:qFormat/>
    <w:rsid w:val="00A10FD9"/>
    <w:pPr>
      <w:numPr>
        <w:ilvl w:val="1"/>
      </w:numPr>
    </w:pPr>
    <w:rPr>
      <w:spacing w:val="15"/>
      <w:sz w:val="28"/>
      <w:szCs w:val="28"/>
    </w:rPr>
  </w:style>
  <w:style w:customStyle="1" w:styleId="a7" w:type="character">
    <w:name w:val="副标题 字符"/>
    <w:basedOn w:val="a1"/>
    <w:link w:val="a6"/>
    <w:uiPriority w:val="11"/>
    <w:rsid w:val="00A10FD9"/>
    <w:rPr>
      <w:rFonts w:cstheme="majorBidi" w:eastAsiaTheme="majorEastAsia"/>
      <w:color w:themeColor="text1" w:themeTint="A6" w:val="595959"/>
      <w:spacing w:val="15"/>
      <w:sz w:val="28"/>
      <w:szCs w:val="28"/>
    </w:rPr>
  </w:style>
  <w:style w:customStyle="1" w:styleId="Author" w:type="paragraph">
    <w:name w:val="Author"/>
    <w:basedOn w:val="a4"/>
    <w:next w:val="a0"/>
    <w:qFormat/>
    <w:pPr>
      <w:keepNext/>
      <w:keepLines/>
    </w:pPr>
    <w:rPr>
      <w:sz w:val="24"/>
      <w:szCs w:val="24"/>
    </w:rPr>
  </w:style>
  <w:style w:styleId="a8" w:type="paragraph">
    <w:name w:val="Date"/>
    <w:basedOn w:val="a4"/>
    <w:next w:val="a0"/>
    <w:qFormat/>
    <w:pPr>
      <w:keepNext/>
      <w:keepLines/>
    </w:pPr>
    <w:rPr>
      <w:sz w:val="24"/>
      <w:szCs w:val="24"/>
    </w:rPr>
  </w:style>
  <w:style w:customStyle="1" w:styleId="AbstractTitle" w:type="paragraph">
    <w:name w:val="Abstract Title"/>
    <w:basedOn w:val="a"/>
    <w:next w:val="Abstract"/>
    <w:qFormat/>
    <w:pPr>
      <w:keepNext/>
      <w:keepLines/>
      <w:spacing w:after="0" w:before="300"/>
      <w:jc w:val="center"/>
    </w:pPr>
    <w:rPr>
      <w:b/>
      <w:sz w:val="20"/>
      <w:szCs w:val="20"/>
    </w:rPr>
  </w:style>
  <w:style w:customStyle="1" w:styleId="Abstract" w:type="paragraph">
    <w:name w:val="Abstract"/>
    <w:basedOn w:val="a"/>
    <w:next w:val="a0"/>
    <w:qFormat/>
    <w:pPr>
      <w:keepNext/>
      <w:keepLines/>
      <w:spacing w:after="300" w:before="100"/>
    </w:pPr>
    <w:rPr>
      <w:sz w:val="20"/>
      <w:szCs w:val="20"/>
    </w:rPr>
  </w:style>
  <w:style w:styleId="a9" w:type="paragraph">
    <w:name w:val="Bibliography"/>
    <w:basedOn w:val="a"/>
    <w:qFormat/>
  </w:style>
  <w:style w:customStyle="1" w:styleId="10" w:type="character">
    <w:name w:val="标题 1 字符"/>
    <w:basedOn w:val="a1"/>
    <w:link w:val="1"/>
    <w:uiPriority w:val="9"/>
    <w:rsid w:val="00A10FD9"/>
    <w:rPr>
      <w:rFonts w:asciiTheme="majorHAnsi" w:cstheme="majorBidi" w:eastAsiaTheme="majorEastAsia" w:hAnsiTheme="majorHAnsi"/>
      <w:color w:themeColor="accent1" w:themeShade="BF" w:val="0F4761"/>
      <w:sz w:val="40"/>
      <w:szCs w:val="40"/>
    </w:rPr>
  </w:style>
  <w:style w:customStyle="1" w:styleId="20" w:type="character">
    <w:name w:val="标题 2 字符"/>
    <w:basedOn w:val="a1"/>
    <w:link w:val="2"/>
    <w:uiPriority w:val="9"/>
    <w:semiHidden/>
    <w:rsid w:val="00A10FD9"/>
    <w:rPr>
      <w:rFonts w:asciiTheme="majorHAnsi" w:cstheme="majorBidi" w:eastAsiaTheme="majorEastAsia" w:hAnsiTheme="majorHAnsi"/>
      <w:color w:themeColor="accent1" w:themeShade="BF" w:val="0F4761"/>
      <w:sz w:val="32"/>
      <w:szCs w:val="32"/>
    </w:rPr>
  </w:style>
  <w:style w:customStyle="1" w:styleId="30" w:type="character">
    <w:name w:val="标题 3 字符"/>
    <w:basedOn w:val="a1"/>
    <w:link w:val="3"/>
    <w:uiPriority w:val="9"/>
    <w:semiHidden/>
    <w:rsid w:val="00A10FD9"/>
    <w:rPr>
      <w:rFonts w:cstheme="majorBidi" w:eastAsiaTheme="majorEastAsia"/>
      <w:color w:themeColor="accent1" w:themeShade="BF" w:val="0F4761"/>
      <w:sz w:val="28"/>
      <w:szCs w:val="28"/>
    </w:rPr>
  </w:style>
  <w:style w:customStyle="1" w:styleId="40" w:type="character">
    <w:name w:val="标题 4 字符"/>
    <w:basedOn w:val="a1"/>
    <w:link w:val="4"/>
    <w:uiPriority w:val="9"/>
    <w:semiHidden/>
    <w:rsid w:val="00A10FD9"/>
    <w:rPr>
      <w:rFonts w:cstheme="majorBidi" w:eastAsiaTheme="majorEastAsia"/>
      <w:i/>
      <w:iCs/>
      <w:color w:themeColor="accent1" w:themeShade="BF" w:val="0F4761"/>
    </w:rPr>
  </w:style>
  <w:style w:customStyle="1" w:styleId="50" w:type="character">
    <w:name w:val="标题 5 字符"/>
    <w:basedOn w:val="a1"/>
    <w:link w:val="5"/>
    <w:uiPriority w:val="9"/>
    <w:semiHidden/>
    <w:rsid w:val="00A10FD9"/>
    <w:rPr>
      <w:rFonts w:cstheme="majorBidi" w:eastAsiaTheme="majorEastAsia"/>
      <w:color w:themeColor="accent1" w:themeShade="BF" w:val="0F4761"/>
    </w:rPr>
  </w:style>
  <w:style w:customStyle="1" w:styleId="60" w:type="character">
    <w:name w:val="标题 6 字符"/>
    <w:basedOn w:val="a1"/>
    <w:link w:val="6"/>
    <w:uiPriority w:val="9"/>
    <w:semiHidden/>
    <w:rsid w:val="00A10FD9"/>
    <w:rPr>
      <w:rFonts w:cstheme="majorBidi" w:eastAsiaTheme="majorEastAsia"/>
      <w:i/>
      <w:iCs/>
      <w:color w:themeColor="text1" w:themeTint="A6" w:val="595959"/>
    </w:rPr>
  </w:style>
  <w:style w:customStyle="1" w:styleId="70" w:type="character">
    <w:name w:val="标题 7 字符"/>
    <w:basedOn w:val="a1"/>
    <w:link w:val="7"/>
    <w:uiPriority w:val="9"/>
    <w:semiHidden/>
    <w:rsid w:val="00A10FD9"/>
    <w:rPr>
      <w:rFonts w:cstheme="majorBidi" w:eastAsiaTheme="majorEastAsia"/>
      <w:color w:themeColor="text1" w:themeTint="A6" w:val="595959"/>
    </w:rPr>
  </w:style>
  <w:style w:customStyle="1" w:styleId="80" w:type="character">
    <w:name w:val="标题 8 字符"/>
    <w:basedOn w:val="a1"/>
    <w:link w:val="8"/>
    <w:uiPriority w:val="9"/>
    <w:semiHidden/>
    <w:rsid w:val="00A10FD9"/>
    <w:rPr>
      <w:rFonts w:cstheme="majorBidi" w:eastAsiaTheme="majorEastAsia"/>
      <w:i/>
      <w:iCs/>
      <w:color w:themeColor="text1" w:themeTint="D8" w:val="272727"/>
    </w:rPr>
  </w:style>
  <w:style w:customStyle="1" w:styleId="90" w:type="character">
    <w:name w:val="标题 9 字符"/>
    <w:basedOn w:val="a1"/>
    <w:link w:val="9"/>
    <w:uiPriority w:val="9"/>
    <w:semiHidden/>
    <w:rsid w:val="00A10FD9"/>
    <w:rPr>
      <w:rFonts w:cstheme="majorBidi" w:eastAsiaTheme="majorEastAsia"/>
      <w:color w:themeColor="text1" w:themeTint="D8" w:val="272727"/>
    </w:rPr>
  </w:style>
  <w:style w:styleId="aa" w:type="paragraph">
    <w:name w:val="Block Text"/>
    <w:basedOn w:val="a0"/>
    <w:next w:val="a0"/>
    <w:uiPriority w:val="9"/>
    <w:unhideWhenUsed/>
    <w:qFormat/>
    <w:pPr>
      <w:spacing w:after="100" w:before="100"/>
      <w:ind w:firstLine="0" w:left="480" w:right="480"/>
    </w:pPr>
  </w:style>
  <w:style w:styleId="ab" w:type="paragraph">
    <w:name w:val="footnote text"/>
    <w:basedOn w:val="a"/>
    <w:uiPriority w:val="9"/>
    <w:unhideWhenUsed/>
    <w:qFormat/>
  </w:style>
  <w:style w:customStyle="1" w:styleId="FootnoteBlockText" w:type="paragraph">
    <w:name w:val="Footnote Block Text"/>
    <w:basedOn w:val="ab"/>
    <w:next w:val="ab"/>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c" w:type="paragraph">
    <w:name w:val="caption"/>
    <w:basedOn w:val="a"/>
    <w:link w:val="ad"/>
    <w:pPr>
      <w:spacing w:after="120"/>
    </w:pPr>
    <w:rPr>
      <w:i/>
    </w:rPr>
  </w:style>
  <w:style w:customStyle="1" w:styleId="TableCaption" w:type="paragraph">
    <w:name w:val="Table Caption"/>
    <w:basedOn w:val="ac"/>
    <w:pPr>
      <w:keepNext/>
    </w:pPr>
  </w:style>
  <w:style w:customStyle="1" w:styleId="ImageCaption" w:type="paragraph">
    <w:name w:val="Image Caption"/>
    <w:basedOn w:val="ac"/>
  </w:style>
  <w:style w:customStyle="1" w:styleId="Figure" w:type="paragraph">
    <w:name w:val="Figure"/>
    <w:basedOn w:val="a"/>
  </w:style>
  <w:style w:customStyle="1" w:styleId="CaptionedFigure" w:type="paragraph">
    <w:name w:val="Captioned Figure"/>
    <w:basedOn w:val="Figure"/>
    <w:pPr>
      <w:keepNext/>
    </w:pPr>
  </w:style>
  <w:style w:customStyle="1" w:styleId="ad" w:type="character">
    <w:name w:val="题注 字符"/>
    <w:basedOn w:val="a1"/>
    <w:link w:val="ac"/>
  </w:style>
  <w:style w:customStyle="1" w:styleId="VerbatimChar" w:type="character">
    <w:name w:val="Verbatim Char"/>
    <w:basedOn w:val="ad"/>
    <w:rPr>
      <w:rFonts w:ascii="Consolas" w:hAnsi="Consolas"/>
      <w:sz w:val="22"/>
    </w:rPr>
  </w:style>
  <w:style w:customStyle="1" w:styleId="SectionNumber" w:type="character">
    <w:name w:val="Section Number"/>
    <w:basedOn w:val="ad"/>
  </w:style>
  <w:style w:styleId="ae" w:type="character">
    <w:name w:val="footnote reference"/>
    <w:basedOn w:val="ad"/>
    <w:rPr>
      <w:vertAlign w:val="superscript"/>
    </w:rPr>
  </w:style>
  <w:style w:styleId="af" w:type="character">
    <w:name w:val="Hyperlink"/>
    <w:basedOn w:val="ad"/>
    <w:rPr>
      <w:color w:themeColor="accent1" w:val="156082"/>
    </w:rPr>
  </w:style>
  <w:style w:styleId="TOC" w:type="paragraph">
    <w:name w:val="TOC Heading"/>
    <w:basedOn w:val="1"/>
    <w:next w:val="a0"/>
    <w:uiPriority w:val="39"/>
    <w:unhideWhenUsed/>
    <w:qFormat/>
    <w:pPr>
      <w:spacing w:before="240" w:line="259" w:lineRule="auto"/>
      <w:outlineLvl w:val="9"/>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53</Words>
  <Characters>302</Characters>
  <Application>Microsoft Office Word</Application>
  <DocSecurity>0</DocSecurity>
  <Lines>33</Lines>
  <Paragraphs>35</Paragraphs>
  <ScaleCrop>false</ScaleCrop>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2025-06-25T16:48:56Z</dcterms:created>
  <dcterms:modified xsi:type="dcterms:W3CDTF">2025-06-25T16:48:56Z</dcterms:modified>
</cp:coreProperties>
</file>

<file path=docProps/custom.xml><?xml version="1.0" encoding="utf-8"?>
<Properties xmlns="http://schemas.openxmlformats.org/officeDocument/2006/custom-properties" xmlns:vt="http://schemas.openxmlformats.org/officeDocument/2006/docPropsVTypes"/>
</file>