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5AADBE" w14:textId="2DC80F9E" w:rsidR="00966F5F" w:rsidRDefault="00126857" w:rsidP="00126857">
      <w:pPr>
        <w:jc w:val="center"/>
      </w:pPr>
      <w:r>
        <w:rPr>
          <w:rFonts w:hint="eastAsia"/>
        </w:rPr>
        <w:t>台積電及聯電財務結構分析報告</w:t>
      </w:r>
    </w:p>
    <w:p w14:paraId="309EB2EC" w14:textId="1288FCE6" w:rsidR="0058711D" w:rsidRDefault="00966F5F" w:rsidP="00126857">
      <w:pPr>
        <w:jc w:val="center"/>
      </w:pPr>
      <w:r>
        <w:rPr>
          <w:rFonts w:hint="eastAsia"/>
        </w:rPr>
        <w:t>組員：</w:t>
      </w:r>
      <w:r>
        <w:rPr>
          <w:rFonts w:hint="eastAsia"/>
        </w:rPr>
        <w:t xml:space="preserve">109550060 </w:t>
      </w:r>
      <w:r>
        <w:rPr>
          <w:rFonts w:hint="eastAsia"/>
        </w:rPr>
        <w:t>陳星宇</w:t>
      </w:r>
    </w:p>
    <w:p w14:paraId="79C2A31D" w14:textId="58BD8F4B" w:rsidR="00126857" w:rsidRPr="000603BA" w:rsidRDefault="00126857" w:rsidP="00126857">
      <w:pPr>
        <w:rPr>
          <w:sz w:val="28"/>
          <w:szCs w:val="28"/>
        </w:rPr>
      </w:pPr>
      <w:r w:rsidRPr="000603BA">
        <w:rPr>
          <w:rFonts w:hint="eastAsia"/>
          <w:sz w:val="28"/>
          <w:szCs w:val="28"/>
        </w:rPr>
        <w:t>一、序論</w:t>
      </w:r>
    </w:p>
    <w:p w14:paraId="4C208D09" w14:textId="127FBD24" w:rsidR="00126857" w:rsidRDefault="00126857" w:rsidP="00126857">
      <w:r>
        <w:rPr>
          <w:rFonts w:hint="eastAsia"/>
        </w:rPr>
        <w:t xml:space="preserve">   </w:t>
      </w:r>
      <w:r>
        <w:rPr>
          <w:rFonts w:hint="eastAsia"/>
        </w:rPr>
        <w:t>台積電和聯電作為台灣最主要的晶圓製造商及代工廠，對於台灣的經濟有著舉足輕重的影響。然而，雖然兩者占據一二名的位置，股價卻有約</w:t>
      </w:r>
      <w:r>
        <w:rPr>
          <w:rFonts w:hint="eastAsia"/>
        </w:rPr>
        <w:t>10</w:t>
      </w:r>
      <w:r>
        <w:rPr>
          <w:rFonts w:hint="eastAsia"/>
        </w:rPr>
        <w:t>倍的差異。因此，我想透過這份分析報告來找出除了資本額本身的差距之外，是否有其他因素影響了兩者的價格。</w:t>
      </w:r>
    </w:p>
    <w:p w14:paraId="58632B7D" w14:textId="2276E969" w:rsidR="00126857" w:rsidRPr="000603BA" w:rsidRDefault="00126857" w:rsidP="00126857">
      <w:pPr>
        <w:rPr>
          <w:sz w:val="28"/>
          <w:szCs w:val="28"/>
        </w:rPr>
      </w:pPr>
      <w:r w:rsidRPr="000603BA">
        <w:rPr>
          <w:rFonts w:hint="eastAsia"/>
          <w:sz w:val="28"/>
          <w:szCs w:val="28"/>
        </w:rPr>
        <w:t>二、原因探討</w:t>
      </w:r>
    </w:p>
    <w:p w14:paraId="5EDB516E" w14:textId="301A5D51" w:rsidR="00126857" w:rsidRPr="000603BA" w:rsidRDefault="00126857" w:rsidP="00126857">
      <w:pPr>
        <w:rPr>
          <w:sz w:val="26"/>
          <w:szCs w:val="26"/>
        </w:rPr>
      </w:pPr>
      <w:r w:rsidRPr="000603BA">
        <w:rPr>
          <w:rFonts w:hint="eastAsia"/>
          <w:sz w:val="26"/>
          <w:szCs w:val="26"/>
        </w:rPr>
        <w:t>A.</w:t>
      </w:r>
      <w:r w:rsidRPr="000603BA">
        <w:rPr>
          <w:sz w:val="26"/>
          <w:szCs w:val="26"/>
        </w:rPr>
        <w:t xml:space="preserve"> </w:t>
      </w:r>
      <w:r w:rsidRPr="000603BA">
        <w:rPr>
          <w:rFonts w:hint="eastAsia"/>
          <w:sz w:val="26"/>
          <w:szCs w:val="26"/>
        </w:rPr>
        <w:t>負債</w:t>
      </w:r>
    </w:p>
    <w:tbl>
      <w:tblPr>
        <w:tblStyle w:val="a3"/>
        <w:tblpPr w:leftFromText="180" w:rightFromText="180" w:vertAnchor="text" w:horzAnchor="margin" w:tblpY="29"/>
        <w:tblW w:w="0" w:type="auto"/>
        <w:tblLook w:val="04A0" w:firstRow="1" w:lastRow="0" w:firstColumn="1" w:lastColumn="0" w:noHBand="0" w:noVBand="1"/>
      </w:tblPr>
      <w:tblGrid>
        <w:gridCol w:w="2405"/>
        <w:gridCol w:w="2945"/>
        <w:gridCol w:w="2946"/>
      </w:tblGrid>
      <w:tr w:rsidR="0058711D" w14:paraId="5AD41CC0" w14:textId="77777777" w:rsidTr="0058711D">
        <w:tc>
          <w:tcPr>
            <w:tcW w:w="2405" w:type="dxa"/>
          </w:tcPr>
          <w:p w14:paraId="269BE2C8" w14:textId="77777777" w:rsidR="0058711D" w:rsidRPr="00126857" w:rsidRDefault="0058711D" w:rsidP="0058711D"/>
        </w:tc>
        <w:tc>
          <w:tcPr>
            <w:tcW w:w="2945" w:type="dxa"/>
          </w:tcPr>
          <w:p w14:paraId="4557D724" w14:textId="77777777" w:rsidR="0058711D" w:rsidRDefault="0058711D" w:rsidP="0058711D">
            <w:r>
              <w:rPr>
                <w:rFonts w:hint="eastAsia"/>
              </w:rPr>
              <w:t>台積電</w:t>
            </w:r>
          </w:p>
        </w:tc>
        <w:tc>
          <w:tcPr>
            <w:tcW w:w="2946" w:type="dxa"/>
          </w:tcPr>
          <w:p w14:paraId="55E55AAA" w14:textId="77777777" w:rsidR="0058711D" w:rsidRDefault="0058711D" w:rsidP="0058711D">
            <w:r>
              <w:rPr>
                <w:rFonts w:hint="eastAsia"/>
              </w:rPr>
              <w:t>聯電</w:t>
            </w:r>
          </w:p>
        </w:tc>
      </w:tr>
      <w:tr w:rsidR="0058711D" w14:paraId="6D7164B3" w14:textId="77777777" w:rsidTr="0058711D">
        <w:tc>
          <w:tcPr>
            <w:tcW w:w="2405" w:type="dxa"/>
          </w:tcPr>
          <w:p w14:paraId="165FC84C" w14:textId="77777777" w:rsidR="0058711D" w:rsidRDefault="0058711D" w:rsidP="0058711D">
            <w:r>
              <w:rPr>
                <w:rFonts w:hint="eastAsia"/>
              </w:rPr>
              <w:t>短期借款</w:t>
            </w:r>
          </w:p>
        </w:tc>
        <w:tc>
          <w:tcPr>
            <w:tcW w:w="2945" w:type="dxa"/>
          </w:tcPr>
          <w:p w14:paraId="7393B737" w14:textId="77777777" w:rsidR="0058711D" w:rsidRDefault="0058711D" w:rsidP="0058711D">
            <w:r>
              <w:rPr>
                <w:rFonts w:hint="eastAsia"/>
              </w:rPr>
              <w:t>0</w:t>
            </w:r>
          </w:p>
        </w:tc>
        <w:tc>
          <w:tcPr>
            <w:tcW w:w="2946" w:type="dxa"/>
          </w:tcPr>
          <w:p w14:paraId="04E8AE3F" w14:textId="77777777" w:rsidR="0058711D" w:rsidRDefault="0058711D" w:rsidP="0058711D">
            <w:r>
              <w:rPr>
                <w:rFonts w:hint="eastAsia"/>
              </w:rPr>
              <w:t>1</w:t>
            </w:r>
            <w:r>
              <w:t>7,590,000</w:t>
            </w:r>
          </w:p>
        </w:tc>
      </w:tr>
      <w:tr w:rsidR="0058711D" w14:paraId="5A0E988B" w14:textId="77777777" w:rsidTr="0058711D">
        <w:tc>
          <w:tcPr>
            <w:tcW w:w="2405" w:type="dxa"/>
          </w:tcPr>
          <w:p w14:paraId="3231219C" w14:textId="77777777" w:rsidR="0058711D" w:rsidRDefault="0058711D" w:rsidP="0058711D">
            <w:r>
              <w:rPr>
                <w:rFonts w:hint="eastAsia"/>
              </w:rPr>
              <w:t>應付短期票</w:t>
            </w:r>
            <w:proofErr w:type="gramStart"/>
            <w:r>
              <w:rPr>
                <w:rFonts w:hint="eastAsia"/>
              </w:rPr>
              <w:t>券</w:t>
            </w:r>
            <w:proofErr w:type="gramEnd"/>
          </w:p>
        </w:tc>
        <w:tc>
          <w:tcPr>
            <w:tcW w:w="2945" w:type="dxa"/>
          </w:tcPr>
          <w:p w14:paraId="21E33DCF" w14:textId="77777777" w:rsidR="0058711D" w:rsidRDefault="0058711D" w:rsidP="0058711D">
            <w:r>
              <w:rPr>
                <w:rFonts w:hint="eastAsia"/>
              </w:rPr>
              <w:t>0</w:t>
            </w:r>
          </w:p>
        </w:tc>
        <w:tc>
          <w:tcPr>
            <w:tcW w:w="2946" w:type="dxa"/>
          </w:tcPr>
          <w:p w14:paraId="25C6E366" w14:textId="77777777" w:rsidR="0058711D" w:rsidRDefault="0058711D" w:rsidP="0058711D">
            <w:r>
              <w:rPr>
                <w:rFonts w:hint="eastAsia"/>
              </w:rPr>
              <w:t>0</w:t>
            </w:r>
          </w:p>
        </w:tc>
      </w:tr>
      <w:tr w:rsidR="0058711D" w14:paraId="35FED0E2" w14:textId="77777777" w:rsidTr="0058711D">
        <w:tc>
          <w:tcPr>
            <w:tcW w:w="2405" w:type="dxa"/>
          </w:tcPr>
          <w:p w14:paraId="7CFEFA30" w14:textId="77777777" w:rsidR="0058711D" w:rsidRDefault="0058711D" w:rsidP="0058711D">
            <w:r>
              <w:rPr>
                <w:rFonts w:hint="eastAsia"/>
              </w:rPr>
              <w:t>應付帳款及票據</w:t>
            </w:r>
          </w:p>
        </w:tc>
        <w:tc>
          <w:tcPr>
            <w:tcW w:w="2945" w:type="dxa"/>
          </w:tcPr>
          <w:p w14:paraId="5CD100A4" w14:textId="77777777" w:rsidR="0058711D" w:rsidRDefault="0058711D" w:rsidP="0058711D">
            <w:r>
              <w:rPr>
                <w:rFonts w:hint="eastAsia"/>
              </w:rPr>
              <w:t>53,772</w:t>
            </w:r>
            <w:r>
              <w:t>,</w:t>
            </w:r>
            <w:r>
              <w:rPr>
                <w:rFonts w:hint="eastAsia"/>
              </w:rPr>
              <w:t>306</w:t>
            </w:r>
          </w:p>
        </w:tc>
        <w:tc>
          <w:tcPr>
            <w:tcW w:w="2946" w:type="dxa"/>
          </w:tcPr>
          <w:p w14:paraId="5912817F" w14:textId="77777777" w:rsidR="0058711D" w:rsidRDefault="0058711D" w:rsidP="0058711D">
            <w:r>
              <w:rPr>
                <w:rFonts w:hint="eastAsia"/>
              </w:rPr>
              <w:t>8</w:t>
            </w:r>
            <w:r>
              <w:t>,370,695</w:t>
            </w:r>
          </w:p>
        </w:tc>
      </w:tr>
      <w:tr w:rsidR="0058711D" w14:paraId="308DDFFE" w14:textId="77777777" w:rsidTr="0058711D">
        <w:tc>
          <w:tcPr>
            <w:tcW w:w="2405" w:type="dxa"/>
          </w:tcPr>
          <w:p w14:paraId="0BA04F96" w14:textId="77777777" w:rsidR="0058711D" w:rsidRDefault="0058711D" w:rsidP="0058711D">
            <w:r>
              <w:rPr>
                <w:rFonts w:hint="eastAsia"/>
              </w:rPr>
              <w:t>預收款項</w:t>
            </w:r>
          </w:p>
        </w:tc>
        <w:tc>
          <w:tcPr>
            <w:tcW w:w="2945" w:type="dxa"/>
          </w:tcPr>
          <w:p w14:paraId="2019ED09" w14:textId="77777777" w:rsidR="0058711D" w:rsidRDefault="0058711D" w:rsidP="0058711D">
            <w:r>
              <w:rPr>
                <w:rFonts w:hint="eastAsia"/>
              </w:rPr>
              <w:t>0</w:t>
            </w:r>
          </w:p>
        </w:tc>
        <w:tc>
          <w:tcPr>
            <w:tcW w:w="2946" w:type="dxa"/>
          </w:tcPr>
          <w:p w14:paraId="1DA726F2" w14:textId="77777777" w:rsidR="0058711D" w:rsidRDefault="0058711D" w:rsidP="0058711D">
            <w:r>
              <w:rPr>
                <w:rFonts w:hint="eastAsia"/>
              </w:rPr>
              <w:t>0</w:t>
            </w:r>
          </w:p>
        </w:tc>
      </w:tr>
      <w:tr w:rsidR="0058711D" w14:paraId="3E085955" w14:textId="77777777" w:rsidTr="0058711D">
        <w:tc>
          <w:tcPr>
            <w:tcW w:w="2405" w:type="dxa"/>
          </w:tcPr>
          <w:p w14:paraId="4DD6D117" w14:textId="77777777" w:rsidR="0058711D" w:rsidRDefault="0058711D" w:rsidP="0058711D">
            <w:proofErr w:type="gramStart"/>
            <w:r>
              <w:rPr>
                <w:rFonts w:hint="eastAsia"/>
              </w:rPr>
              <w:t>一</w:t>
            </w:r>
            <w:proofErr w:type="gramEnd"/>
            <w:r>
              <w:rPr>
                <w:rFonts w:hint="eastAsia"/>
              </w:rPr>
              <w:t>年內到期長期負債</w:t>
            </w:r>
          </w:p>
        </w:tc>
        <w:tc>
          <w:tcPr>
            <w:tcW w:w="2945" w:type="dxa"/>
          </w:tcPr>
          <w:p w14:paraId="45203393" w14:textId="77777777" w:rsidR="0058711D" w:rsidRDefault="0058711D" w:rsidP="0058711D">
            <w:r>
              <w:rPr>
                <w:rFonts w:hint="eastAsia"/>
              </w:rPr>
              <w:t>7</w:t>
            </w:r>
            <w:r>
              <w:t>,420,132</w:t>
            </w:r>
          </w:p>
        </w:tc>
        <w:tc>
          <w:tcPr>
            <w:tcW w:w="2946" w:type="dxa"/>
          </w:tcPr>
          <w:p w14:paraId="7F676E88" w14:textId="77777777" w:rsidR="0058711D" w:rsidRDefault="0058711D" w:rsidP="0058711D">
            <w:r>
              <w:rPr>
                <w:rFonts w:hint="eastAsia"/>
              </w:rPr>
              <w:t>1</w:t>
            </w:r>
            <w:r>
              <w:t>2,484,248</w:t>
            </w:r>
          </w:p>
        </w:tc>
      </w:tr>
      <w:tr w:rsidR="0058711D" w14:paraId="20EF92F4" w14:textId="77777777" w:rsidTr="0058711D">
        <w:tc>
          <w:tcPr>
            <w:tcW w:w="2405" w:type="dxa"/>
          </w:tcPr>
          <w:p w14:paraId="6157EA84" w14:textId="77777777" w:rsidR="0058711D" w:rsidRDefault="0058711D" w:rsidP="0058711D">
            <w:r>
              <w:rPr>
                <w:rFonts w:hint="eastAsia"/>
              </w:rPr>
              <w:t>流動負債</w:t>
            </w:r>
          </w:p>
        </w:tc>
        <w:tc>
          <w:tcPr>
            <w:tcW w:w="2945" w:type="dxa"/>
          </w:tcPr>
          <w:p w14:paraId="04CCC597" w14:textId="77777777" w:rsidR="0058711D" w:rsidRDefault="0058711D" w:rsidP="0058711D">
            <w:r>
              <w:rPr>
                <w:rFonts w:hint="eastAsia"/>
              </w:rPr>
              <w:t>9</w:t>
            </w:r>
            <w:r>
              <w:t>70,034,816</w:t>
            </w:r>
          </w:p>
        </w:tc>
        <w:tc>
          <w:tcPr>
            <w:tcW w:w="2946" w:type="dxa"/>
          </w:tcPr>
          <w:p w14:paraId="3EC4DA18" w14:textId="77777777" w:rsidR="0058711D" w:rsidRDefault="0058711D" w:rsidP="0058711D">
            <w:r>
              <w:rPr>
                <w:rFonts w:hint="eastAsia"/>
              </w:rPr>
              <w:t>9</w:t>
            </w:r>
            <w:r>
              <w:t>2,070,238</w:t>
            </w:r>
          </w:p>
        </w:tc>
      </w:tr>
      <w:tr w:rsidR="0058711D" w14:paraId="1AE97CCF" w14:textId="77777777" w:rsidTr="0058711D">
        <w:tc>
          <w:tcPr>
            <w:tcW w:w="2405" w:type="dxa"/>
          </w:tcPr>
          <w:p w14:paraId="21E55204" w14:textId="77777777" w:rsidR="0058711D" w:rsidRDefault="0058711D" w:rsidP="0058711D">
            <w:r>
              <w:rPr>
                <w:rFonts w:hint="eastAsia"/>
              </w:rPr>
              <w:t>長期負債</w:t>
            </w:r>
          </w:p>
        </w:tc>
        <w:tc>
          <w:tcPr>
            <w:tcW w:w="2945" w:type="dxa"/>
          </w:tcPr>
          <w:p w14:paraId="75881FD8" w14:textId="77777777" w:rsidR="0058711D" w:rsidRDefault="0058711D" w:rsidP="0058711D">
            <w:r>
              <w:rPr>
                <w:rFonts w:hint="eastAsia"/>
              </w:rPr>
              <w:t>9</w:t>
            </w:r>
            <w:r>
              <w:t>37,492,473</w:t>
            </w:r>
          </w:p>
        </w:tc>
        <w:tc>
          <w:tcPr>
            <w:tcW w:w="2946" w:type="dxa"/>
          </w:tcPr>
          <w:p w14:paraId="023A8ABF" w14:textId="77777777" w:rsidR="0058711D" w:rsidRDefault="0058711D" w:rsidP="0058711D">
            <w:r>
              <w:rPr>
                <w:rFonts w:hint="eastAsia"/>
              </w:rPr>
              <w:t>4</w:t>
            </w:r>
            <w:r>
              <w:t>9,380,116</w:t>
            </w:r>
          </w:p>
        </w:tc>
      </w:tr>
      <w:tr w:rsidR="0058711D" w14:paraId="461BCBBF" w14:textId="77777777" w:rsidTr="0058711D">
        <w:tc>
          <w:tcPr>
            <w:tcW w:w="2405" w:type="dxa"/>
          </w:tcPr>
          <w:p w14:paraId="0A65C641" w14:textId="77777777" w:rsidR="0058711D" w:rsidRDefault="0058711D" w:rsidP="0058711D">
            <w:r>
              <w:rPr>
                <w:rFonts w:hint="eastAsia"/>
              </w:rPr>
              <w:t>總負債</w:t>
            </w:r>
          </w:p>
        </w:tc>
        <w:tc>
          <w:tcPr>
            <w:tcW w:w="2945" w:type="dxa"/>
          </w:tcPr>
          <w:p w14:paraId="7D7366CE" w14:textId="77777777" w:rsidR="0058711D" w:rsidRDefault="0058711D" w:rsidP="0058711D">
            <w:r>
              <w:rPr>
                <w:rFonts w:hint="eastAsia"/>
              </w:rPr>
              <w:t>2</w:t>
            </w:r>
            <w:r>
              <w:t>,111,738,274</w:t>
            </w:r>
          </w:p>
        </w:tc>
        <w:tc>
          <w:tcPr>
            <w:tcW w:w="2946" w:type="dxa"/>
          </w:tcPr>
          <w:p w14:paraId="4F3BD9B5" w14:textId="77777777" w:rsidR="0058711D" w:rsidRDefault="0058711D" w:rsidP="0058711D">
            <w:r>
              <w:rPr>
                <w:rFonts w:hint="eastAsia"/>
              </w:rPr>
              <w:t>1</w:t>
            </w:r>
            <w:r>
              <w:t>97,254,767</w:t>
            </w:r>
          </w:p>
        </w:tc>
      </w:tr>
      <w:tr w:rsidR="0058711D" w14:paraId="704728C4" w14:textId="77777777" w:rsidTr="0058711D">
        <w:tc>
          <w:tcPr>
            <w:tcW w:w="2405" w:type="dxa"/>
          </w:tcPr>
          <w:p w14:paraId="336433CE" w14:textId="77777777" w:rsidR="0058711D" w:rsidRDefault="0058711D" w:rsidP="0058711D">
            <w:r>
              <w:rPr>
                <w:rFonts w:hint="eastAsia"/>
              </w:rPr>
              <w:t>股東權益</w:t>
            </w:r>
          </w:p>
        </w:tc>
        <w:tc>
          <w:tcPr>
            <w:tcW w:w="2945" w:type="dxa"/>
          </w:tcPr>
          <w:p w14:paraId="26244260" w14:textId="77777777" w:rsidR="0058711D" w:rsidRDefault="0058711D" w:rsidP="0058711D">
            <w:r>
              <w:rPr>
                <w:rFonts w:hint="eastAsia"/>
              </w:rPr>
              <w:t>3</w:t>
            </w:r>
            <w:r>
              <w:t>,372,818,107</w:t>
            </w:r>
          </w:p>
        </w:tc>
        <w:tc>
          <w:tcPr>
            <w:tcW w:w="2946" w:type="dxa"/>
          </w:tcPr>
          <w:p w14:paraId="58131CDD" w14:textId="77777777" w:rsidR="0058711D" w:rsidRDefault="0058711D" w:rsidP="0058711D">
            <w:r>
              <w:rPr>
                <w:rFonts w:hint="eastAsia"/>
              </w:rPr>
              <w:t>3</w:t>
            </w:r>
            <w:r>
              <w:t>50,016,189</w:t>
            </w:r>
          </w:p>
        </w:tc>
      </w:tr>
    </w:tbl>
    <w:p w14:paraId="17FE3552" w14:textId="7274033F" w:rsidR="00126857" w:rsidRPr="00126857" w:rsidRDefault="00126857" w:rsidP="00126857">
      <w:pPr>
        <w:jc w:val="center"/>
        <w:rPr>
          <w:sz w:val="22"/>
        </w:rPr>
      </w:pPr>
      <w:r w:rsidRPr="00126857">
        <w:rPr>
          <w:rFonts w:hint="eastAsia"/>
          <w:sz w:val="22"/>
        </w:rPr>
        <w:t xml:space="preserve">(2023 Q3 </w:t>
      </w:r>
      <w:r w:rsidRPr="00126857">
        <w:rPr>
          <w:rFonts w:hint="eastAsia"/>
          <w:sz w:val="22"/>
        </w:rPr>
        <w:t>負債規模及股東權益比較表格</w:t>
      </w:r>
      <w:r w:rsidRPr="00126857">
        <w:rPr>
          <w:rFonts w:hint="eastAsia"/>
          <w:sz w:val="22"/>
        </w:rPr>
        <w:t>)</w:t>
      </w:r>
    </w:p>
    <w:p w14:paraId="193CBFF3" w14:textId="0AFA793E" w:rsidR="00CE5B6F" w:rsidRDefault="00126857">
      <w:r>
        <w:rPr>
          <w:rFonts w:hint="eastAsia"/>
        </w:rPr>
        <w:t xml:space="preserve">   </w:t>
      </w:r>
      <w:r w:rsidR="007A0508">
        <w:rPr>
          <w:rFonts w:hint="eastAsia"/>
        </w:rPr>
        <w:t>以上為台積電及聯電在</w:t>
      </w:r>
      <w:r w:rsidR="007A0508">
        <w:rPr>
          <w:rFonts w:hint="eastAsia"/>
        </w:rPr>
        <w:t>2023</w:t>
      </w:r>
      <w:r w:rsidR="007A0508">
        <w:rPr>
          <w:rFonts w:hint="eastAsia"/>
        </w:rPr>
        <w:t>年</w:t>
      </w:r>
      <w:r w:rsidR="007A0508">
        <w:rPr>
          <w:rFonts w:hint="eastAsia"/>
        </w:rPr>
        <w:t>Q3</w:t>
      </w:r>
      <w:r w:rsidR="007A0508">
        <w:rPr>
          <w:rFonts w:hint="eastAsia"/>
        </w:rPr>
        <w:t>的負債</w:t>
      </w:r>
      <w:r w:rsidR="0002548B">
        <w:rPr>
          <w:rFonts w:hint="eastAsia"/>
        </w:rPr>
        <w:t>規模</w:t>
      </w:r>
      <w:r w:rsidR="00F459CA">
        <w:rPr>
          <w:rFonts w:hint="eastAsia"/>
        </w:rPr>
        <w:t>及股東權益</w:t>
      </w:r>
      <w:r w:rsidR="0002548B">
        <w:rPr>
          <w:rFonts w:hint="eastAsia"/>
        </w:rPr>
        <w:t>。</w:t>
      </w:r>
      <w:r w:rsidR="00F459CA">
        <w:rPr>
          <w:rFonts w:hint="eastAsia"/>
        </w:rPr>
        <w:t>我們可以依此算出台積電的</w:t>
      </w:r>
      <w:r w:rsidR="0002548B">
        <w:rPr>
          <w:rFonts w:hint="eastAsia"/>
        </w:rPr>
        <w:t>長債比率為</w:t>
      </w:r>
      <m:oMath>
        <m:f>
          <m:fPr>
            <m:ctrlPr>
              <w:rPr>
                <w:rFonts w:ascii="Cambria Math" w:hAnsi="Cambria Math"/>
                <w:i/>
              </w:rPr>
            </m:ctrlPr>
          </m:fPr>
          <m:num>
            <m:r>
              <w:rPr>
                <w:rFonts w:ascii="Cambria Math" w:hAnsi="Cambria Math" w:hint="eastAsia"/>
              </w:rPr>
              <m:t>93</m:t>
            </m:r>
            <m:r>
              <w:rPr>
                <w:rFonts w:ascii="Cambria Math" w:hAnsi="Cambria Math"/>
              </w:rPr>
              <m:t>7</m:t>
            </m:r>
            <m:r>
              <m:rPr>
                <m:lit/>
              </m:rPr>
              <w:rPr>
                <w:rFonts w:ascii="Cambria Math" w:hAnsi="Cambria Math"/>
              </w:rPr>
              <m:t>,</m:t>
            </m:r>
            <m:r>
              <w:rPr>
                <w:rFonts w:ascii="Cambria Math" w:hAnsi="Cambria Math"/>
              </w:rPr>
              <m:t>492</m:t>
            </m:r>
            <m:r>
              <m:rPr>
                <m:lit/>
              </m:rPr>
              <w:rPr>
                <w:rFonts w:ascii="Cambria Math" w:hAnsi="Cambria Math"/>
              </w:rPr>
              <m:t>,</m:t>
            </m:r>
            <m:r>
              <w:rPr>
                <w:rFonts w:ascii="Cambria Math" w:hAnsi="Cambria Math"/>
              </w:rPr>
              <m:t>473</m:t>
            </m:r>
          </m:num>
          <m:den>
            <m:r>
              <w:rPr>
                <w:rFonts w:ascii="Cambria Math" w:hAnsi="Cambria Math"/>
              </w:rPr>
              <m:t>937</m:t>
            </m:r>
            <m:r>
              <m:rPr>
                <m:lit/>
              </m:rPr>
              <w:rPr>
                <w:rFonts w:ascii="Cambria Math" w:hAnsi="Cambria Math"/>
              </w:rPr>
              <m:t>,</m:t>
            </m:r>
            <m:r>
              <w:rPr>
                <w:rFonts w:ascii="Cambria Math" w:hAnsi="Cambria Math"/>
              </w:rPr>
              <m:t>492</m:t>
            </m:r>
            <m:r>
              <m:rPr>
                <m:lit/>
              </m:rPr>
              <w:rPr>
                <w:rFonts w:ascii="Cambria Math" w:hAnsi="Cambria Math"/>
              </w:rPr>
              <m:t>,</m:t>
            </m:r>
            <m:r>
              <w:rPr>
                <w:rFonts w:ascii="Cambria Math" w:hAnsi="Cambria Math"/>
              </w:rPr>
              <m:t>473+</m:t>
            </m:r>
            <m:r>
              <w:rPr>
                <w:rFonts w:ascii="Cambria Math" w:hAnsi="Cambria Math" w:hint="eastAsia"/>
              </w:rPr>
              <m:t>3</m:t>
            </m:r>
            <m:r>
              <m:rPr>
                <m:lit/>
              </m:rPr>
              <w:rPr>
                <w:rFonts w:ascii="Cambria Math" w:hAnsi="Cambria Math"/>
              </w:rPr>
              <m:t>,</m:t>
            </m:r>
            <m:r>
              <w:rPr>
                <w:rFonts w:ascii="Cambria Math" w:hAnsi="Cambria Math"/>
              </w:rPr>
              <m:t>372</m:t>
            </m:r>
            <m:r>
              <m:rPr>
                <m:lit/>
              </m:rPr>
              <w:rPr>
                <w:rFonts w:ascii="Cambria Math" w:hAnsi="Cambria Math"/>
              </w:rPr>
              <m:t>,</m:t>
            </m:r>
            <m:r>
              <w:rPr>
                <w:rFonts w:ascii="Cambria Math" w:hAnsi="Cambria Math"/>
              </w:rPr>
              <m:t>818</m:t>
            </m:r>
            <m:r>
              <m:rPr>
                <m:lit/>
              </m:rPr>
              <w:rPr>
                <w:rFonts w:ascii="Cambria Math" w:hAnsi="Cambria Math"/>
              </w:rPr>
              <m:t>,</m:t>
            </m:r>
            <m:r>
              <w:rPr>
                <w:rFonts w:ascii="Cambria Math" w:hAnsi="Cambria Math"/>
              </w:rPr>
              <m:t>107</m:t>
            </m:r>
          </m:den>
        </m:f>
      </m:oMath>
      <w:r w:rsidR="0002548B">
        <w:t>=</w:t>
      </w:r>
      <w:r w:rsidR="00F459CA">
        <w:t>21</w:t>
      </w:r>
      <w:r w:rsidR="00F459CA">
        <w:rPr>
          <w:rFonts w:hint="eastAsia"/>
        </w:rPr>
        <w:t>.7%</w:t>
      </w:r>
      <w:r w:rsidR="00F459CA">
        <w:rPr>
          <w:rFonts w:hint="eastAsia"/>
        </w:rPr>
        <w:t>，聯電為</w:t>
      </w:r>
      <m:oMath>
        <m:f>
          <m:fPr>
            <m:ctrlPr>
              <w:rPr>
                <w:rFonts w:ascii="Cambria Math" w:hAnsi="Cambria Math"/>
                <w:i/>
              </w:rPr>
            </m:ctrlPr>
          </m:fPr>
          <m:num>
            <m:r>
              <w:rPr>
                <w:rFonts w:ascii="Cambria Math" w:hAnsi="Cambria Math" w:hint="eastAsia"/>
              </w:rPr>
              <m:t>49</m:t>
            </m:r>
            <m:r>
              <m:rPr>
                <m:lit/>
              </m:rPr>
              <w:rPr>
                <w:rFonts w:ascii="Cambria Math" w:hAnsi="Cambria Math"/>
              </w:rPr>
              <m:t>,</m:t>
            </m:r>
            <m:r>
              <w:rPr>
                <w:rFonts w:ascii="Cambria Math" w:hAnsi="Cambria Math"/>
              </w:rPr>
              <m:t>380</m:t>
            </m:r>
            <m:r>
              <m:rPr>
                <m:lit/>
              </m:rPr>
              <w:rPr>
                <w:rFonts w:ascii="Cambria Math" w:hAnsi="Cambria Math"/>
              </w:rPr>
              <m:t>,</m:t>
            </m:r>
            <m:r>
              <w:rPr>
                <w:rFonts w:ascii="Cambria Math" w:hAnsi="Cambria Math"/>
              </w:rPr>
              <m:t>116</m:t>
            </m:r>
          </m:num>
          <m:den>
            <m:r>
              <w:rPr>
                <w:rFonts w:ascii="Cambria Math" w:hAnsi="Cambria Math"/>
              </w:rPr>
              <m:t>49</m:t>
            </m:r>
            <m:r>
              <m:rPr>
                <m:lit/>
              </m:rPr>
              <w:rPr>
                <w:rFonts w:ascii="Cambria Math" w:hAnsi="Cambria Math"/>
              </w:rPr>
              <m:t>,</m:t>
            </m:r>
            <m:r>
              <w:rPr>
                <w:rFonts w:ascii="Cambria Math" w:hAnsi="Cambria Math"/>
              </w:rPr>
              <m:t>380</m:t>
            </m:r>
            <m:r>
              <m:rPr>
                <m:lit/>
              </m:rPr>
              <w:rPr>
                <w:rFonts w:ascii="Cambria Math" w:hAnsi="Cambria Math"/>
              </w:rPr>
              <m:t>,</m:t>
            </m:r>
            <m:r>
              <w:rPr>
                <w:rFonts w:ascii="Cambria Math" w:hAnsi="Cambria Math"/>
              </w:rPr>
              <m:t>116+350</m:t>
            </m:r>
            <m:r>
              <m:rPr>
                <m:lit/>
              </m:rPr>
              <w:rPr>
                <w:rFonts w:ascii="Cambria Math" w:hAnsi="Cambria Math"/>
              </w:rPr>
              <m:t>,</m:t>
            </m:r>
            <m:r>
              <w:rPr>
                <w:rFonts w:ascii="Cambria Math" w:hAnsi="Cambria Math"/>
              </w:rPr>
              <m:t>016</m:t>
            </m:r>
            <m:r>
              <m:rPr>
                <m:lit/>
              </m:rPr>
              <w:rPr>
                <w:rFonts w:ascii="Cambria Math" w:hAnsi="Cambria Math"/>
              </w:rPr>
              <m:t>,</m:t>
            </m:r>
            <m:r>
              <w:rPr>
                <w:rFonts w:ascii="Cambria Math" w:hAnsi="Cambria Math"/>
              </w:rPr>
              <m:t>189</m:t>
            </m:r>
          </m:den>
        </m:f>
      </m:oMath>
      <w:r w:rsidR="00F459CA">
        <w:rPr>
          <w:rFonts w:hint="eastAsia"/>
        </w:rPr>
        <w:t>=</w:t>
      </w:r>
      <w:r w:rsidR="00F459CA">
        <w:t>12.4%</w:t>
      </w:r>
      <w:r w:rsidR="00F459CA">
        <w:rPr>
          <w:rFonts w:hint="eastAsia"/>
        </w:rPr>
        <w:t>。兩者的長債比率</w:t>
      </w:r>
      <w:r w:rsidR="0058711D">
        <w:rPr>
          <w:rFonts w:hint="eastAsia"/>
        </w:rPr>
        <w:t>(</w:t>
      </w:r>
      <w:r w:rsidR="0058711D">
        <w:t>long-term debt ratio)</w:t>
      </w:r>
      <w:r w:rsidR="00F459CA">
        <w:rPr>
          <w:rFonts w:hint="eastAsia"/>
        </w:rPr>
        <w:t>相對於美國製造業的平均值</w:t>
      </w:r>
      <w:r w:rsidR="00F459CA">
        <w:rPr>
          <w:rFonts w:hint="eastAsia"/>
        </w:rPr>
        <w:t>30%</w:t>
      </w:r>
      <w:r w:rsidR="00F459CA">
        <w:rPr>
          <w:rFonts w:hint="eastAsia"/>
        </w:rPr>
        <w:t>而言</w:t>
      </w:r>
      <w:proofErr w:type="gramStart"/>
      <w:r w:rsidR="00F459CA">
        <w:rPr>
          <w:rFonts w:hint="eastAsia"/>
        </w:rPr>
        <w:t>都滿低的</w:t>
      </w:r>
      <w:proofErr w:type="gramEnd"/>
      <w:r w:rsidR="00F459CA">
        <w:rPr>
          <w:rFonts w:hint="eastAsia"/>
        </w:rPr>
        <w:t>，可以得知兩間公司大多的資產比例都是來自股東權益，因此</w:t>
      </w:r>
      <w:r w:rsidR="0058711D">
        <w:rPr>
          <w:rFonts w:hint="eastAsia"/>
        </w:rPr>
        <w:t>推論無法償債的可能性較低，</w:t>
      </w:r>
      <w:r w:rsidR="00F459CA">
        <w:rPr>
          <w:rFonts w:hint="eastAsia"/>
        </w:rPr>
        <w:t>風險係數</w:t>
      </w:r>
      <w:r w:rsidR="0058711D">
        <w:rPr>
          <w:rFonts w:hint="eastAsia"/>
        </w:rPr>
        <w:t>也</w:t>
      </w:r>
      <w:r w:rsidR="00F459CA">
        <w:rPr>
          <w:rFonts w:hint="eastAsia"/>
        </w:rPr>
        <w:t>較低。</w:t>
      </w:r>
      <w:r w:rsidR="0058711D">
        <w:rPr>
          <w:rFonts w:hint="eastAsia"/>
        </w:rPr>
        <w:t>再比較兩間公司的流動比率</w:t>
      </w:r>
      <w:r w:rsidR="0058711D">
        <w:rPr>
          <w:rFonts w:hint="eastAsia"/>
        </w:rPr>
        <w:t>(</w:t>
      </w:r>
      <w:r w:rsidR="0058711D">
        <w:t>current ratio</w:t>
      </w:r>
      <w:r w:rsidR="0058711D">
        <w:rPr>
          <w:rFonts w:hint="eastAsia"/>
        </w:rPr>
        <w:t>)</w:t>
      </w:r>
      <w:r w:rsidR="0058711D">
        <w:rPr>
          <w:rFonts w:hint="eastAsia"/>
        </w:rPr>
        <w:t>，由參考資料得知，台積電的流動資產為</w:t>
      </w:r>
      <w:r w:rsidR="0058711D">
        <w:rPr>
          <w:rFonts w:hint="eastAsia"/>
        </w:rPr>
        <w:t>2</w:t>
      </w:r>
      <w:r w:rsidR="0058711D">
        <w:t>,082,477,636</w:t>
      </w:r>
      <w:r w:rsidR="0058711D">
        <w:rPr>
          <w:rFonts w:hint="eastAsia"/>
        </w:rPr>
        <w:t>而聯電為</w:t>
      </w:r>
      <w:r w:rsidR="0058711D">
        <w:rPr>
          <w:rFonts w:hint="eastAsia"/>
        </w:rPr>
        <w:t>219</w:t>
      </w:r>
      <w:r w:rsidR="0058711D">
        <w:t>,</w:t>
      </w:r>
      <w:r w:rsidR="0058711D">
        <w:rPr>
          <w:rFonts w:hint="eastAsia"/>
        </w:rPr>
        <w:t>280</w:t>
      </w:r>
      <w:r w:rsidR="0058711D">
        <w:t>,</w:t>
      </w:r>
      <w:r w:rsidR="0058711D">
        <w:rPr>
          <w:rFonts w:hint="eastAsia"/>
        </w:rPr>
        <w:t>222</w:t>
      </w:r>
      <w:r w:rsidR="0058711D">
        <w:rPr>
          <w:rFonts w:hint="eastAsia"/>
        </w:rPr>
        <w:t>。我們可以由此計算出台積電的流動比率為</w:t>
      </w:r>
      <m:oMath>
        <m:f>
          <m:fPr>
            <m:ctrlPr>
              <w:rPr>
                <w:rFonts w:ascii="Cambria Math" w:hAnsi="Cambria Math"/>
                <w:i/>
              </w:rPr>
            </m:ctrlPr>
          </m:fPr>
          <m:num>
            <m:r>
              <w:rPr>
                <w:rFonts w:ascii="Cambria Math" w:hAnsi="Cambria Math"/>
              </w:rPr>
              <m:t>2</m:t>
            </m:r>
            <m:r>
              <m:rPr>
                <m:lit/>
              </m:rPr>
              <w:rPr>
                <w:rFonts w:ascii="Cambria Math" w:hAnsi="Cambria Math"/>
              </w:rPr>
              <m:t>,</m:t>
            </m:r>
            <m:r>
              <w:rPr>
                <w:rFonts w:ascii="Cambria Math" w:hAnsi="Cambria Math"/>
              </w:rPr>
              <m:t>082</m:t>
            </m:r>
            <m:r>
              <m:rPr>
                <m:lit/>
              </m:rPr>
              <w:rPr>
                <w:rFonts w:ascii="Cambria Math" w:hAnsi="Cambria Math"/>
              </w:rPr>
              <m:t>,</m:t>
            </m:r>
            <m:r>
              <w:rPr>
                <w:rFonts w:ascii="Cambria Math" w:hAnsi="Cambria Math"/>
              </w:rPr>
              <m:t>477</m:t>
            </m:r>
            <m:r>
              <m:rPr>
                <m:lit/>
              </m:rPr>
              <w:rPr>
                <w:rFonts w:ascii="Cambria Math" w:hAnsi="Cambria Math"/>
              </w:rPr>
              <m:t>,</m:t>
            </m:r>
            <m:r>
              <w:rPr>
                <w:rFonts w:ascii="Cambria Math" w:hAnsi="Cambria Math"/>
              </w:rPr>
              <m:t>636</m:t>
            </m:r>
          </m:num>
          <m:den>
            <m:r>
              <w:rPr>
                <w:rFonts w:ascii="Cambria Math" w:hAnsi="Cambria Math"/>
              </w:rPr>
              <m:t>970</m:t>
            </m:r>
            <m:r>
              <m:rPr>
                <m:lit/>
              </m:rPr>
              <w:rPr>
                <w:rFonts w:ascii="Cambria Math" w:hAnsi="Cambria Math"/>
              </w:rPr>
              <m:t>,</m:t>
            </m:r>
            <m:r>
              <w:rPr>
                <w:rFonts w:ascii="Cambria Math" w:hAnsi="Cambria Math"/>
              </w:rPr>
              <m:t>034</m:t>
            </m:r>
            <m:r>
              <m:rPr>
                <m:lit/>
              </m:rPr>
              <w:rPr>
                <w:rFonts w:ascii="Cambria Math" w:hAnsi="Cambria Math"/>
              </w:rPr>
              <m:t>,</m:t>
            </m:r>
            <m:r>
              <w:rPr>
                <w:rFonts w:ascii="Cambria Math" w:hAnsi="Cambria Math"/>
              </w:rPr>
              <m:t>816</m:t>
            </m:r>
          </m:den>
        </m:f>
      </m:oMath>
      <w:r w:rsidR="0058711D">
        <w:rPr>
          <w:rFonts w:hint="eastAsia"/>
        </w:rPr>
        <w:t xml:space="preserve"> =</w:t>
      </w:r>
      <w:r w:rsidR="0058711D">
        <w:t xml:space="preserve"> 2.22, </w:t>
      </w:r>
      <w:r w:rsidR="0058711D">
        <w:rPr>
          <w:rFonts w:hint="eastAsia"/>
        </w:rPr>
        <w:t>聯電為</w:t>
      </w:r>
      <w:r w:rsidR="0058711D">
        <w:rPr>
          <w:rFonts w:hint="eastAsia"/>
        </w:rPr>
        <w:t xml:space="preserve"> </w:t>
      </w:r>
      <m:oMath>
        <m:f>
          <m:fPr>
            <m:ctrlPr>
              <w:rPr>
                <w:rFonts w:ascii="Cambria Math" w:hAnsi="Cambria Math"/>
                <w:i/>
              </w:rPr>
            </m:ctrlPr>
          </m:fPr>
          <m:num>
            <m:r>
              <w:rPr>
                <w:rFonts w:ascii="Cambria Math" w:hAnsi="Cambria Math"/>
              </w:rPr>
              <m:t>219</m:t>
            </m:r>
            <m:r>
              <m:rPr>
                <m:lit/>
              </m:rPr>
              <w:rPr>
                <w:rFonts w:ascii="Cambria Math" w:hAnsi="Cambria Math"/>
              </w:rPr>
              <m:t>,</m:t>
            </m:r>
            <m:r>
              <w:rPr>
                <w:rFonts w:ascii="Cambria Math" w:hAnsi="Cambria Math"/>
              </w:rPr>
              <m:t>280</m:t>
            </m:r>
            <m:r>
              <m:rPr>
                <m:lit/>
              </m:rPr>
              <w:rPr>
                <w:rFonts w:ascii="Cambria Math" w:hAnsi="Cambria Math"/>
              </w:rPr>
              <m:t>,</m:t>
            </m:r>
            <m:r>
              <w:rPr>
                <w:rFonts w:ascii="Cambria Math" w:hAnsi="Cambria Math"/>
              </w:rPr>
              <m:t>222</m:t>
            </m:r>
          </m:num>
          <m:den>
            <m:r>
              <w:rPr>
                <w:rFonts w:ascii="Cambria Math" w:hAnsi="Cambria Math"/>
              </w:rPr>
              <m:t>92</m:t>
            </m:r>
            <m:r>
              <m:rPr>
                <m:lit/>
              </m:rPr>
              <w:rPr>
                <w:rFonts w:ascii="Cambria Math" w:hAnsi="Cambria Math"/>
              </w:rPr>
              <m:t>,</m:t>
            </m:r>
            <m:r>
              <w:rPr>
                <w:rFonts w:ascii="Cambria Math" w:hAnsi="Cambria Math"/>
              </w:rPr>
              <m:t>070</m:t>
            </m:r>
            <m:r>
              <m:rPr>
                <m:lit/>
              </m:rPr>
              <w:rPr>
                <w:rFonts w:ascii="Cambria Math" w:hAnsi="Cambria Math"/>
              </w:rPr>
              <m:t>,</m:t>
            </m:r>
            <m:r>
              <w:rPr>
                <w:rFonts w:ascii="Cambria Math" w:hAnsi="Cambria Math"/>
              </w:rPr>
              <m:t>238</m:t>
            </m:r>
          </m:den>
        </m:f>
      </m:oMath>
      <w:r w:rsidR="0058711D">
        <w:rPr>
          <w:rFonts w:hint="eastAsia"/>
        </w:rPr>
        <w:t xml:space="preserve"> =</w:t>
      </w:r>
      <w:r w:rsidR="0058711D">
        <w:t xml:space="preserve"> 2.38</w:t>
      </w:r>
      <w:r w:rsidR="0058711D">
        <w:rPr>
          <w:rFonts w:hint="eastAsia"/>
        </w:rPr>
        <w:t>，兩者比值都達到</w:t>
      </w:r>
      <w:r w:rsidR="0058711D">
        <w:rPr>
          <w:rFonts w:hint="eastAsia"/>
        </w:rPr>
        <w:t>2</w:t>
      </w:r>
      <w:r w:rsidR="0058711D">
        <w:rPr>
          <w:rFonts w:hint="eastAsia"/>
        </w:rPr>
        <w:t>以上且相近，表示兩者短期都有足夠的現金流可以償還短期債務。</w:t>
      </w:r>
    </w:p>
    <w:p w14:paraId="78E65D22" w14:textId="77777777" w:rsidR="003D6BFA" w:rsidRDefault="003D6BFA"/>
    <w:p w14:paraId="423B07D3" w14:textId="0DBFC601" w:rsidR="000603BA" w:rsidRDefault="00EE565E">
      <w:pPr>
        <w:rPr>
          <w:sz w:val="26"/>
          <w:szCs w:val="26"/>
        </w:rPr>
      </w:pPr>
      <w:r w:rsidRPr="000603BA">
        <w:rPr>
          <w:rFonts w:hint="eastAsia"/>
          <w:sz w:val="26"/>
          <w:szCs w:val="26"/>
        </w:rPr>
        <w:t>B.</w:t>
      </w:r>
      <w:r w:rsidRPr="000603BA">
        <w:rPr>
          <w:sz w:val="26"/>
          <w:szCs w:val="26"/>
        </w:rPr>
        <w:t xml:space="preserve"> </w:t>
      </w:r>
      <w:r w:rsidRPr="000603BA">
        <w:rPr>
          <w:rFonts w:hint="eastAsia"/>
          <w:sz w:val="26"/>
          <w:szCs w:val="26"/>
        </w:rPr>
        <w:t>公司成長率</w:t>
      </w:r>
    </w:p>
    <w:tbl>
      <w:tblPr>
        <w:tblStyle w:val="a3"/>
        <w:tblW w:w="0" w:type="auto"/>
        <w:tblLook w:val="04A0" w:firstRow="1" w:lastRow="0" w:firstColumn="1" w:lastColumn="0" w:noHBand="0" w:noVBand="1"/>
      </w:tblPr>
      <w:tblGrid>
        <w:gridCol w:w="1382"/>
        <w:gridCol w:w="1382"/>
        <w:gridCol w:w="1383"/>
        <w:gridCol w:w="1383"/>
        <w:gridCol w:w="1383"/>
        <w:gridCol w:w="1383"/>
      </w:tblGrid>
      <w:tr w:rsidR="003D6BFA" w14:paraId="2E2E8184" w14:textId="77777777" w:rsidTr="003D6BFA">
        <w:tc>
          <w:tcPr>
            <w:tcW w:w="1382" w:type="dxa"/>
          </w:tcPr>
          <w:p w14:paraId="7390F8F5" w14:textId="267C4F8A" w:rsidR="003D6BFA" w:rsidRDefault="003D6BFA">
            <w:pPr>
              <w:rPr>
                <w:sz w:val="26"/>
                <w:szCs w:val="26"/>
              </w:rPr>
            </w:pPr>
            <w:r>
              <w:rPr>
                <w:rFonts w:hint="eastAsia"/>
                <w:sz w:val="26"/>
                <w:szCs w:val="26"/>
              </w:rPr>
              <w:t>配息率</w:t>
            </w:r>
          </w:p>
        </w:tc>
        <w:tc>
          <w:tcPr>
            <w:tcW w:w="1382" w:type="dxa"/>
          </w:tcPr>
          <w:p w14:paraId="1BABBB21" w14:textId="7808086A" w:rsidR="003D6BFA" w:rsidRDefault="003D6BFA">
            <w:pPr>
              <w:rPr>
                <w:sz w:val="26"/>
                <w:szCs w:val="26"/>
              </w:rPr>
            </w:pPr>
            <w:r>
              <w:rPr>
                <w:rFonts w:hint="eastAsia"/>
                <w:sz w:val="26"/>
                <w:szCs w:val="26"/>
              </w:rPr>
              <w:t>2018</w:t>
            </w:r>
          </w:p>
        </w:tc>
        <w:tc>
          <w:tcPr>
            <w:tcW w:w="1383" w:type="dxa"/>
          </w:tcPr>
          <w:p w14:paraId="263698A9" w14:textId="1C159076" w:rsidR="003D6BFA" w:rsidRDefault="003D6BFA">
            <w:pPr>
              <w:rPr>
                <w:sz w:val="26"/>
                <w:szCs w:val="26"/>
              </w:rPr>
            </w:pPr>
            <w:r>
              <w:rPr>
                <w:rFonts w:hint="eastAsia"/>
                <w:sz w:val="26"/>
                <w:szCs w:val="26"/>
              </w:rPr>
              <w:t>2019</w:t>
            </w:r>
          </w:p>
        </w:tc>
        <w:tc>
          <w:tcPr>
            <w:tcW w:w="1383" w:type="dxa"/>
          </w:tcPr>
          <w:p w14:paraId="178B63AA" w14:textId="630C566A" w:rsidR="003D6BFA" w:rsidRDefault="003D6BFA">
            <w:pPr>
              <w:rPr>
                <w:sz w:val="26"/>
                <w:szCs w:val="26"/>
              </w:rPr>
            </w:pPr>
            <w:r>
              <w:rPr>
                <w:rFonts w:hint="eastAsia"/>
                <w:sz w:val="26"/>
                <w:szCs w:val="26"/>
              </w:rPr>
              <w:t>2020</w:t>
            </w:r>
          </w:p>
        </w:tc>
        <w:tc>
          <w:tcPr>
            <w:tcW w:w="1383" w:type="dxa"/>
          </w:tcPr>
          <w:p w14:paraId="597B232F" w14:textId="265BA4A6" w:rsidR="003D6BFA" w:rsidRDefault="003D6BFA">
            <w:pPr>
              <w:rPr>
                <w:sz w:val="26"/>
                <w:szCs w:val="26"/>
              </w:rPr>
            </w:pPr>
            <w:r>
              <w:rPr>
                <w:rFonts w:hint="eastAsia"/>
                <w:sz w:val="26"/>
                <w:szCs w:val="26"/>
              </w:rPr>
              <w:t>2021</w:t>
            </w:r>
          </w:p>
        </w:tc>
        <w:tc>
          <w:tcPr>
            <w:tcW w:w="1383" w:type="dxa"/>
          </w:tcPr>
          <w:p w14:paraId="6401A547" w14:textId="044D9872" w:rsidR="003D6BFA" w:rsidRDefault="003D6BFA">
            <w:pPr>
              <w:rPr>
                <w:sz w:val="26"/>
                <w:szCs w:val="26"/>
              </w:rPr>
            </w:pPr>
            <w:r>
              <w:rPr>
                <w:rFonts w:hint="eastAsia"/>
                <w:sz w:val="26"/>
                <w:szCs w:val="26"/>
              </w:rPr>
              <w:t>2022</w:t>
            </w:r>
          </w:p>
        </w:tc>
      </w:tr>
      <w:tr w:rsidR="003D6BFA" w14:paraId="1E517752" w14:textId="77777777" w:rsidTr="003D6BFA">
        <w:tc>
          <w:tcPr>
            <w:tcW w:w="1382" w:type="dxa"/>
          </w:tcPr>
          <w:p w14:paraId="492B6DEF" w14:textId="021A99D2" w:rsidR="003D6BFA" w:rsidRDefault="003D6BFA">
            <w:pPr>
              <w:rPr>
                <w:sz w:val="26"/>
                <w:szCs w:val="26"/>
              </w:rPr>
            </w:pPr>
            <w:r>
              <w:rPr>
                <w:rFonts w:hint="eastAsia"/>
                <w:sz w:val="26"/>
                <w:szCs w:val="26"/>
              </w:rPr>
              <w:t>台積電</w:t>
            </w:r>
          </w:p>
        </w:tc>
        <w:tc>
          <w:tcPr>
            <w:tcW w:w="1382" w:type="dxa"/>
          </w:tcPr>
          <w:p w14:paraId="22254085" w14:textId="3FB961AF" w:rsidR="003D6BFA" w:rsidRDefault="003D6BFA">
            <w:pPr>
              <w:rPr>
                <w:sz w:val="26"/>
                <w:szCs w:val="26"/>
              </w:rPr>
            </w:pPr>
            <w:r>
              <w:rPr>
                <w:rFonts w:hint="eastAsia"/>
                <w:sz w:val="26"/>
                <w:szCs w:val="26"/>
              </w:rPr>
              <w:t>59.08%</w:t>
            </w:r>
          </w:p>
        </w:tc>
        <w:tc>
          <w:tcPr>
            <w:tcW w:w="1383" w:type="dxa"/>
          </w:tcPr>
          <w:p w14:paraId="0A28E7DD" w14:textId="7AACF6FF" w:rsidR="003D6BFA" w:rsidRDefault="003D6BFA">
            <w:pPr>
              <w:rPr>
                <w:sz w:val="26"/>
                <w:szCs w:val="26"/>
              </w:rPr>
            </w:pPr>
            <w:r>
              <w:rPr>
                <w:rFonts w:hint="eastAsia"/>
                <w:sz w:val="26"/>
                <w:szCs w:val="26"/>
              </w:rPr>
              <w:t>71.32%</w:t>
            </w:r>
          </w:p>
        </w:tc>
        <w:tc>
          <w:tcPr>
            <w:tcW w:w="1383" w:type="dxa"/>
          </w:tcPr>
          <w:p w14:paraId="5E53CFF1" w14:textId="1787A99B" w:rsidR="003D6BFA" w:rsidRDefault="003D6BFA">
            <w:pPr>
              <w:rPr>
                <w:sz w:val="26"/>
                <w:szCs w:val="26"/>
              </w:rPr>
            </w:pPr>
            <w:r>
              <w:rPr>
                <w:rFonts w:hint="eastAsia"/>
                <w:sz w:val="26"/>
                <w:szCs w:val="26"/>
              </w:rPr>
              <w:t>50.08%</w:t>
            </w:r>
          </w:p>
        </w:tc>
        <w:tc>
          <w:tcPr>
            <w:tcW w:w="1383" w:type="dxa"/>
          </w:tcPr>
          <w:p w14:paraId="505D3567" w14:textId="7444C87F" w:rsidR="003D6BFA" w:rsidRDefault="003D6BFA">
            <w:pPr>
              <w:rPr>
                <w:sz w:val="26"/>
                <w:szCs w:val="26"/>
              </w:rPr>
            </w:pPr>
            <w:r>
              <w:rPr>
                <w:rFonts w:hint="eastAsia"/>
                <w:sz w:val="26"/>
                <w:szCs w:val="26"/>
              </w:rPr>
              <w:t>47.81%</w:t>
            </w:r>
          </w:p>
        </w:tc>
        <w:tc>
          <w:tcPr>
            <w:tcW w:w="1383" w:type="dxa"/>
          </w:tcPr>
          <w:p w14:paraId="22D69CFE" w14:textId="77AC5716" w:rsidR="003D6BFA" w:rsidRDefault="003D6BFA">
            <w:pPr>
              <w:rPr>
                <w:sz w:val="26"/>
                <w:szCs w:val="26"/>
              </w:rPr>
            </w:pPr>
            <w:r>
              <w:rPr>
                <w:rFonts w:hint="eastAsia"/>
                <w:sz w:val="26"/>
                <w:szCs w:val="26"/>
              </w:rPr>
              <w:t>28.06%</w:t>
            </w:r>
          </w:p>
        </w:tc>
      </w:tr>
      <w:tr w:rsidR="003D6BFA" w14:paraId="3549D164" w14:textId="77777777" w:rsidTr="003D6BFA">
        <w:tc>
          <w:tcPr>
            <w:tcW w:w="1382" w:type="dxa"/>
          </w:tcPr>
          <w:p w14:paraId="365B3D5C" w14:textId="75545985" w:rsidR="003D6BFA" w:rsidRDefault="003D6BFA">
            <w:pPr>
              <w:rPr>
                <w:sz w:val="26"/>
                <w:szCs w:val="26"/>
              </w:rPr>
            </w:pPr>
            <w:r>
              <w:rPr>
                <w:rFonts w:hint="eastAsia"/>
                <w:sz w:val="26"/>
                <w:szCs w:val="26"/>
              </w:rPr>
              <w:lastRenderedPageBreak/>
              <w:t>聯電</w:t>
            </w:r>
          </w:p>
        </w:tc>
        <w:tc>
          <w:tcPr>
            <w:tcW w:w="1382" w:type="dxa"/>
          </w:tcPr>
          <w:p w14:paraId="654DD194" w14:textId="556B2E13" w:rsidR="003D6BFA" w:rsidRDefault="003D6BFA">
            <w:pPr>
              <w:rPr>
                <w:sz w:val="26"/>
                <w:szCs w:val="26"/>
              </w:rPr>
            </w:pPr>
            <w:r>
              <w:rPr>
                <w:rFonts w:hint="eastAsia"/>
                <w:sz w:val="26"/>
                <w:szCs w:val="26"/>
              </w:rPr>
              <w:t>100%</w:t>
            </w:r>
          </w:p>
        </w:tc>
        <w:tc>
          <w:tcPr>
            <w:tcW w:w="1383" w:type="dxa"/>
          </w:tcPr>
          <w:p w14:paraId="756E0ED4" w14:textId="5B42230E" w:rsidR="003D6BFA" w:rsidRDefault="003D6BFA">
            <w:pPr>
              <w:rPr>
                <w:sz w:val="26"/>
                <w:szCs w:val="26"/>
              </w:rPr>
            </w:pPr>
            <w:r>
              <w:rPr>
                <w:rFonts w:hint="eastAsia"/>
                <w:sz w:val="26"/>
                <w:szCs w:val="26"/>
              </w:rPr>
              <w:t>91.46%</w:t>
            </w:r>
          </w:p>
        </w:tc>
        <w:tc>
          <w:tcPr>
            <w:tcW w:w="1383" w:type="dxa"/>
          </w:tcPr>
          <w:p w14:paraId="1A3BC2B8" w14:textId="7843B994" w:rsidR="003D6BFA" w:rsidRDefault="003D6BFA">
            <w:pPr>
              <w:rPr>
                <w:sz w:val="26"/>
                <w:szCs w:val="26"/>
              </w:rPr>
            </w:pPr>
            <w:r>
              <w:rPr>
                <w:rFonts w:hint="eastAsia"/>
                <w:sz w:val="26"/>
                <w:szCs w:val="26"/>
              </w:rPr>
              <w:t>66.12%</w:t>
            </w:r>
          </w:p>
        </w:tc>
        <w:tc>
          <w:tcPr>
            <w:tcW w:w="1383" w:type="dxa"/>
          </w:tcPr>
          <w:p w14:paraId="01A9CF4F" w14:textId="22BE381B" w:rsidR="003D6BFA" w:rsidRDefault="003D6BFA">
            <w:pPr>
              <w:rPr>
                <w:sz w:val="26"/>
                <w:szCs w:val="26"/>
              </w:rPr>
            </w:pPr>
            <w:r>
              <w:rPr>
                <w:rFonts w:hint="eastAsia"/>
                <w:sz w:val="26"/>
                <w:szCs w:val="26"/>
              </w:rPr>
              <w:t>65.65%</w:t>
            </w:r>
          </w:p>
        </w:tc>
        <w:tc>
          <w:tcPr>
            <w:tcW w:w="1383" w:type="dxa"/>
          </w:tcPr>
          <w:p w14:paraId="6A82C198" w14:textId="29103F74" w:rsidR="003D6BFA" w:rsidRDefault="003D6BFA">
            <w:pPr>
              <w:rPr>
                <w:sz w:val="26"/>
                <w:szCs w:val="26"/>
              </w:rPr>
            </w:pPr>
            <w:r>
              <w:rPr>
                <w:rFonts w:hint="eastAsia"/>
                <w:sz w:val="26"/>
                <w:szCs w:val="26"/>
              </w:rPr>
              <w:t>50.78%</w:t>
            </w:r>
          </w:p>
        </w:tc>
      </w:tr>
    </w:tbl>
    <w:p w14:paraId="0CF7B82C" w14:textId="37E94E98" w:rsidR="000603BA" w:rsidRDefault="000603BA">
      <w:r>
        <w:rPr>
          <w:rFonts w:hint="eastAsia"/>
        </w:rPr>
        <w:t xml:space="preserve">   </w:t>
      </w:r>
      <w:r>
        <w:rPr>
          <w:rFonts w:hint="eastAsia"/>
        </w:rPr>
        <w:t>根據參考資料，</w:t>
      </w:r>
      <w:r w:rsidR="003D6BFA">
        <w:rPr>
          <w:rFonts w:hint="eastAsia"/>
        </w:rPr>
        <w:t>在</w:t>
      </w:r>
      <w:r w:rsidR="003D6BFA">
        <w:rPr>
          <w:rFonts w:hint="eastAsia"/>
        </w:rPr>
        <w:t>2018-</w:t>
      </w:r>
      <w:r>
        <w:rPr>
          <w:rFonts w:hint="eastAsia"/>
        </w:rPr>
        <w:t>2</w:t>
      </w:r>
      <w:r>
        <w:t>022</w:t>
      </w:r>
      <w:r>
        <w:rPr>
          <w:rFonts w:hint="eastAsia"/>
        </w:rPr>
        <w:t>年</w:t>
      </w:r>
      <w:r w:rsidR="003D6BFA">
        <w:rPr>
          <w:rFonts w:hint="eastAsia"/>
        </w:rPr>
        <w:t>間，台積電的配息率</w:t>
      </w:r>
      <w:r w:rsidR="003D6BFA">
        <w:rPr>
          <w:rFonts w:hint="eastAsia"/>
        </w:rPr>
        <w:t>(</w:t>
      </w:r>
      <w:r w:rsidR="003D6BFA">
        <w:t>dividend payout ratio</w:t>
      </w:r>
      <w:r w:rsidR="003D6BFA">
        <w:rPr>
          <w:rFonts w:hint="eastAsia"/>
        </w:rPr>
        <w:t>)</w:t>
      </w:r>
      <w:r w:rsidR="003D6BFA">
        <w:rPr>
          <w:rFonts w:hint="eastAsia"/>
        </w:rPr>
        <w:t>一直都比聯電低，說明</w:t>
      </w:r>
      <w:proofErr w:type="gramStart"/>
      <w:r w:rsidR="003D6BFA">
        <w:rPr>
          <w:rFonts w:hint="eastAsia"/>
        </w:rPr>
        <w:t>自留額比率</w:t>
      </w:r>
      <w:proofErr w:type="gramEnd"/>
      <w:r w:rsidR="003D6BFA">
        <w:rPr>
          <w:rFonts w:hint="eastAsia"/>
        </w:rPr>
        <w:t>(</w:t>
      </w:r>
      <w:r w:rsidR="003D6BFA">
        <w:t>plowback ratio = 1 – dividend payout ratio</w:t>
      </w:r>
      <w:r w:rsidR="003D6BFA">
        <w:rPr>
          <w:rFonts w:hint="eastAsia"/>
        </w:rPr>
        <w:t>)</w:t>
      </w:r>
      <w:r w:rsidR="003D6BFA">
        <w:rPr>
          <w:rFonts w:hint="eastAsia"/>
        </w:rPr>
        <w:t>較高</w:t>
      </w:r>
      <w:r w:rsidR="00BF6CDC">
        <w:rPr>
          <w:rFonts w:hint="eastAsia"/>
        </w:rPr>
        <w:t>。</w:t>
      </w:r>
      <w:r w:rsidR="003D6BFA">
        <w:rPr>
          <w:rFonts w:hint="eastAsia"/>
        </w:rPr>
        <w:t>以</w:t>
      </w:r>
      <w:r w:rsidR="003D6BFA">
        <w:rPr>
          <w:rFonts w:hint="eastAsia"/>
        </w:rPr>
        <w:t>2022</w:t>
      </w:r>
      <w:r w:rsidR="003D6BFA">
        <w:rPr>
          <w:rFonts w:hint="eastAsia"/>
        </w:rPr>
        <w:t>年為例</w:t>
      </w:r>
      <w:r w:rsidR="00BF6CDC">
        <w:rPr>
          <w:rFonts w:hint="eastAsia"/>
        </w:rPr>
        <w:t>，台積電的</w:t>
      </w:r>
      <w:proofErr w:type="gramStart"/>
      <w:r w:rsidR="00BF6CDC">
        <w:rPr>
          <w:rFonts w:hint="eastAsia"/>
        </w:rPr>
        <w:t>自留額比率</w:t>
      </w:r>
      <w:proofErr w:type="gramEnd"/>
      <w:r w:rsidR="00BF6CDC">
        <w:rPr>
          <w:rFonts w:hint="eastAsia"/>
        </w:rPr>
        <w:t>為</w:t>
      </w:r>
      <w:r w:rsidR="00BF6CDC">
        <w:rPr>
          <w:rFonts w:hint="eastAsia"/>
        </w:rPr>
        <w:t>71.94%</w:t>
      </w:r>
      <w:r w:rsidR="00BF6CDC">
        <w:rPr>
          <w:rFonts w:hint="eastAsia"/>
        </w:rPr>
        <w:t>，而聯電的</w:t>
      </w:r>
      <w:proofErr w:type="gramStart"/>
      <w:r w:rsidR="00BF6CDC">
        <w:rPr>
          <w:rFonts w:hint="eastAsia"/>
        </w:rPr>
        <w:t>自留額比率</w:t>
      </w:r>
      <w:proofErr w:type="gramEnd"/>
      <w:r w:rsidR="00BF6CDC">
        <w:rPr>
          <w:rFonts w:hint="eastAsia"/>
        </w:rPr>
        <w:t>為</w:t>
      </w:r>
      <w:r w:rsidR="00BF6CDC">
        <w:rPr>
          <w:rFonts w:hint="eastAsia"/>
        </w:rPr>
        <w:t>49.22%</w:t>
      </w:r>
      <w:r w:rsidR="003D6BFA">
        <w:rPr>
          <w:rFonts w:hint="eastAsia"/>
        </w:rPr>
        <w:t>；另外，台積電在</w:t>
      </w:r>
      <w:r w:rsidR="003D6BFA">
        <w:rPr>
          <w:rFonts w:hint="eastAsia"/>
        </w:rPr>
        <w:t>2022</w:t>
      </w:r>
      <w:r w:rsidR="003D6BFA">
        <w:rPr>
          <w:rFonts w:hint="eastAsia"/>
        </w:rPr>
        <w:t>年的平均</w:t>
      </w:r>
      <w:r w:rsidR="003D6BFA">
        <w:rPr>
          <w:rFonts w:hint="eastAsia"/>
        </w:rPr>
        <w:t>ROE</w:t>
      </w:r>
      <w:r w:rsidR="003D6BFA">
        <w:rPr>
          <w:rFonts w:hint="eastAsia"/>
        </w:rPr>
        <w:t>為</w:t>
      </w:r>
      <w:r w:rsidR="00BF6CDC">
        <w:rPr>
          <w:rFonts w:hint="eastAsia"/>
        </w:rPr>
        <w:t xml:space="preserve"> </w:t>
      </w:r>
      <m:oMath>
        <m:f>
          <m:fPr>
            <m:ctrlPr>
              <w:rPr>
                <w:rFonts w:ascii="Cambria Math" w:hAnsi="Cambria Math"/>
                <w:i/>
              </w:rPr>
            </m:ctrlPr>
          </m:fPr>
          <m:num>
            <m:r>
              <w:rPr>
                <w:rFonts w:ascii="Cambria Math" w:hAnsi="Cambria Math" w:hint="eastAsia"/>
              </w:rPr>
              <m:t>9.03+9.82+10.68+10.36</m:t>
            </m:r>
          </m:num>
          <m:den>
            <m:r>
              <w:rPr>
                <w:rFonts w:ascii="Cambria Math" w:hAnsi="Cambria Math"/>
              </w:rPr>
              <m:t>4</m:t>
            </m:r>
          </m:den>
        </m:f>
      </m:oMath>
      <w:r w:rsidR="00BF6CDC">
        <w:rPr>
          <w:rFonts w:hint="eastAsia"/>
        </w:rPr>
        <w:t xml:space="preserve"> = </w:t>
      </w:r>
      <w:r w:rsidR="003D6BFA">
        <w:rPr>
          <w:rFonts w:hint="eastAsia"/>
        </w:rPr>
        <w:t>9.97</w:t>
      </w:r>
      <w:r w:rsidR="00BF6CDC">
        <w:rPr>
          <w:rFonts w:hint="eastAsia"/>
        </w:rPr>
        <w:t>%</w:t>
      </w:r>
      <w:r w:rsidR="003D6BFA">
        <w:rPr>
          <w:rFonts w:hint="eastAsia"/>
        </w:rPr>
        <w:t>，而聯電的</w:t>
      </w:r>
      <w:r w:rsidR="003D6BFA">
        <w:rPr>
          <w:rFonts w:hint="eastAsia"/>
        </w:rPr>
        <w:t>ROE</w:t>
      </w:r>
      <w:r w:rsidR="003D6BFA">
        <w:rPr>
          <w:rFonts w:hint="eastAsia"/>
        </w:rPr>
        <w:t>為</w:t>
      </w:r>
      <w:r w:rsidR="00BF6CDC">
        <w:rPr>
          <w:rFonts w:hint="eastAsia"/>
        </w:rPr>
        <w:t xml:space="preserve"> </w:t>
      </w:r>
      <m:oMath>
        <m:f>
          <m:fPr>
            <m:ctrlPr>
              <w:rPr>
                <w:rFonts w:ascii="Cambria Math" w:hAnsi="Cambria Math"/>
                <w:i/>
              </w:rPr>
            </m:ctrlPr>
          </m:fPr>
          <m:num>
            <m:r>
              <w:rPr>
                <w:rFonts w:ascii="Cambria Math" w:hAnsi="Cambria Math" w:hint="eastAsia"/>
              </w:rPr>
              <m:t>6.88+7.34+9.14+5.88</m:t>
            </m:r>
          </m:num>
          <m:den>
            <m:r>
              <w:rPr>
                <w:rFonts w:ascii="Cambria Math" w:hAnsi="Cambria Math"/>
              </w:rPr>
              <m:t>4</m:t>
            </m:r>
          </m:den>
        </m:f>
      </m:oMath>
      <w:r w:rsidR="00BF6CDC">
        <w:rPr>
          <w:rFonts w:hint="eastAsia"/>
        </w:rPr>
        <w:t xml:space="preserve"> = </w:t>
      </w:r>
      <w:r w:rsidR="003D6BFA">
        <w:rPr>
          <w:rFonts w:hint="eastAsia"/>
        </w:rPr>
        <w:t>7.31</w:t>
      </w:r>
      <w:r w:rsidR="00BF6CDC">
        <w:rPr>
          <w:rFonts w:hint="eastAsia"/>
        </w:rPr>
        <w:t>%</w:t>
      </w:r>
      <w:r w:rsidR="00BF6CDC">
        <w:rPr>
          <w:rFonts w:hint="eastAsia"/>
        </w:rPr>
        <w:t>。我們可以用上述的資料計算出台積電在</w:t>
      </w:r>
      <w:r w:rsidR="00BF6CDC">
        <w:rPr>
          <w:rFonts w:hint="eastAsia"/>
        </w:rPr>
        <w:t>2022</w:t>
      </w:r>
      <w:r w:rsidR="00BF6CDC">
        <w:rPr>
          <w:rFonts w:hint="eastAsia"/>
        </w:rPr>
        <w:t>年的</w:t>
      </w:r>
      <w:r w:rsidR="003D6BFA">
        <w:rPr>
          <w:rFonts w:hint="eastAsia"/>
        </w:rPr>
        <w:t>永續成長率</w:t>
      </w:r>
      <w:r w:rsidR="003D6BFA">
        <w:rPr>
          <w:rFonts w:hint="eastAsia"/>
        </w:rPr>
        <w:t>(</w:t>
      </w:r>
      <w:r w:rsidR="003D6BFA">
        <w:t>sustainable growth ratio = plowback ratio * ROE</w:t>
      </w:r>
      <w:r w:rsidR="003D6BFA">
        <w:rPr>
          <w:rFonts w:hint="eastAsia"/>
        </w:rPr>
        <w:t>)</w:t>
      </w:r>
      <w:r w:rsidR="00BF6CDC">
        <w:rPr>
          <w:rFonts w:hint="eastAsia"/>
        </w:rPr>
        <w:t>為</w:t>
      </w:r>
      <w:r w:rsidR="00BF6CDC">
        <w:rPr>
          <w:rFonts w:hint="eastAsia"/>
        </w:rPr>
        <w:t>7.17%</w:t>
      </w:r>
      <w:r w:rsidR="00BF6CDC">
        <w:rPr>
          <w:rFonts w:hint="eastAsia"/>
        </w:rPr>
        <w:t>，聯電為</w:t>
      </w:r>
      <w:r w:rsidR="00BF6CDC">
        <w:rPr>
          <w:rFonts w:hint="eastAsia"/>
        </w:rPr>
        <w:t>3.60%</w:t>
      </w:r>
      <w:r w:rsidR="00BF6CDC">
        <w:rPr>
          <w:rFonts w:hint="eastAsia"/>
        </w:rPr>
        <w:t>。由此可見，在永續成長率方面，台積電比聯電略勝一籌。</w:t>
      </w:r>
    </w:p>
    <w:p w14:paraId="189F2122" w14:textId="77777777" w:rsidR="00BF6CDC" w:rsidRDefault="00BF6CDC"/>
    <w:p w14:paraId="590E3CD7" w14:textId="3E541314" w:rsidR="00BF6CDC" w:rsidRDefault="00BF6CDC" w:rsidP="00BF6CDC">
      <w:pPr>
        <w:rPr>
          <w:sz w:val="26"/>
          <w:szCs w:val="26"/>
        </w:rPr>
      </w:pPr>
      <w:r>
        <w:rPr>
          <w:rFonts w:hint="eastAsia"/>
          <w:sz w:val="26"/>
          <w:szCs w:val="26"/>
        </w:rPr>
        <w:t>C</w:t>
      </w:r>
      <w:r w:rsidRPr="000603BA">
        <w:rPr>
          <w:rFonts w:hint="eastAsia"/>
          <w:sz w:val="26"/>
          <w:szCs w:val="26"/>
        </w:rPr>
        <w:t>.</w:t>
      </w:r>
      <w:r w:rsidRPr="000603BA">
        <w:rPr>
          <w:sz w:val="26"/>
          <w:szCs w:val="26"/>
        </w:rPr>
        <w:t xml:space="preserve"> </w:t>
      </w:r>
      <w:r w:rsidR="00F23DDA">
        <w:rPr>
          <w:rFonts w:hint="eastAsia"/>
          <w:sz w:val="26"/>
          <w:szCs w:val="26"/>
        </w:rPr>
        <w:t>現金股利</w:t>
      </w:r>
    </w:p>
    <w:tbl>
      <w:tblPr>
        <w:tblStyle w:val="a3"/>
        <w:tblW w:w="8359" w:type="dxa"/>
        <w:tblLook w:val="04A0" w:firstRow="1" w:lastRow="0" w:firstColumn="1" w:lastColumn="0" w:noHBand="0" w:noVBand="1"/>
      </w:tblPr>
      <w:tblGrid>
        <w:gridCol w:w="1555"/>
        <w:gridCol w:w="1360"/>
        <w:gridCol w:w="1361"/>
        <w:gridCol w:w="1361"/>
        <w:gridCol w:w="1361"/>
        <w:gridCol w:w="1361"/>
      </w:tblGrid>
      <w:tr w:rsidR="002E1279" w14:paraId="53C8F559" w14:textId="77777777" w:rsidTr="002D1C57">
        <w:tc>
          <w:tcPr>
            <w:tcW w:w="1555" w:type="dxa"/>
          </w:tcPr>
          <w:p w14:paraId="2F766690" w14:textId="1522340C" w:rsidR="002E1279" w:rsidRDefault="002D1C57" w:rsidP="00FF5B25">
            <w:pPr>
              <w:rPr>
                <w:sz w:val="26"/>
                <w:szCs w:val="26"/>
              </w:rPr>
            </w:pPr>
            <w:r>
              <w:rPr>
                <w:rFonts w:hint="eastAsia"/>
                <w:sz w:val="26"/>
                <w:szCs w:val="26"/>
              </w:rPr>
              <w:t>現金股利</w:t>
            </w:r>
          </w:p>
        </w:tc>
        <w:tc>
          <w:tcPr>
            <w:tcW w:w="1360" w:type="dxa"/>
          </w:tcPr>
          <w:p w14:paraId="6C49782E" w14:textId="77777777" w:rsidR="002E1279" w:rsidRDefault="002E1279" w:rsidP="00FF5B25">
            <w:pPr>
              <w:rPr>
                <w:sz w:val="26"/>
                <w:szCs w:val="26"/>
              </w:rPr>
            </w:pPr>
            <w:r>
              <w:rPr>
                <w:rFonts w:hint="eastAsia"/>
                <w:sz w:val="26"/>
                <w:szCs w:val="26"/>
              </w:rPr>
              <w:t>2018</w:t>
            </w:r>
          </w:p>
        </w:tc>
        <w:tc>
          <w:tcPr>
            <w:tcW w:w="1361" w:type="dxa"/>
          </w:tcPr>
          <w:p w14:paraId="599473B2" w14:textId="77777777" w:rsidR="002E1279" w:rsidRDefault="002E1279" w:rsidP="00FF5B25">
            <w:pPr>
              <w:rPr>
                <w:sz w:val="26"/>
                <w:szCs w:val="26"/>
              </w:rPr>
            </w:pPr>
            <w:r>
              <w:rPr>
                <w:rFonts w:hint="eastAsia"/>
                <w:sz w:val="26"/>
                <w:szCs w:val="26"/>
              </w:rPr>
              <w:t>2019</w:t>
            </w:r>
          </w:p>
        </w:tc>
        <w:tc>
          <w:tcPr>
            <w:tcW w:w="1361" w:type="dxa"/>
          </w:tcPr>
          <w:p w14:paraId="2F275E97" w14:textId="77777777" w:rsidR="002E1279" w:rsidRDefault="002E1279" w:rsidP="00FF5B25">
            <w:pPr>
              <w:rPr>
                <w:sz w:val="26"/>
                <w:szCs w:val="26"/>
              </w:rPr>
            </w:pPr>
            <w:r>
              <w:rPr>
                <w:rFonts w:hint="eastAsia"/>
                <w:sz w:val="26"/>
                <w:szCs w:val="26"/>
              </w:rPr>
              <w:t>2020</w:t>
            </w:r>
          </w:p>
        </w:tc>
        <w:tc>
          <w:tcPr>
            <w:tcW w:w="1361" w:type="dxa"/>
          </w:tcPr>
          <w:p w14:paraId="1464820D" w14:textId="77777777" w:rsidR="002E1279" w:rsidRDefault="002E1279" w:rsidP="00FF5B25">
            <w:pPr>
              <w:rPr>
                <w:sz w:val="26"/>
                <w:szCs w:val="26"/>
              </w:rPr>
            </w:pPr>
            <w:r>
              <w:rPr>
                <w:rFonts w:hint="eastAsia"/>
                <w:sz w:val="26"/>
                <w:szCs w:val="26"/>
              </w:rPr>
              <w:t>2021</w:t>
            </w:r>
          </w:p>
        </w:tc>
        <w:tc>
          <w:tcPr>
            <w:tcW w:w="1361" w:type="dxa"/>
          </w:tcPr>
          <w:p w14:paraId="6EDDF33A" w14:textId="77777777" w:rsidR="002E1279" w:rsidRDefault="002E1279" w:rsidP="00FF5B25">
            <w:pPr>
              <w:rPr>
                <w:sz w:val="26"/>
                <w:szCs w:val="26"/>
              </w:rPr>
            </w:pPr>
            <w:r>
              <w:rPr>
                <w:rFonts w:hint="eastAsia"/>
                <w:sz w:val="26"/>
                <w:szCs w:val="26"/>
              </w:rPr>
              <w:t>2022</w:t>
            </w:r>
          </w:p>
        </w:tc>
      </w:tr>
      <w:tr w:rsidR="002E1279" w14:paraId="27A6CD27" w14:textId="77777777" w:rsidTr="002D1C57">
        <w:tc>
          <w:tcPr>
            <w:tcW w:w="1555" w:type="dxa"/>
          </w:tcPr>
          <w:p w14:paraId="5F794C25" w14:textId="77777777" w:rsidR="002E1279" w:rsidRDefault="002E1279" w:rsidP="00FF5B25">
            <w:pPr>
              <w:rPr>
                <w:sz w:val="26"/>
                <w:szCs w:val="26"/>
              </w:rPr>
            </w:pPr>
            <w:r>
              <w:rPr>
                <w:rFonts w:hint="eastAsia"/>
                <w:sz w:val="26"/>
                <w:szCs w:val="26"/>
              </w:rPr>
              <w:t>台積電</w:t>
            </w:r>
          </w:p>
        </w:tc>
        <w:tc>
          <w:tcPr>
            <w:tcW w:w="1360" w:type="dxa"/>
          </w:tcPr>
          <w:p w14:paraId="4B6B0819" w14:textId="5E306D05" w:rsidR="002E1279" w:rsidRDefault="002D1C57" w:rsidP="00FF5B25">
            <w:pPr>
              <w:rPr>
                <w:sz w:val="26"/>
                <w:szCs w:val="26"/>
              </w:rPr>
            </w:pPr>
            <w:r>
              <w:rPr>
                <w:rFonts w:hint="eastAsia"/>
                <w:sz w:val="26"/>
                <w:szCs w:val="26"/>
              </w:rPr>
              <w:t>8.00</w:t>
            </w:r>
          </w:p>
        </w:tc>
        <w:tc>
          <w:tcPr>
            <w:tcW w:w="1361" w:type="dxa"/>
          </w:tcPr>
          <w:p w14:paraId="64228D0F" w14:textId="3A380113" w:rsidR="002E1279" w:rsidRDefault="002D1C57" w:rsidP="00FF5B25">
            <w:pPr>
              <w:rPr>
                <w:sz w:val="26"/>
                <w:szCs w:val="26"/>
              </w:rPr>
            </w:pPr>
            <w:r>
              <w:rPr>
                <w:rFonts w:hint="eastAsia"/>
                <w:sz w:val="26"/>
                <w:szCs w:val="26"/>
              </w:rPr>
              <w:t>9.50</w:t>
            </w:r>
          </w:p>
        </w:tc>
        <w:tc>
          <w:tcPr>
            <w:tcW w:w="1361" w:type="dxa"/>
          </w:tcPr>
          <w:p w14:paraId="1C8A5A75" w14:textId="2A86328C" w:rsidR="002E1279" w:rsidRDefault="002D1C57" w:rsidP="00FF5B25">
            <w:pPr>
              <w:rPr>
                <w:sz w:val="26"/>
                <w:szCs w:val="26"/>
              </w:rPr>
            </w:pPr>
            <w:r>
              <w:rPr>
                <w:rFonts w:hint="eastAsia"/>
                <w:sz w:val="26"/>
                <w:szCs w:val="26"/>
              </w:rPr>
              <w:t>10.00</w:t>
            </w:r>
          </w:p>
        </w:tc>
        <w:tc>
          <w:tcPr>
            <w:tcW w:w="1361" w:type="dxa"/>
          </w:tcPr>
          <w:p w14:paraId="02BD0476" w14:textId="1FDB178A" w:rsidR="002E1279" w:rsidRDefault="002D1C57" w:rsidP="00FF5B25">
            <w:pPr>
              <w:rPr>
                <w:sz w:val="26"/>
                <w:szCs w:val="26"/>
              </w:rPr>
            </w:pPr>
            <w:r>
              <w:rPr>
                <w:rFonts w:hint="eastAsia"/>
                <w:sz w:val="26"/>
                <w:szCs w:val="26"/>
              </w:rPr>
              <w:t>11.00</w:t>
            </w:r>
          </w:p>
        </w:tc>
        <w:tc>
          <w:tcPr>
            <w:tcW w:w="1361" w:type="dxa"/>
          </w:tcPr>
          <w:p w14:paraId="2860E10F" w14:textId="31A00903" w:rsidR="002E1279" w:rsidRDefault="002D1C57" w:rsidP="00FF5B25">
            <w:pPr>
              <w:rPr>
                <w:sz w:val="26"/>
                <w:szCs w:val="26"/>
              </w:rPr>
            </w:pPr>
            <w:r>
              <w:rPr>
                <w:rFonts w:hint="eastAsia"/>
                <w:sz w:val="26"/>
                <w:szCs w:val="26"/>
              </w:rPr>
              <w:t>11.00</w:t>
            </w:r>
          </w:p>
        </w:tc>
      </w:tr>
      <w:tr w:rsidR="002E1279" w14:paraId="6D76EE8D" w14:textId="77777777" w:rsidTr="002D1C57">
        <w:tc>
          <w:tcPr>
            <w:tcW w:w="1555" w:type="dxa"/>
          </w:tcPr>
          <w:p w14:paraId="45190D56" w14:textId="77777777" w:rsidR="002E1279" w:rsidRDefault="002E1279" w:rsidP="00FF5B25">
            <w:pPr>
              <w:rPr>
                <w:sz w:val="26"/>
                <w:szCs w:val="26"/>
              </w:rPr>
            </w:pPr>
            <w:r>
              <w:rPr>
                <w:rFonts w:hint="eastAsia"/>
                <w:sz w:val="26"/>
                <w:szCs w:val="26"/>
              </w:rPr>
              <w:t>聯電</w:t>
            </w:r>
          </w:p>
        </w:tc>
        <w:tc>
          <w:tcPr>
            <w:tcW w:w="1360" w:type="dxa"/>
          </w:tcPr>
          <w:p w14:paraId="6D21709C" w14:textId="29F90A88" w:rsidR="002E1279" w:rsidRDefault="002D1C57" w:rsidP="00FF5B25">
            <w:pPr>
              <w:rPr>
                <w:sz w:val="26"/>
                <w:szCs w:val="26"/>
              </w:rPr>
            </w:pPr>
            <w:r>
              <w:rPr>
                <w:rFonts w:hint="eastAsia"/>
                <w:sz w:val="26"/>
                <w:szCs w:val="26"/>
              </w:rPr>
              <w:t>0.58</w:t>
            </w:r>
          </w:p>
        </w:tc>
        <w:tc>
          <w:tcPr>
            <w:tcW w:w="1361" w:type="dxa"/>
          </w:tcPr>
          <w:p w14:paraId="36E9FEBE" w14:textId="4861CC83" w:rsidR="002E1279" w:rsidRDefault="002D1C57" w:rsidP="00FF5B25">
            <w:pPr>
              <w:rPr>
                <w:sz w:val="26"/>
                <w:szCs w:val="26"/>
              </w:rPr>
            </w:pPr>
            <w:r>
              <w:rPr>
                <w:rFonts w:hint="eastAsia"/>
                <w:sz w:val="26"/>
                <w:szCs w:val="26"/>
              </w:rPr>
              <w:t>0.75</w:t>
            </w:r>
          </w:p>
        </w:tc>
        <w:tc>
          <w:tcPr>
            <w:tcW w:w="1361" w:type="dxa"/>
          </w:tcPr>
          <w:p w14:paraId="49DE926B" w14:textId="50155429" w:rsidR="002E1279" w:rsidRDefault="002D1C57" w:rsidP="00FF5B25">
            <w:pPr>
              <w:rPr>
                <w:sz w:val="26"/>
                <w:szCs w:val="26"/>
              </w:rPr>
            </w:pPr>
            <w:r>
              <w:rPr>
                <w:rFonts w:hint="eastAsia"/>
                <w:sz w:val="26"/>
                <w:szCs w:val="26"/>
              </w:rPr>
              <w:t>1.60</w:t>
            </w:r>
          </w:p>
        </w:tc>
        <w:tc>
          <w:tcPr>
            <w:tcW w:w="1361" w:type="dxa"/>
          </w:tcPr>
          <w:p w14:paraId="7AA3F313" w14:textId="3FAAE006" w:rsidR="002E1279" w:rsidRDefault="002D1C57" w:rsidP="00FF5B25">
            <w:pPr>
              <w:rPr>
                <w:sz w:val="26"/>
                <w:szCs w:val="26"/>
              </w:rPr>
            </w:pPr>
            <w:r>
              <w:rPr>
                <w:rFonts w:hint="eastAsia"/>
                <w:sz w:val="26"/>
                <w:szCs w:val="26"/>
              </w:rPr>
              <w:t>3.00</w:t>
            </w:r>
          </w:p>
        </w:tc>
        <w:tc>
          <w:tcPr>
            <w:tcW w:w="1361" w:type="dxa"/>
          </w:tcPr>
          <w:p w14:paraId="7EB128CB" w14:textId="2FCD150E" w:rsidR="002E1279" w:rsidRDefault="002D1C57" w:rsidP="00FF5B25">
            <w:pPr>
              <w:rPr>
                <w:sz w:val="26"/>
                <w:szCs w:val="26"/>
              </w:rPr>
            </w:pPr>
            <w:r>
              <w:rPr>
                <w:rFonts w:hint="eastAsia"/>
                <w:sz w:val="26"/>
                <w:szCs w:val="26"/>
              </w:rPr>
              <w:t>3.60</w:t>
            </w:r>
          </w:p>
        </w:tc>
      </w:tr>
    </w:tbl>
    <w:p w14:paraId="13A3D163" w14:textId="77777777" w:rsidR="002D1C57" w:rsidRPr="002D1C57" w:rsidRDefault="002D1C57" w:rsidP="00BF6CDC">
      <w:pPr>
        <w:rPr>
          <w:sz w:val="26"/>
          <w:szCs w:val="26"/>
        </w:rPr>
      </w:pPr>
    </w:p>
    <w:p w14:paraId="7A2F30AD" w14:textId="4C49888C" w:rsidR="00F23DDA" w:rsidRDefault="002E1279">
      <w:r>
        <w:rPr>
          <w:rFonts w:hint="eastAsia"/>
        </w:rPr>
        <w:t xml:space="preserve">   </w:t>
      </w:r>
      <w:r>
        <w:rPr>
          <w:rFonts w:hint="eastAsia"/>
        </w:rPr>
        <w:t>我們可以</w:t>
      </w:r>
      <w:r w:rsidR="002D1C57">
        <w:rPr>
          <w:rFonts w:hint="eastAsia"/>
        </w:rPr>
        <w:t>對照現金股利和配息率的表格，從中得知即使聯電的配息率高於台積電許多，現金股利卻遠低於台積電。我們可以以此推測聯電近年的獲利能力並不好，導致盈餘不高的同時還得拿出高比例的盈餘作為現金股利。</w:t>
      </w:r>
      <w:r w:rsidR="00F23DDA">
        <w:rPr>
          <w:rFonts w:hint="eastAsia"/>
        </w:rPr>
        <w:t>這可能是聯電股價較低的原因之</w:t>
      </w:r>
      <w:proofErr w:type="gramStart"/>
      <w:r w:rsidR="00F23DDA">
        <w:rPr>
          <w:rFonts w:hint="eastAsia"/>
        </w:rPr>
        <w:t>一</w:t>
      </w:r>
      <w:proofErr w:type="gramEnd"/>
      <w:r w:rsidR="00F23DDA">
        <w:rPr>
          <w:rFonts w:hint="eastAsia"/>
        </w:rPr>
        <w:t>。</w:t>
      </w:r>
    </w:p>
    <w:p w14:paraId="51261833" w14:textId="77777777" w:rsidR="00F23DDA" w:rsidRDefault="00F23DDA"/>
    <w:p w14:paraId="508CE8BE" w14:textId="77777777" w:rsidR="00F23DDA" w:rsidRDefault="00F23DDA">
      <w:pPr>
        <w:rPr>
          <w:sz w:val="26"/>
          <w:szCs w:val="26"/>
        </w:rPr>
      </w:pPr>
      <w:r>
        <w:rPr>
          <w:rFonts w:hint="eastAsia"/>
        </w:rPr>
        <w:t xml:space="preserve">D. </w:t>
      </w:r>
      <w:proofErr w:type="gramStart"/>
      <w:r>
        <w:rPr>
          <w:rFonts w:hint="eastAsia"/>
          <w:sz w:val="26"/>
          <w:szCs w:val="26"/>
        </w:rPr>
        <w:t>每股盈餘</w:t>
      </w:r>
      <w:r>
        <w:rPr>
          <w:rFonts w:hint="eastAsia"/>
          <w:sz w:val="26"/>
          <w:szCs w:val="26"/>
        </w:rPr>
        <w:t>(</w:t>
      </w:r>
      <w:proofErr w:type="gramEnd"/>
      <w:r>
        <w:rPr>
          <w:rFonts w:hint="eastAsia"/>
          <w:sz w:val="26"/>
          <w:szCs w:val="26"/>
        </w:rPr>
        <w:t>EPS)</w:t>
      </w:r>
      <w:r>
        <w:rPr>
          <w:rFonts w:hint="eastAsia"/>
          <w:sz w:val="26"/>
          <w:szCs w:val="26"/>
        </w:rPr>
        <w:t>年增率</w:t>
      </w:r>
    </w:p>
    <w:tbl>
      <w:tblPr>
        <w:tblStyle w:val="a3"/>
        <w:tblW w:w="8359" w:type="dxa"/>
        <w:tblLook w:val="04A0" w:firstRow="1" w:lastRow="0" w:firstColumn="1" w:lastColumn="0" w:noHBand="0" w:noVBand="1"/>
      </w:tblPr>
      <w:tblGrid>
        <w:gridCol w:w="1555"/>
        <w:gridCol w:w="1360"/>
        <w:gridCol w:w="1361"/>
        <w:gridCol w:w="1361"/>
        <w:gridCol w:w="1361"/>
        <w:gridCol w:w="1361"/>
      </w:tblGrid>
      <w:tr w:rsidR="00F23DDA" w14:paraId="3B544E75" w14:textId="77777777" w:rsidTr="00FF5B25">
        <w:tc>
          <w:tcPr>
            <w:tcW w:w="1555" w:type="dxa"/>
          </w:tcPr>
          <w:p w14:paraId="14E3B7C0" w14:textId="77777777" w:rsidR="00F23DDA" w:rsidRDefault="00F23DDA" w:rsidP="00FF5B25">
            <w:pPr>
              <w:rPr>
                <w:sz w:val="26"/>
                <w:szCs w:val="26"/>
              </w:rPr>
            </w:pPr>
            <w:r>
              <w:rPr>
                <w:rFonts w:hint="eastAsia"/>
                <w:sz w:val="26"/>
                <w:szCs w:val="26"/>
              </w:rPr>
              <w:t>EPS</w:t>
            </w:r>
            <w:r>
              <w:rPr>
                <w:rFonts w:hint="eastAsia"/>
                <w:sz w:val="26"/>
                <w:szCs w:val="26"/>
              </w:rPr>
              <w:t>年增率</w:t>
            </w:r>
          </w:p>
        </w:tc>
        <w:tc>
          <w:tcPr>
            <w:tcW w:w="1360" w:type="dxa"/>
          </w:tcPr>
          <w:p w14:paraId="7F0D0FA5" w14:textId="77777777" w:rsidR="00F23DDA" w:rsidRDefault="00F23DDA" w:rsidP="00FF5B25">
            <w:pPr>
              <w:rPr>
                <w:sz w:val="26"/>
                <w:szCs w:val="26"/>
              </w:rPr>
            </w:pPr>
            <w:r>
              <w:rPr>
                <w:rFonts w:hint="eastAsia"/>
                <w:sz w:val="26"/>
                <w:szCs w:val="26"/>
              </w:rPr>
              <w:t>2018</w:t>
            </w:r>
          </w:p>
        </w:tc>
        <w:tc>
          <w:tcPr>
            <w:tcW w:w="1361" w:type="dxa"/>
          </w:tcPr>
          <w:p w14:paraId="331E3769" w14:textId="77777777" w:rsidR="00F23DDA" w:rsidRDefault="00F23DDA" w:rsidP="00FF5B25">
            <w:pPr>
              <w:rPr>
                <w:sz w:val="26"/>
                <w:szCs w:val="26"/>
              </w:rPr>
            </w:pPr>
            <w:r>
              <w:rPr>
                <w:rFonts w:hint="eastAsia"/>
                <w:sz w:val="26"/>
                <w:szCs w:val="26"/>
              </w:rPr>
              <w:t>2019</w:t>
            </w:r>
          </w:p>
        </w:tc>
        <w:tc>
          <w:tcPr>
            <w:tcW w:w="1361" w:type="dxa"/>
          </w:tcPr>
          <w:p w14:paraId="29408466" w14:textId="77777777" w:rsidR="00F23DDA" w:rsidRDefault="00F23DDA" w:rsidP="00FF5B25">
            <w:pPr>
              <w:rPr>
                <w:sz w:val="26"/>
                <w:szCs w:val="26"/>
              </w:rPr>
            </w:pPr>
            <w:r>
              <w:rPr>
                <w:rFonts w:hint="eastAsia"/>
                <w:sz w:val="26"/>
                <w:szCs w:val="26"/>
              </w:rPr>
              <w:t>2020</w:t>
            </w:r>
          </w:p>
        </w:tc>
        <w:tc>
          <w:tcPr>
            <w:tcW w:w="1361" w:type="dxa"/>
          </w:tcPr>
          <w:p w14:paraId="2B23FAF2" w14:textId="77777777" w:rsidR="00F23DDA" w:rsidRDefault="00F23DDA" w:rsidP="00FF5B25">
            <w:pPr>
              <w:rPr>
                <w:sz w:val="26"/>
                <w:szCs w:val="26"/>
              </w:rPr>
            </w:pPr>
            <w:r>
              <w:rPr>
                <w:rFonts w:hint="eastAsia"/>
                <w:sz w:val="26"/>
                <w:szCs w:val="26"/>
              </w:rPr>
              <w:t>2021</w:t>
            </w:r>
          </w:p>
        </w:tc>
        <w:tc>
          <w:tcPr>
            <w:tcW w:w="1361" w:type="dxa"/>
          </w:tcPr>
          <w:p w14:paraId="1E5EF11B" w14:textId="77777777" w:rsidR="00F23DDA" w:rsidRDefault="00F23DDA" w:rsidP="00FF5B25">
            <w:pPr>
              <w:rPr>
                <w:sz w:val="26"/>
                <w:szCs w:val="26"/>
              </w:rPr>
            </w:pPr>
            <w:r>
              <w:rPr>
                <w:rFonts w:hint="eastAsia"/>
                <w:sz w:val="26"/>
                <w:szCs w:val="26"/>
              </w:rPr>
              <w:t>2022</w:t>
            </w:r>
          </w:p>
        </w:tc>
      </w:tr>
      <w:tr w:rsidR="00F23DDA" w14:paraId="14F7DD5F" w14:textId="77777777" w:rsidTr="00FF5B25">
        <w:tc>
          <w:tcPr>
            <w:tcW w:w="1555" w:type="dxa"/>
          </w:tcPr>
          <w:p w14:paraId="2C52BA71" w14:textId="77777777" w:rsidR="00F23DDA" w:rsidRDefault="00F23DDA" w:rsidP="00FF5B25">
            <w:pPr>
              <w:rPr>
                <w:sz w:val="26"/>
                <w:szCs w:val="26"/>
              </w:rPr>
            </w:pPr>
            <w:r>
              <w:rPr>
                <w:rFonts w:hint="eastAsia"/>
                <w:sz w:val="26"/>
                <w:szCs w:val="26"/>
              </w:rPr>
              <w:t>台積電</w:t>
            </w:r>
          </w:p>
        </w:tc>
        <w:tc>
          <w:tcPr>
            <w:tcW w:w="1360" w:type="dxa"/>
          </w:tcPr>
          <w:p w14:paraId="7CC75604" w14:textId="77777777" w:rsidR="00F23DDA" w:rsidRDefault="00F23DDA" w:rsidP="00FF5B25">
            <w:pPr>
              <w:rPr>
                <w:sz w:val="26"/>
                <w:szCs w:val="26"/>
              </w:rPr>
            </w:pPr>
            <w:r>
              <w:rPr>
                <w:rFonts w:hint="eastAsia"/>
                <w:sz w:val="26"/>
                <w:szCs w:val="26"/>
              </w:rPr>
              <w:t>2.34%</w:t>
            </w:r>
          </w:p>
        </w:tc>
        <w:tc>
          <w:tcPr>
            <w:tcW w:w="1361" w:type="dxa"/>
          </w:tcPr>
          <w:p w14:paraId="063BD6E9" w14:textId="77777777" w:rsidR="00F23DDA" w:rsidRDefault="00F23DDA" w:rsidP="00FF5B25">
            <w:pPr>
              <w:rPr>
                <w:sz w:val="26"/>
                <w:szCs w:val="26"/>
              </w:rPr>
            </w:pPr>
            <w:r>
              <w:rPr>
                <w:rFonts w:hint="eastAsia"/>
                <w:sz w:val="26"/>
                <w:szCs w:val="26"/>
              </w:rPr>
              <w:t>-1.67%</w:t>
            </w:r>
          </w:p>
        </w:tc>
        <w:tc>
          <w:tcPr>
            <w:tcW w:w="1361" w:type="dxa"/>
          </w:tcPr>
          <w:p w14:paraId="40B05B12" w14:textId="77777777" w:rsidR="00F23DDA" w:rsidRDefault="00F23DDA" w:rsidP="00FF5B25">
            <w:pPr>
              <w:rPr>
                <w:sz w:val="26"/>
                <w:szCs w:val="26"/>
              </w:rPr>
            </w:pPr>
            <w:r>
              <w:rPr>
                <w:rFonts w:hint="eastAsia"/>
                <w:sz w:val="26"/>
                <w:szCs w:val="26"/>
              </w:rPr>
              <w:t>50.00%</w:t>
            </w:r>
          </w:p>
        </w:tc>
        <w:tc>
          <w:tcPr>
            <w:tcW w:w="1361" w:type="dxa"/>
          </w:tcPr>
          <w:p w14:paraId="48A2A4BE" w14:textId="77777777" w:rsidR="00F23DDA" w:rsidRDefault="00F23DDA" w:rsidP="00FF5B25">
            <w:pPr>
              <w:rPr>
                <w:sz w:val="26"/>
                <w:szCs w:val="26"/>
              </w:rPr>
            </w:pPr>
            <w:r>
              <w:rPr>
                <w:rFonts w:hint="eastAsia"/>
                <w:sz w:val="26"/>
                <w:szCs w:val="26"/>
              </w:rPr>
              <w:t>15.19%</w:t>
            </w:r>
          </w:p>
        </w:tc>
        <w:tc>
          <w:tcPr>
            <w:tcW w:w="1361" w:type="dxa"/>
          </w:tcPr>
          <w:p w14:paraId="2296F9BF" w14:textId="77777777" w:rsidR="00F23DDA" w:rsidRDefault="00F23DDA" w:rsidP="00FF5B25">
            <w:pPr>
              <w:rPr>
                <w:sz w:val="26"/>
                <w:szCs w:val="26"/>
              </w:rPr>
            </w:pPr>
            <w:r>
              <w:rPr>
                <w:rFonts w:hint="eastAsia"/>
                <w:sz w:val="26"/>
                <w:szCs w:val="26"/>
              </w:rPr>
              <w:t>70.4%</w:t>
            </w:r>
          </w:p>
        </w:tc>
      </w:tr>
      <w:tr w:rsidR="00F23DDA" w14:paraId="0303ADEF" w14:textId="77777777" w:rsidTr="00FF5B25">
        <w:tc>
          <w:tcPr>
            <w:tcW w:w="1555" w:type="dxa"/>
          </w:tcPr>
          <w:p w14:paraId="03F435D8" w14:textId="77777777" w:rsidR="00F23DDA" w:rsidRDefault="00F23DDA" w:rsidP="00FF5B25">
            <w:pPr>
              <w:rPr>
                <w:sz w:val="26"/>
                <w:szCs w:val="26"/>
              </w:rPr>
            </w:pPr>
            <w:r>
              <w:rPr>
                <w:rFonts w:hint="eastAsia"/>
                <w:sz w:val="26"/>
                <w:szCs w:val="26"/>
              </w:rPr>
              <w:t>聯電</w:t>
            </w:r>
          </w:p>
        </w:tc>
        <w:tc>
          <w:tcPr>
            <w:tcW w:w="1360" w:type="dxa"/>
          </w:tcPr>
          <w:p w14:paraId="4AC25903" w14:textId="77777777" w:rsidR="00F23DDA" w:rsidRDefault="00F23DDA" w:rsidP="00FF5B25">
            <w:pPr>
              <w:rPr>
                <w:sz w:val="26"/>
                <w:szCs w:val="26"/>
              </w:rPr>
            </w:pPr>
            <w:r>
              <w:rPr>
                <w:rFonts w:hint="eastAsia"/>
                <w:sz w:val="26"/>
                <w:szCs w:val="26"/>
              </w:rPr>
              <w:t>-24.82%</w:t>
            </w:r>
          </w:p>
        </w:tc>
        <w:tc>
          <w:tcPr>
            <w:tcW w:w="1361" w:type="dxa"/>
          </w:tcPr>
          <w:p w14:paraId="1CDDB51D" w14:textId="77777777" w:rsidR="00F23DDA" w:rsidRDefault="00F23DDA" w:rsidP="00FF5B25">
            <w:pPr>
              <w:rPr>
                <w:sz w:val="26"/>
                <w:szCs w:val="26"/>
              </w:rPr>
            </w:pPr>
            <w:r>
              <w:rPr>
                <w:rFonts w:hint="eastAsia"/>
                <w:sz w:val="26"/>
                <w:szCs w:val="26"/>
              </w:rPr>
              <w:t>39.43%</w:t>
            </w:r>
          </w:p>
        </w:tc>
        <w:tc>
          <w:tcPr>
            <w:tcW w:w="1361" w:type="dxa"/>
          </w:tcPr>
          <w:p w14:paraId="0079D808" w14:textId="77777777" w:rsidR="00F23DDA" w:rsidRDefault="00F23DDA" w:rsidP="00FF5B25">
            <w:pPr>
              <w:rPr>
                <w:sz w:val="26"/>
                <w:szCs w:val="26"/>
              </w:rPr>
            </w:pPr>
            <w:r>
              <w:rPr>
                <w:rFonts w:hint="eastAsia"/>
                <w:sz w:val="26"/>
                <w:szCs w:val="26"/>
              </w:rPr>
              <w:t>184.57%</w:t>
            </w:r>
          </w:p>
        </w:tc>
        <w:tc>
          <w:tcPr>
            <w:tcW w:w="1361" w:type="dxa"/>
          </w:tcPr>
          <w:p w14:paraId="5D614AC0" w14:textId="77777777" w:rsidR="00F23DDA" w:rsidRDefault="00F23DDA" w:rsidP="00FF5B25">
            <w:pPr>
              <w:rPr>
                <w:sz w:val="26"/>
                <w:szCs w:val="26"/>
              </w:rPr>
            </w:pPr>
            <w:r>
              <w:rPr>
                <w:rFonts w:hint="eastAsia"/>
                <w:sz w:val="26"/>
                <w:szCs w:val="26"/>
              </w:rPr>
              <w:t>89.92%</w:t>
            </w:r>
          </w:p>
        </w:tc>
        <w:tc>
          <w:tcPr>
            <w:tcW w:w="1361" w:type="dxa"/>
          </w:tcPr>
          <w:p w14:paraId="787D8928" w14:textId="77777777" w:rsidR="00F23DDA" w:rsidRDefault="00F23DDA" w:rsidP="00FF5B25">
            <w:pPr>
              <w:rPr>
                <w:sz w:val="26"/>
                <w:szCs w:val="26"/>
              </w:rPr>
            </w:pPr>
            <w:r>
              <w:rPr>
                <w:rFonts w:hint="eastAsia"/>
                <w:sz w:val="26"/>
                <w:szCs w:val="26"/>
              </w:rPr>
              <w:t>56.06%</w:t>
            </w:r>
          </w:p>
        </w:tc>
      </w:tr>
    </w:tbl>
    <w:p w14:paraId="17EDB274" w14:textId="5D4800E3" w:rsidR="00F23DDA" w:rsidRDefault="00994E2D">
      <w:pPr>
        <w:rPr>
          <w:sz w:val="26"/>
          <w:szCs w:val="26"/>
        </w:rPr>
      </w:pPr>
      <w:r>
        <w:rPr>
          <w:noProof/>
          <w:sz w:val="26"/>
          <w:szCs w:val="26"/>
        </w:rPr>
        <mc:AlternateContent>
          <mc:Choice Requires="wps">
            <w:drawing>
              <wp:anchor distT="0" distB="0" distL="114300" distR="114300" simplePos="0" relativeHeight="251662336" behindDoc="0" locked="0" layoutInCell="1" allowOverlap="1" wp14:anchorId="23C6F1C1" wp14:editId="6090E770">
                <wp:simplePos x="0" y="0"/>
                <wp:positionH relativeFrom="column">
                  <wp:posOffset>3486150</wp:posOffset>
                </wp:positionH>
                <wp:positionV relativeFrom="paragraph">
                  <wp:posOffset>1330325</wp:posOffset>
                </wp:positionV>
                <wp:extent cx="1390650" cy="295275"/>
                <wp:effectExtent l="0" t="0" r="0" b="0"/>
                <wp:wrapNone/>
                <wp:docPr id="1583871177" name="文字方塊 1"/>
                <wp:cNvGraphicFramePr/>
                <a:graphic xmlns:a="http://schemas.openxmlformats.org/drawingml/2006/main">
                  <a:graphicData uri="http://schemas.microsoft.com/office/word/2010/wordprocessingShape">
                    <wps:wsp>
                      <wps:cNvSpPr txBox="1"/>
                      <wps:spPr>
                        <a:xfrm>
                          <a:off x="0" y="0"/>
                          <a:ext cx="1390650" cy="295275"/>
                        </a:xfrm>
                        <a:prstGeom prst="rect">
                          <a:avLst/>
                        </a:prstGeom>
                        <a:noFill/>
                        <a:ln w="6350">
                          <a:noFill/>
                        </a:ln>
                      </wps:spPr>
                      <wps:txbx>
                        <w:txbxContent>
                          <w:p w14:paraId="77F9F538" w14:textId="0FE5BA2F" w:rsidR="00994E2D" w:rsidRDefault="00994E2D" w:rsidP="00994E2D">
                            <w:r>
                              <w:rPr>
                                <w:rFonts w:hint="eastAsia"/>
                                <w:sz w:val="22"/>
                              </w:rPr>
                              <w:t>聯</w:t>
                            </w:r>
                            <w:r w:rsidRPr="00994E2D">
                              <w:rPr>
                                <w:rFonts w:hint="eastAsia"/>
                                <w:sz w:val="22"/>
                              </w:rPr>
                              <w:t>電股價走勢圖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3C6F1C1" id="_x0000_t202" coordsize="21600,21600" o:spt="202" path="m,l,21600r21600,l21600,xe">
                <v:stroke joinstyle="miter"/>
                <v:path gradientshapeok="t" o:connecttype="rect"/>
              </v:shapetype>
              <v:shape id="文字方塊 1" o:spid="_x0000_s1026" type="#_x0000_t202" style="position:absolute;margin-left:274.5pt;margin-top:104.75pt;width:109.5pt;height:23.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" filled="f" stroked="f" strokeweight=".5pt">
                <v:textbox>
                  <w:txbxContent>
                    <w:p w14:paraId="77F9F538" w14:textId="0FE5BA2F" w:rsidR="00994E2D" w:rsidRDefault="00994E2D" w:rsidP="00994E2D">
                      <w:r>
                        <w:rPr>
                          <w:rFonts w:hint="eastAsia"/>
                          <w:sz w:val="22"/>
                        </w:rPr>
                        <w:t>聯</w:t>
                      </w:r>
                      <w:r w:rsidRPr="00994E2D">
                        <w:rPr>
                          <w:rFonts w:hint="eastAsia"/>
                          <w:sz w:val="22"/>
                        </w:rPr>
                        <w:t>電股價走勢圖</w:t>
                      </w:r>
                    </w:p>
                  </w:txbxContent>
                </v:textbox>
              </v:shape>
            </w:pict>
          </mc:Fallback>
        </mc:AlternateContent>
      </w:r>
      <w:r w:rsidRPr="00994E2D">
        <w:rPr>
          <w:noProof/>
        </w:rPr>
        <w:drawing>
          <wp:anchor distT="0" distB="0" distL="114300" distR="114300" simplePos="0" relativeHeight="251660288" behindDoc="1" locked="0" layoutInCell="1" allowOverlap="1" wp14:anchorId="3A2ED92A" wp14:editId="6F0BDFB6">
            <wp:simplePos x="0" y="0"/>
            <wp:positionH relativeFrom="column">
              <wp:posOffset>2790825</wp:posOffset>
            </wp:positionH>
            <wp:positionV relativeFrom="paragraph">
              <wp:posOffset>19050</wp:posOffset>
            </wp:positionV>
            <wp:extent cx="2600325" cy="1339850"/>
            <wp:effectExtent l="0" t="0" r="9525" b="0"/>
            <wp:wrapNone/>
            <wp:docPr id="488388254" name="圖片 1"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88254" name="圖片 1" descr="一張含有 文字, 繪圖, 行, 圖表 的圖片&#10;&#10;自動產生的描述"/>
                    <pic:cNvPicPr/>
                  </pic:nvPicPr>
                  <pic:blipFill>
                    <a:blip r:embed="rId4" cstate="print">
                      <a:extLst>
                        <a:ext uri="{28A0092B-C50C-407E-A947-70E740481C1C}">
                          <a14:useLocalDpi xmlns:a14="http://schemas.microsoft.com/office/drawing/2010/main" val="0"/>
                        </a:ext>
                      </a:extLst>
                    </a:blip>
                    <a:stretch>
                      <a:fillRect/>
                    </a:stretch>
                  </pic:blipFill>
                  <pic:spPr>
                    <a:xfrm>
                      <a:off x="0" y="0"/>
                      <a:ext cx="2600325" cy="1339850"/>
                    </a:xfrm>
                    <a:prstGeom prst="rect">
                      <a:avLst/>
                    </a:prstGeom>
                  </pic:spPr>
                </pic:pic>
              </a:graphicData>
            </a:graphic>
          </wp:anchor>
        </w:drawing>
      </w:r>
      <w:r w:rsidR="00F23DDA">
        <w:rPr>
          <w:noProof/>
          <w:sz w:val="26"/>
          <w:szCs w:val="26"/>
        </w:rPr>
        <mc:AlternateContent>
          <mc:Choice Requires="wps">
            <w:drawing>
              <wp:anchor distT="0" distB="0" distL="114300" distR="114300" simplePos="0" relativeHeight="251659264" behindDoc="0" locked="0" layoutInCell="1" allowOverlap="1" wp14:anchorId="25AA29C0" wp14:editId="4795905E">
                <wp:simplePos x="0" y="0"/>
                <wp:positionH relativeFrom="column">
                  <wp:posOffset>771525</wp:posOffset>
                </wp:positionH>
                <wp:positionV relativeFrom="paragraph">
                  <wp:posOffset>1311275</wp:posOffset>
                </wp:positionV>
                <wp:extent cx="1390650" cy="295275"/>
                <wp:effectExtent l="0" t="0" r="0" b="0"/>
                <wp:wrapNone/>
                <wp:docPr id="1688558170" name="文字方塊 1"/>
                <wp:cNvGraphicFramePr/>
                <a:graphic xmlns:a="http://schemas.openxmlformats.org/drawingml/2006/main">
                  <a:graphicData uri="http://schemas.microsoft.com/office/word/2010/wordprocessingShape">
                    <wps:wsp>
                      <wps:cNvSpPr txBox="1"/>
                      <wps:spPr>
                        <a:xfrm>
                          <a:off x="0" y="0"/>
                          <a:ext cx="1390650" cy="295275"/>
                        </a:xfrm>
                        <a:prstGeom prst="rect">
                          <a:avLst/>
                        </a:prstGeom>
                        <a:noFill/>
                        <a:ln w="6350">
                          <a:noFill/>
                        </a:ln>
                      </wps:spPr>
                      <wps:txbx>
                        <w:txbxContent>
                          <w:p w14:paraId="631BD39A" w14:textId="2C3ADEF3" w:rsidR="00F23DDA" w:rsidRDefault="00F23DDA">
                            <w:r w:rsidRPr="00994E2D">
                              <w:rPr>
                                <w:rFonts w:hint="eastAsia"/>
                                <w:sz w:val="22"/>
                              </w:rPr>
                              <w:t>台積電股價</w:t>
                            </w:r>
                            <w:r w:rsidR="00994E2D" w:rsidRPr="00994E2D">
                              <w:rPr>
                                <w:rFonts w:hint="eastAsia"/>
                                <w:sz w:val="22"/>
                              </w:rPr>
                              <w:t>走勢圖</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AA29C0" id="_x0000_s1027" type="#_x0000_t202" style="position:absolute;margin-left:60.75pt;margin-top:103.25pt;width:109.5pt;height:2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" filled="f" stroked="f" strokeweight=".5pt">
                <v:textbox>
                  <w:txbxContent>
                    <w:p w14:paraId="631BD39A" w14:textId="2C3ADEF3" w:rsidR="00F23DDA" w:rsidRDefault="00F23DDA">
                      <w:r w:rsidRPr="00994E2D">
                        <w:rPr>
                          <w:rFonts w:hint="eastAsia"/>
                          <w:sz w:val="22"/>
                        </w:rPr>
                        <w:t>台積電股價</w:t>
                      </w:r>
                      <w:r w:rsidR="00994E2D" w:rsidRPr="00994E2D">
                        <w:rPr>
                          <w:rFonts w:hint="eastAsia"/>
                          <w:sz w:val="22"/>
                        </w:rPr>
                        <w:t>走勢圖</w:t>
                      </w:r>
                    </w:p>
                  </w:txbxContent>
                </v:textbox>
              </v:shape>
            </w:pict>
          </mc:Fallback>
        </mc:AlternateContent>
      </w:r>
      <w:r w:rsidRPr="00994E2D">
        <w:rPr>
          <w:noProof/>
        </w:rPr>
        <w:t xml:space="preserve"> </w:t>
      </w:r>
      <w:r w:rsidRPr="00994E2D">
        <w:rPr>
          <w:noProof/>
          <w:sz w:val="26"/>
          <w:szCs w:val="26"/>
        </w:rPr>
        <w:drawing>
          <wp:inline distT="0" distB="0" distL="0" distR="0" wp14:anchorId="4D2CD4E9" wp14:editId="2E0995F5">
            <wp:extent cx="2628900" cy="1352431"/>
            <wp:effectExtent l="0" t="0" r="0" b="635"/>
            <wp:docPr id="1243054270" name="圖片 1"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3054270" name="圖片 1" descr="一張含有 文字, 繪圖, 行, 圖表 的圖片&#10;&#10;自動產生的描述"/>
                    <pic:cNvPicPr/>
                  </pic:nvPicPr>
                  <pic:blipFill>
                    <a:blip r:embed="rId5"/>
                    <a:stretch>
                      <a:fillRect/>
                    </a:stretch>
                  </pic:blipFill>
                  <pic:spPr>
                    <a:xfrm>
                      <a:off x="0" y="0"/>
                      <a:ext cx="2631224" cy="1353626"/>
                    </a:xfrm>
                    <a:prstGeom prst="rect">
                      <a:avLst/>
                    </a:prstGeom>
                  </pic:spPr>
                </pic:pic>
              </a:graphicData>
            </a:graphic>
          </wp:inline>
        </w:drawing>
      </w:r>
      <w:r w:rsidRPr="00994E2D">
        <w:rPr>
          <w:noProof/>
        </w:rPr>
        <w:t xml:space="preserve"> </w:t>
      </w:r>
    </w:p>
    <w:p w14:paraId="305773BD" w14:textId="52FD5F90" w:rsidR="00F23DDA" w:rsidRPr="00F23DDA" w:rsidRDefault="00F23DDA">
      <w:pPr>
        <w:rPr>
          <w:sz w:val="26"/>
          <w:szCs w:val="26"/>
        </w:rPr>
      </w:pPr>
    </w:p>
    <w:p w14:paraId="03416822" w14:textId="56CB5203" w:rsidR="00BF6CDC" w:rsidRDefault="00F23DDA">
      <w:r>
        <w:rPr>
          <w:rFonts w:hint="eastAsia"/>
        </w:rPr>
        <w:t xml:space="preserve">   </w:t>
      </w:r>
      <w:r w:rsidR="002D1C57">
        <w:rPr>
          <w:rFonts w:hint="eastAsia"/>
        </w:rPr>
        <w:t>我們觀察計算出來的</w:t>
      </w:r>
      <w:r w:rsidR="002D1C57">
        <w:rPr>
          <w:rFonts w:hint="eastAsia"/>
        </w:rPr>
        <w:t>EPS</w:t>
      </w:r>
      <w:r w:rsidR="002D1C57">
        <w:rPr>
          <w:rFonts w:hint="eastAsia"/>
        </w:rPr>
        <w:t>年增率表格</w:t>
      </w:r>
      <w:r>
        <w:rPr>
          <w:rFonts w:hint="eastAsia"/>
        </w:rPr>
        <w:t>，我們可以發現聯電在</w:t>
      </w:r>
      <w:r>
        <w:rPr>
          <w:rFonts w:hint="eastAsia"/>
        </w:rPr>
        <w:t>2019-2021</w:t>
      </w:r>
      <w:r>
        <w:rPr>
          <w:rFonts w:hint="eastAsia"/>
        </w:rPr>
        <w:t>的成長率明顯高於台積電，觀察其股價走勢</w:t>
      </w:r>
      <w:r w:rsidR="00994E2D">
        <w:rPr>
          <w:rFonts w:hint="eastAsia"/>
        </w:rPr>
        <w:t>，在</w:t>
      </w:r>
      <w:r w:rsidR="00994E2D">
        <w:rPr>
          <w:rFonts w:hint="eastAsia"/>
        </w:rPr>
        <w:t>2019-2021</w:t>
      </w:r>
      <w:r w:rsidR="00994E2D">
        <w:rPr>
          <w:rFonts w:hint="eastAsia"/>
        </w:rPr>
        <w:t>的成長倍數也遠高於台積電，</w:t>
      </w:r>
      <w:r w:rsidR="00994E2D">
        <w:rPr>
          <w:rFonts w:hint="eastAsia"/>
        </w:rPr>
        <w:t>2019-2020</w:t>
      </w:r>
      <w:r w:rsidR="00994E2D">
        <w:rPr>
          <w:rFonts w:hint="eastAsia"/>
        </w:rPr>
        <w:t>有一倍的成長，</w:t>
      </w:r>
      <w:r w:rsidR="00994E2D">
        <w:rPr>
          <w:rFonts w:hint="eastAsia"/>
        </w:rPr>
        <w:t>2020-2021</w:t>
      </w:r>
      <w:r w:rsidR="00994E2D">
        <w:rPr>
          <w:rFonts w:hint="eastAsia"/>
        </w:rPr>
        <w:t>甚至成長了</w:t>
      </w:r>
      <w:r w:rsidR="00994E2D">
        <w:rPr>
          <w:rFonts w:hint="eastAsia"/>
        </w:rPr>
        <w:t>3-4</w:t>
      </w:r>
      <w:r w:rsidR="00994E2D">
        <w:rPr>
          <w:rFonts w:hint="eastAsia"/>
        </w:rPr>
        <w:t>倍！然而，因為其股價本來就較低，經過多倍漲幅後仍然不及台積電的市值，但確實縮小了差距。</w:t>
      </w:r>
    </w:p>
    <w:p w14:paraId="5B09BC99" w14:textId="77777777" w:rsidR="00994E2D" w:rsidRDefault="00994E2D"/>
    <w:p w14:paraId="394437CC" w14:textId="555280B0" w:rsidR="00994E2D" w:rsidRDefault="00994E2D">
      <w:pPr>
        <w:rPr>
          <w:sz w:val="28"/>
          <w:szCs w:val="28"/>
        </w:rPr>
      </w:pPr>
      <w:r w:rsidRPr="00994E2D">
        <w:rPr>
          <w:rFonts w:hint="eastAsia"/>
          <w:sz w:val="28"/>
          <w:szCs w:val="28"/>
        </w:rPr>
        <w:t>三、結論</w:t>
      </w:r>
    </w:p>
    <w:p w14:paraId="0D0B5D44" w14:textId="32761A73" w:rsidR="00994E2D" w:rsidRDefault="00994E2D">
      <w:pPr>
        <w:rPr>
          <w:szCs w:val="24"/>
        </w:rPr>
      </w:pPr>
      <w:r>
        <w:rPr>
          <w:rFonts w:hint="eastAsia"/>
          <w:sz w:val="28"/>
          <w:szCs w:val="28"/>
        </w:rPr>
        <w:t xml:space="preserve">   </w:t>
      </w:r>
      <w:r>
        <w:rPr>
          <w:rFonts w:hint="eastAsia"/>
          <w:szCs w:val="24"/>
        </w:rPr>
        <w:t>結合三個方面的分析後可以發現，聯電可能是因為其獲利能力及永續成長的能力不如台積電而市值較低，儘管在</w:t>
      </w:r>
      <w:r>
        <w:rPr>
          <w:rFonts w:hint="eastAsia"/>
          <w:szCs w:val="24"/>
        </w:rPr>
        <w:t>2019-2021</w:t>
      </w:r>
      <w:r>
        <w:rPr>
          <w:rFonts w:hint="eastAsia"/>
          <w:szCs w:val="24"/>
        </w:rPr>
        <w:t>年間有很大的提升，也只能縮短彼此之間的差距，聯電若要能達到台積電的市值，勢必還需要提升其獲利能力及永續經營的能力。</w:t>
      </w:r>
    </w:p>
    <w:p w14:paraId="1E1A583E" w14:textId="77777777" w:rsidR="00994E2D" w:rsidRPr="00994E2D" w:rsidRDefault="00994E2D">
      <w:pPr>
        <w:rPr>
          <w:szCs w:val="24"/>
        </w:rPr>
      </w:pPr>
    </w:p>
    <w:p w14:paraId="2A8705DA" w14:textId="50D38CF5" w:rsidR="000603BA" w:rsidRPr="00994E2D" w:rsidRDefault="00994E2D">
      <w:pPr>
        <w:rPr>
          <w:sz w:val="28"/>
          <w:szCs w:val="28"/>
        </w:rPr>
      </w:pPr>
      <w:r w:rsidRPr="00994E2D">
        <w:rPr>
          <w:rFonts w:hint="eastAsia"/>
          <w:sz w:val="28"/>
          <w:szCs w:val="28"/>
        </w:rPr>
        <w:t>四、</w:t>
      </w:r>
      <w:r w:rsidR="000603BA" w:rsidRPr="00994E2D">
        <w:rPr>
          <w:rFonts w:hint="eastAsia"/>
          <w:sz w:val="28"/>
          <w:szCs w:val="28"/>
        </w:rPr>
        <w:t>參考資料</w:t>
      </w:r>
    </w:p>
    <w:p w14:paraId="1673790E" w14:textId="5F465F9C" w:rsidR="000603BA" w:rsidRDefault="00000000">
      <w:hyperlink r:id="rId6" w:history="1">
        <w:r w:rsidR="000603BA" w:rsidRPr="000603BA">
          <w:rPr>
            <w:rStyle w:val="a5"/>
          </w:rPr>
          <w:t>台積電負債及股東權益表</w:t>
        </w:r>
      </w:hyperlink>
    </w:p>
    <w:p w14:paraId="3B10649C" w14:textId="241902C1" w:rsidR="000603BA" w:rsidRDefault="00000000">
      <w:hyperlink r:id="rId7" w:history="1">
        <w:r w:rsidR="000603BA" w:rsidRPr="000603BA">
          <w:rPr>
            <w:rStyle w:val="a5"/>
          </w:rPr>
          <w:t>台積電總資產</w:t>
        </w:r>
        <w:r w:rsidR="000603BA" w:rsidRPr="000603BA">
          <w:rPr>
            <w:rStyle w:val="a5"/>
            <w:rFonts w:hint="eastAsia"/>
          </w:rPr>
          <w:t>表</w:t>
        </w:r>
      </w:hyperlink>
    </w:p>
    <w:p w14:paraId="7301261C" w14:textId="7DB4C14D" w:rsidR="000603BA" w:rsidRDefault="00000000">
      <w:hyperlink r:id="rId8" w:history="1">
        <w:r w:rsidR="000603BA" w:rsidRPr="000603BA">
          <w:rPr>
            <w:rStyle w:val="a5"/>
          </w:rPr>
          <w:t>聯電負債及股東權益表</w:t>
        </w:r>
      </w:hyperlink>
    </w:p>
    <w:p w14:paraId="7842AA9D" w14:textId="19BD3F80" w:rsidR="000603BA" w:rsidRDefault="00000000">
      <w:hyperlink r:id="rId9" w:history="1">
        <w:r w:rsidR="000603BA" w:rsidRPr="000603BA">
          <w:rPr>
            <w:rStyle w:val="a5"/>
          </w:rPr>
          <w:t>聯電總資產表</w:t>
        </w:r>
      </w:hyperlink>
    </w:p>
    <w:p w14:paraId="209F6CFA" w14:textId="1B6F10A6" w:rsidR="000603BA" w:rsidRDefault="00000000">
      <w:hyperlink r:id="rId10" w:history="1">
        <w:r w:rsidR="000603BA" w:rsidRPr="000603BA">
          <w:rPr>
            <w:rStyle w:val="a5"/>
          </w:rPr>
          <w:t>台積電配息率</w:t>
        </w:r>
      </w:hyperlink>
    </w:p>
    <w:p w14:paraId="07898018" w14:textId="263C456C" w:rsidR="000603BA" w:rsidRDefault="00000000">
      <w:hyperlink r:id="rId11" w:history="1">
        <w:r w:rsidR="000603BA" w:rsidRPr="000603BA">
          <w:rPr>
            <w:rStyle w:val="a5"/>
          </w:rPr>
          <w:t>聯電配息率</w:t>
        </w:r>
      </w:hyperlink>
    </w:p>
    <w:p w14:paraId="27B1E0E3" w14:textId="2179FFCD" w:rsidR="002E1279" w:rsidRDefault="00000000">
      <w:hyperlink r:id="rId12" w:history="1">
        <w:r w:rsidR="002E1279" w:rsidRPr="002E1279">
          <w:rPr>
            <w:rStyle w:val="a5"/>
          </w:rPr>
          <w:t>台積電每股盈餘成長率</w:t>
        </w:r>
      </w:hyperlink>
    </w:p>
    <w:p w14:paraId="0874DFFA" w14:textId="28634AB3" w:rsidR="002E1279" w:rsidRPr="00EE565E" w:rsidRDefault="00000000">
      <w:hyperlink r:id="rId13" w:history="1">
        <w:r w:rsidR="002E1279" w:rsidRPr="002E1279">
          <w:rPr>
            <w:rStyle w:val="a5"/>
          </w:rPr>
          <w:t>聯電每股盈餘成長率</w:t>
        </w:r>
      </w:hyperlink>
    </w:p>
    <w:sectPr w:rsidR="002E1279" w:rsidRPr="00EE565E">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0508"/>
    <w:rsid w:val="0002548B"/>
    <w:rsid w:val="000603BA"/>
    <w:rsid w:val="00126857"/>
    <w:rsid w:val="002D1C57"/>
    <w:rsid w:val="002E1279"/>
    <w:rsid w:val="003D6BFA"/>
    <w:rsid w:val="0058711D"/>
    <w:rsid w:val="007A0508"/>
    <w:rsid w:val="00966F5F"/>
    <w:rsid w:val="00994E2D"/>
    <w:rsid w:val="00BF6CDC"/>
    <w:rsid w:val="00CE5B6F"/>
    <w:rsid w:val="00EE565E"/>
    <w:rsid w:val="00F23DDA"/>
    <w:rsid w:val="00F459C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D380C4"/>
  <w15:chartTrackingRefBased/>
  <w15:docId w15:val="{A9A556D0-9E22-4255-8209-63265216F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2E1279"/>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7A05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Placeholder Text"/>
    <w:basedOn w:val="a0"/>
    <w:uiPriority w:val="99"/>
    <w:semiHidden/>
    <w:rsid w:val="0002548B"/>
    <w:rPr>
      <w:color w:val="666666"/>
    </w:rPr>
  </w:style>
  <w:style w:type="character" w:styleId="a5">
    <w:name w:val="Hyperlink"/>
    <w:basedOn w:val="a0"/>
    <w:uiPriority w:val="99"/>
    <w:unhideWhenUsed/>
    <w:rsid w:val="000603BA"/>
    <w:rPr>
      <w:color w:val="0563C1" w:themeColor="hyperlink"/>
      <w:u w:val="single"/>
    </w:rPr>
  </w:style>
  <w:style w:type="character" w:styleId="a6">
    <w:name w:val="Unresolved Mention"/>
    <w:basedOn w:val="a0"/>
    <w:uiPriority w:val="99"/>
    <w:semiHidden/>
    <w:unhideWhenUsed/>
    <w:rsid w:val="000603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tatementdog.com/analysis/2303/liabilities-and-equity" TargetMode="External"/><Relationship Id="rId13" Type="http://schemas.openxmlformats.org/officeDocument/2006/relationships/hyperlink" Target="https://statementdog.com/analysis/2303/eps-growth-rate" TargetMode="External"/><Relationship Id="rId3" Type="http://schemas.openxmlformats.org/officeDocument/2006/relationships/webSettings" Target="webSettings.xml"/><Relationship Id="rId7" Type="http://schemas.openxmlformats.org/officeDocument/2006/relationships/hyperlink" Target="https://statementdog.com/analysis/2330/assets" TargetMode="External"/><Relationship Id="rId12" Type="http://schemas.openxmlformats.org/officeDocument/2006/relationships/hyperlink" Target="https://statementdog.com/analysis/2330/eps-growth-rate"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atementdog.com/analysis/2330/liabilities-and-equity" TargetMode="External"/><Relationship Id="rId11" Type="http://schemas.openxmlformats.org/officeDocument/2006/relationships/hyperlink" Target="https://statementdog.com/analysis/2303/dividend-payout-ratio" TargetMode="External"/><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hyperlink" Target="https://statementdog.com/analysis/2330/dividend-payout-ratio" TargetMode="External"/><Relationship Id="rId4" Type="http://schemas.openxmlformats.org/officeDocument/2006/relationships/image" Target="media/image1.png"/><Relationship Id="rId9" Type="http://schemas.openxmlformats.org/officeDocument/2006/relationships/hyperlink" Target="https://statementdog.com/analysis/2303/assets" TargetMode="External"/><Relationship Id="rId14"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165</TotalTime>
  <Pages>1</Pages>
  <Words>394</Words>
  <Characters>2248</Characters>
  <Application>Microsoft Office Word</Application>
  <DocSecurity>0</DocSecurity>
  <Lines>18</Lines>
  <Paragraphs>5</Paragraphs>
  <ScaleCrop>false</ScaleCrop>
  <Company/>
  <LinksUpToDate>false</LinksUpToDate>
  <CharactersWithSpaces>2637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陳星宇</dc:creator>
  <cp:keywords/>
  <dc:description/>
  <cp:lastModifiedBy>陳星宇</cp:lastModifiedBy>
  <cp:revision>3</cp:revision>
  <cp:lastPrinted>2024-01-08T20:29:00Z</cp:lastPrinted>
  <dcterms:created xsi:type="dcterms:W3CDTF">2024-01-08T17:43:00Z</dcterms:created>
  <dcterms:modified xsi:type="dcterms:W3CDTF">2024-01-08T20:29:00Z</dcterms:modified>
</cp:coreProperties>
</file>