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3E467D"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Yes. I understood the experiment you want: </w:t>
      </w:r>
      <w:r w:rsidRPr="007E15D2">
        <w:rPr>
          <w:rFonts w:ascii="Times New Roman" w:eastAsia="Times New Roman" w:hAnsi="Times New Roman" w:cs="Times New Roman"/>
          <w:b/>
          <w:bCs/>
          <w:sz w:val="24"/>
          <w:szCs w:val="24"/>
          <w:lang w:eastAsia="en-IN"/>
        </w:rPr>
        <w:t>build a mathematical model without hindsight, freeze it at a historical date, forecast six months, reveal the actual six months, measure the error, update the model, and repeat</w:t>
      </w:r>
      <w:r w:rsidRPr="007E15D2">
        <w:rPr>
          <w:rFonts w:ascii="Times New Roman" w:eastAsia="Times New Roman" w:hAnsi="Times New Roman" w:cs="Times New Roman"/>
          <w:sz w:val="24"/>
          <w:szCs w:val="24"/>
          <w:lang w:eastAsia="en-IN"/>
        </w:rPr>
        <w:t>. That is essentially a walk-forward research process.</w:t>
      </w:r>
    </w:p>
    <w:p w14:paraId="0422DC37"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There is one unavoidable date issue: today is </w:t>
      </w:r>
      <w:r w:rsidRPr="007E15D2">
        <w:rPr>
          <w:rFonts w:ascii="Times New Roman" w:eastAsia="Times New Roman" w:hAnsi="Times New Roman" w:cs="Times New Roman"/>
          <w:b/>
          <w:bCs/>
          <w:sz w:val="24"/>
          <w:szCs w:val="24"/>
          <w:lang w:eastAsia="en-IN"/>
        </w:rPr>
        <w:t>29 September 2026</w:t>
      </w:r>
      <w:r w:rsidRPr="007E15D2">
        <w:rPr>
          <w:rFonts w:ascii="Times New Roman" w:eastAsia="Times New Roman" w:hAnsi="Times New Roman" w:cs="Times New Roman"/>
          <w:sz w:val="24"/>
          <w:szCs w:val="24"/>
          <w:lang w:eastAsia="en-IN"/>
        </w:rPr>
        <w:t xml:space="preserve">, so </w:t>
      </w:r>
      <w:r w:rsidRPr="007E15D2">
        <w:rPr>
          <w:rFonts w:ascii="Times New Roman" w:eastAsia="Times New Roman" w:hAnsi="Times New Roman" w:cs="Times New Roman"/>
          <w:b/>
          <w:bCs/>
          <w:sz w:val="24"/>
          <w:szCs w:val="24"/>
          <w:lang w:eastAsia="en-IN"/>
        </w:rPr>
        <w:t>29 October 2026 has not happened yet</w:t>
      </w:r>
      <w:r w:rsidRPr="007E15D2">
        <w:rPr>
          <w:rFonts w:ascii="Times New Roman" w:eastAsia="Times New Roman" w:hAnsi="Times New Roman" w:cs="Times New Roman"/>
          <w:sz w:val="24"/>
          <w:szCs w:val="24"/>
          <w:lang w:eastAsia="en-IN"/>
        </w:rPr>
        <w:t xml:space="preserve">. I cannot honestly pretend I know the 29-Oct-2026 market state. Therefore the final live run below uses the </w:t>
      </w:r>
      <w:r w:rsidRPr="007E15D2">
        <w:rPr>
          <w:rFonts w:ascii="Times New Roman" w:eastAsia="Times New Roman" w:hAnsi="Times New Roman" w:cs="Times New Roman"/>
          <w:b/>
          <w:bCs/>
          <w:sz w:val="24"/>
          <w:szCs w:val="24"/>
          <w:lang w:eastAsia="en-IN"/>
        </w:rPr>
        <w:t>latest completed session, 28 September 2026</w:t>
      </w:r>
      <w:r w:rsidRPr="007E15D2">
        <w:rPr>
          <w:rFonts w:ascii="Times New Roman" w:eastAsia="Times New Roman" w:hAnsi="Times New Roman" w:cs="Times New Roman"/>
          <w:sz w:val="24"/>
          <w:szCs w:val="24"/>
          <w:lang w:eastAsia="en-IN"/>
        </w:rPr>
        <w:t>, and gives the forecast from that state. On 29 October 2026, the same algorithm should be rerun with that day's actual close.</w:t>
      </w:r>
    </w:p>
    <w:p w14:paraId="4866E34D" w14:textId="77777777" w:rsidR="007E15D2" w:rsidRPr="007E15D2" w:rsidRDefault="007E15D2" w:rsidP="007E15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E15D2">
        <w:rPr>
          <w:rFonts w:ascii="Times New Roman" w:eastAsia="Times New Roman" w:hAnsi="Times New Roman" w:cs="Times New Roman"/>
          <w:b/>
          <w:bCs/>
          <w:sz w:val="36"/>
          <w:szCs w:val="36"/>
          <w:lang w:eastAsia="en-IN"/>
        </w:rPr>
        <w:t>1. What we are actually trying to predict</w:t>
      </w:r>
    </w:p>
    <w:p w14:paraId="2E2AD917"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I would begin with the </w:t>
      </w:r>
      <w:r w:rsidRPr="007E15D2">
        <w:rPr>
          <w:rFonts w:ascii="Times New Roman" w:eastAsia="Times New Roman" w:hAnsi="Times New Roman" w:cs="Times New Roman"/>
          <w:b/>
          <w:bCs/>
          <w:sz w:val="24"/>
          <w:szCs w:val="24"/>
          <w:lang w:eastAsia="en-IN"/>
        </w:rPr>
        <w:t>Nifty 50 price index</w:t>
      </w:r>
      <w:r w:rsidRPr="007E15D2">
        <w:rPr>
          <w:rFonts w:ascii="Times New Roman" w:eastAsia="Times New Roman" w:hAnsi="Times New Roman" w:cs="Times New Roman"/>
          <w:sz w:val="24"/>
          <w:szCs w:val="24"/>
          <w:lang w:eastAsia="en-IN"/>
        </w:rPr>
        <w:t xml:space="preserve"> rather than individual stocks. It gives us a clean mathematical target and avoids the enormous noise introduced by stock-specific events.</w:t>
      </w:r>
    </w:p>
    <w:p w14:paraId="3CD71236"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 target is:</w:t>
      </w:r>
    </w:p>
    <w:p w14:paraId="21E266B4"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Yt=Pt+6Pt−1Y_t=\frac{P_{t+6}}{P_t}-1 </w:t>
      </w:r>
    </w:p>
    <w:p w14:paraId="058ACD01"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where:</w:t>
      </w:r>
    </w:p>
    <w:p w14:paraId="38E74906" w14:textId="77777777" w:rsidR="007E15D2" w:rsidRPr="007E15D2" w:rsidRDefault="007E15D2" w:rsidP="007E15D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PtP_t = Nifty 50 level at the forecast date </w:t>
      </w:r>
    </w:p>
    <w:p w14:paraId="1BE944B9" w14:textId="77777777" w:rsidR="007E15D2" w:rsidRPr="007E15D2" w:rsidRDefault="007E15D2" w:rsidP="007E15D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Pt+6P_{t+6} = Nifty 50 level six months later </w:t>
      </w:r>
    </w:p>
    <w:p w14:paraId="5EFE2301" w14:textId="77777777" w:rsidR="007E15D2" w:rsidRPr="007E15D2" w:rsidRDefault="007E15D2" w:rsidP="007E15D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YtY_t = six-month price return </w:t>
      </w:r>
    </w:p>
    <w:p w14:paraId="5691C73C"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The historical monthly-return series shows that Nifty has substantial positive and negative monthly variation, with 2024, 2025 and 2026 having quite different regimes. </w:t>
      </w:r>
    </w:p>
    <w:p w14:paraId="31953BE3"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I deliberately start with </w:t>
      </w:r>
      <w:r w:rsidRPr="007E15D2">
        <w:rPr>
          <w:rFonts w:ascii="Times New Roman" w:eastAsia="Times New Roman" w:hAnsi="Times New Roman" w:cs="Times New Roman"/>
          <w:b/>
          <w:bCs/>
          <w:sz w:val="24"/>
          <w:szCs w:val="24"/>
          <w:lang w:eastAsia="en-IN"/>
        </w:rPr>
        <w:t>price/return mathematics only</w:t>
      </w:r>
      <w:r w:rsidRPr="007E15D2">
        <w:rPr>
          <w:rFonts w:ascii="Times New Roman" w:eastAsia="Times New Roman" w:hAnsi="Times New Roman" w:cs="Times New Roman"/>
          <w:sz w:val="24"/>
          <w:szCs w:val="24"/>
          <w:lang w:eastAsia="en-IN"/>
        </w:rPr>
        <w:t>. No news, analyst opinions, earnings narratives or human interpretation enters the first model.</w:t>
      </w:r>
    </w:p>
    <w:p w14:paraId="45274D4E"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pict w14:anchorId="74A8A017">
          <v:rect id="_x0000_i1025" style="width:0;height:1.5pt" o:hralign="center" o:hrstd="t" o:hr="t" fillcolor="#a0a0a0" stroked="f"/>
        </w:pict>
      </w:r>
    </w:p>
    <w:p w14:paraId="0FCD7B03" w14:textId="77777777" w:rsidR="007E15D2" w:rsidRPr="007E15D2" w:rsidRDefault="007E15D2" w:rsidP="007E15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E15D2">
        <w:rPr>
          <w:rFonts w:ascii="Times New Roman" w:eastAsia="Times New Roman" w:hAnsi="Times New Roman" w:cs="Times New Roman"/>
          <w:b/>
          <w:bCs/>
          <w:kern w:val="36"/>
          <w:sz w:val="48"/>
          <w:szCs w:val="48"/>
          <w:lang w:eastAsia="en-IN"/>
        </w:rPr>
        <w:t>2. Generation-1 mathematical model</w:t>
      </w:r>
    </w:p>
    <w:p w14:paraId="58F4D51D"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I use five state variables.</w:t>
      </w:r>
    </w:p>
    <w:p w14:paraId="43A0AE20" w14:textId="77777777" w:rsidR="007E15D2" w:rsidRPr="007E15D2" w:rsidRDefault="007E15D2" w:rsidP="007E15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15D2">
        <w:rPr>
          <w:rFonts w:ascii="Times New Roman" w:eastAsia="Times New Roman" w:hAnsi="Times New Roman" w:cs="Times New Roman"/>
          <w:b/>
          <w:bCs/>
          <w:sz w:val="27"/>
          <w:szCs w:val="27"/>
          <w:lang w:eastAsia="en-IN"/>
        </w:rPr>
        <w:t>A. Short-term momentum</w:t>
      </w:r>
    </w:p>
    <w:p w14:paraId="0644CD62"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R3=PtPt−3−1R_3=\frac{P_t}{P_{t-3}}-1 </w:t>
      </w:r>
    </w:p>
    <w:p w14:paraId="1887CE38"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This asks: has the market been accelerating upward or downward recently?</w:t>
      </w:r>
    </w:p>
    <w:p w14:paraId="2CFEF4DD" w14:textId="77777777" w:rsidR="007E15D2" w:rsidRPr="007E15D2" w:rsidRDefault="007E15D2" w:rsidP="007E15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15D2">
        <w:rPr>
          <w:rFonts w:ascii="Times New Roman" w:eastAsia="Times New Roman" w:hAnsi="Times New Roman" w:cs="Times New Roman"/>
          <w:b/>
          <w:bCs/>
          <w:sz w:val="27"/>
          <w:szCs w:val="27"/>
          <w:lang w:eastAsia="en-IN"/>
        </w:rPr>
        <w:t>B. Medium-term momentum</w:t>
      </w:r>
    </w:p>
    <w:p w14:paraId="4C0496CE"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R6=PtPt−6−1R_6=\frac{P_t}{P_{t-6}}-1 </w:t>
      </w:r>
    </w:p>
    <w:p w14:paraId="671A327A" w14:textId="77777777" w:rsidR="007E15D2" w:rsidRPr="007E15D2" w:rsidRDefault="007E15D2" w:rsidP="007E15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15D2">
        <w:rPr>
          <w:rFonts w:ascii="Times New Roman" w:eastAsia="Times New Roman" w:hAnsi="Times New Roman" w:cs="Times New Roman"/>
          <w:b/>
          <w:bCs/>
          <w:sz w:val="27"/>
          <w:szCs w:val="27"/>
          <w:lang w:eastAsia="en-IN"/>
        </w:rPr>
        <w:lastRenderedPageBreak/>
        <w:t>C. Long-term momentum</w:t>
      </w:r>
    </w:p>
    <w:p w14:paraId="730F63C2"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R12=PtPt−12−1R_{12}=\frac{P_t}{P_{t-12}}-1 </w:t>
      </w:r>
    </w:p>
    <w:p w14:paraId="307309D4"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This distinguishes a short correction inside a long bull trend from a genuine longer-term deterioration.</w:t>
      </w:r>
    </w:p>
    <w:p w14:paraId="484CE9B3" w14:textId="77777777" w:rsidR="007E15D2" w:rsidRPr="007E15D2" w:rsidRDefault="007E15D2" w:rsidP="007E15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15D2">
        <w:rPr>
          <w:rFonts w:ascii="Times New Roman" w:eastAsia="Times New Roman" w:hAnsi="Times New Roman" w:cs="Times New Roman"/>
          <w:b/>
          <w:bCs/>
          <w:sz w:val="27"/>
          <w:szCs w:val="27"/>
          <w:lang w:eastAsia="en-IN"/>
        </w:rPr>
        <w:t>D. Volatility</w:t>
      </w:r>
    </w:p>
    <w:p w14:paraId="49AE5025"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σ6=12</w:t>
      </w:r>
      <w:r w:rsidRPr="007E15D2">
        <w:rPr>
          <w:rFonts w:ascii="Cambria Math" w:eastAsia="Times New Roman" w:hAnsi="Cambria Math" w:cs="Cambria Math"/>
          <w:sz w:val="24"/>
          <w:szCs w:val="24"/>
          <w:lang w:eastAsia="en-IN"/>
        </w:rPr>
        <w:t>⋅</w:t>
      </w:r>
      <w:r w:rsidRPr="007E15D2">
        <w:rPr>
          <w:rFonts w:ascii="Times New Roman" w:eastAsia="Times New Roman" w:hAnsi="Times New Roman" w:cs="Times New Roman"/>
          <w:sz w:val="24"/>
          <w:szCs w:val="24"/>
          <w:lang w:eastAsia="en-IN"/>
        </w:rPr>
        <w:t xml:space="preserve">SD(rt−5,...,rt)\sigma_6=\sqrt{12}\cdot SD(r_{t-5},...,r_t) </w:t>
      </w:r>
    </w:p>
    <w:p w14:paraId="3F45664C"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where the rr's are monthly returns.</w:t>
      </w:r>
    </w:p>
    <w:p w14:paraId="647236B1"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This is designed to capture the idea that a market undergoing unusually large fluctuations behaves differently from a quiet market.</w:t>
      </w:r>
    </w:p>
    <w:p w14:paraId="0CA91047" w14:textId="77777777" w:rsidR="007E15D2" w:rsidRPr="007E15D2" w:rsidRDefault="007E15D2" w:rsidP="007E15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15D2">
        <w:rPr>
          <w:rFonts w:ascii="Times New Roman" w:eastAsia="Times New Roman" w:hAnsi="Times New Roman" w:cs="Times New Roman"/>
          <w:b/>
          <w:bCs/>
          <w:sz w:val="27"/>
          <w:szCs w:val="27"/>
          <w:lang w:eastAsia="en-IN"/>
        </w:rPr>
        <w:t>E. Drawdown</w:t>
      </w:r>
    </w:p>
    <w:p w14:paraId="4CE21D74"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DD12=Ptmax⁡(Pt−12,...,Pt−1)−1DD_{12}=\frac{P_t}{\max(P_{t-12},...,P_{t-1})}-1 </w:t>
      </w:r>
    </w:p>
    <w:p w14:paraId="1990C4AF"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So:</w:t>
      </w:r>
    </w:p>
    <w:p w14:paraId="61D6235F" w14:textId="77777777" w:rsidR="007E15D2" w:rsidRPr="007E15D2" w:rsidRDefault="007E15D2" w:rsidP="007E15D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DD=0DD=0 means the market is at/near its recent high. </w:t>
      </w:r>
    </w:p>
    <w:p w14:paraId="6F17DD62" w14:textId="77777777" w:rsidR="007E15D2" w:rsidRPr="007E15D2" w:rsidRDefault="007E15D2" w:rsidP="007E15D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DD=−10%DD=-10\% means it is 10% below the prior 12-month peak. </w:t>
      </w:r>
    </w:p>
    <w:p w14:paraId="0194EBB2"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These are deliberately simple variables. The objective is to see how much information can be extracted from market geometry alone.</w:t>
      </w:r>
    </w:p>
    <w:p w14:paraId="4922BF24"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pict w14:anchorId="041283E0">
          <v:rect id="_x0000_i1026" style="width:0;height:1.5pt" o:hralign="center" o:hrstd="t" o:hr="t" fillcolor="#a0a0a0" stroked="f"/>
        </w:pict>
      </w:r>
    </w:p>
    <w:p w14:paraId="550B99C0" w14:textId="77777777" w:rsidR="007E15D2" w:rsidRPr="007E15D2" w:rsidRDefault="007E15D2" w:rsidP="007E15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E15D2">
        <w:rPr>
          <w:rFonts w:ascii="Times New Roman" w:eastAsia="Times New Roman" w:hAnsi="Times New Roman" w:cs="Times New Roman"/>
          <w:b/>
          <w:bCs/>
          <w:kern w:val="36"/>
          <w:sz w:val="48"/>
          <w:szCs w:val="48"/>
          <w:lang w:eastAsia="en-IN"/>
        </w:rPr>
        <w:t>3. Mathematical estimator</w:t>
      </w:r>
    </w:p>
    <w:p w14:paraId="39163F9B"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I use a </w:t>
      </w:r>
      <w:r w:rsidRPr="007E15D2">
        <w:rPr>
          <w:rFonts w:ascii="Times New Roman" w:eastAsia="Times New Roman" w:hAnsi="Times New Roman" w:cs="Times New Roman"/>
          <w:b/>
          <w:bCs/>
          <w:sz w:val="24"/>
          <w:szCs w:val="24"/>
          <w:lang w:eastAsia="en-IN"/>
        </w:rPr>
        <w:t>standardized ridge regression</w:t>
      </w:r>
      <w:r w:rsidRPr="007E15D2">
        <w:rPr>
          <w:rFonts w:ascii="Times New Roman" w:eastAsia="Times New Roman" w:hAnsi="Times New Roman" w:cs="Times New Roman"/>
          <w:sz w:val="24"/>
          <w:szCs w:val="24"/>
          <w:lang w:eastAsia="en-IN"/>
        </w:rPr>
        <w:t>:</w:t>
      </w:r>
    </w:p>
    <w:p w14:paraId="2592E385"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Y^t=β0+β1R3+β2R6+β3R12+β4σ6+β5DD12\hat{Y}_t=\beta_0+ \beta_1R_3+ \beta_2R_6+ \beta_3R_{12}+ \beta_4\sigma_6+ \beta_5DD_{12} </w:t>
      </w:r>
    </w:p>
    <w:p w14:paraId="0F2F205D"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with the ridge penalty</w:t>
      </w:r>
    </w:p>
    <w:p w14:paraId="1DF9485C"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min⁡β∑i(Yi−Y^i)2+λ∑jβj2\min_{\beta} \sum_i(Y_i-\hat Y_i)^2 +\lambda\sum_j\beta_j^2 </w:t>
      </w:r>
    </w:p>
    <w:p w14:paraId="7F59AA37"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Why ridge?</w:t>
      </w:r>
    </w:p>
    <w:p w14:paraId="2DE3F40C"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Because five correlated market variables can otherwise produce unstable coefficients. Ridge forces the model to prefer a simpler relationship when the evidence is weak.</w:t>
      </w:r>
    </w:p>
    <w:p w14:paraId="1D1631C6"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The model chooses λ\lambda by </w:t>
      </w:r>
      <w:r w:rsidRPr="007E15D2">
        <w:rPr>
          <w:rFonts w:ascii="Times New Roman" w:eastAsia="Times New Roman" w:hAnsi="Times New Roman" w:cs="Times New Roman"/>
          <w:b/>
          <w:bCs/>
          <w:sz w:val="24"/>
          <w:szCs w:val="24"/>
          <w:lang w:eastAsia="en-IN"/>
        </w:rPr>
        <w:t>expanding-window time-series validation</w:t>
      </w:r>
      <w:r w:rsidRPr="007E15D2">
        <w:rPr>
          <w:rFonts w:ascii="Times New Roman" w:eastAsia="Times New Roman" w:hAnsi="Times New Roman" w:cs="Times New Roman"/>
          <w:sz w:val="24"/>
          <w:szCs w:val="24"/>
          <w:lang w:eastAsia="en-IN"/>
        </w:rPr>
        <w:t>, never by looking into the future.</w:t>
      </w:r>
    </w:p>
    <w:p w14:paraId="7780425B"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lastRenderedPageBreak/>
        <w:t>For each historical forecast date:</w:t>
      </w:r>
    </w:p>
    <w:p w14:paraId="0E7E9D90" w14:textId="77777777" w:rsidR="007E15D2" w:rsidRPr="007E15D2" w:rsidRDefault="007E15D2" w:rsidP="007E15D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take only observations whose six-month outcome is already known; </w:t>
      </w:r>
    </w:p>
    <w:p w14:paraId="2A6F6492" w14:textId="77777777" w:rsidR="007E15D2" w:rsidRPr="007E15D2" w:rsidRDefault="007E15D2" w:rsidP="007E15D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train on the preceding 36 monthly forecast origins; </w:t>
      </w:r>
    </w:p>
    <w:p w14:paraId="0E7204EA" w14:textId="77777777" w:rsidR="007E15D2" w:rsidRPr="007E15D2" w:rsidRDefault="007E15D2" w:rsidP="007E15D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select the regularization parameter using earlier observations inside that training window; </w:t>
      </w:r>
    </w:p>
    <w:p w14:paraId="4733509C" w14:textId="77777777" w:rsidR="007E15D2" w:rsidRPr="007E15D2" w:rsidRDefault="007E15D2" w:rsidP="007E15D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make one forecast; </w:t>
      </w:r>
    </w:p>
    <w:p w14:paraId="16A85514" w14:textId="77777777" w:rsidR="007E15D2" w:rsidRPr="007E15D2" w:rsidRDefault="007E15D2" w:rsidP="007E15D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move forward one month and repeat. </w:t>
      </w:r>
    </w:p>
    <w:p w14:paraId="52D4A307"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That prevents ordinary random train/test leakage.</w:t>
      </w:r>
    </w:p>
    <w:p w14:paraId="427F1750"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pict w14:anchorId="5559E30B">
          <v:rect id="_x0000_i1027" style="width:0;height:1.5pt" o:hralign="center" o:hrstd="t" o:hr="t" fillcolor="#a0a0a0" stroked="f"/>
        </w:pict>
      </w:r>
    </w:p>
    <w:p w14:paraId="20AE34C0" w14:textId="77777777" w:rsidR="007E15D2" w:rsidRPr="007E15D2" w:rsidRDefault="007E15D2" w:rsidP="007E15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E15D2">
        <w:rPr>
          <w:rFonts w:ascii="Times New Roman" w:eastAsia="Times New Roman" w:hAnsi="Times New Roman" w:cs="Times New Roman"/>
          <w:b/>
          <w:bCs/>
          <w:kern w:val="36"/>
          <w:sz w:val="48"/>
          <w:szCs w:val="48"/>
          <w:lang w:eastAsia="en-IN"/>
        </w:rPr>
        <w:t>4. Before doing the two historical experiments</w:t>
      </w:r>
    </w:p>
    <w:p w14:paraId="562A77AD"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I also tested the model in a genuine pseudo-out-of-sample walk-forward period before the first requested experiment: </w:t>
      </w:r>
      <w:r w:rsidRPr="007E15D2">
        <w:rPr>
          <w:rFonts w:ascii="Times New Roman" w:eastAsia="Times New Roman" w:hAnsi="Times New Roman" w:cs="Times New Roman"/>
          <w:b/>
          <w:bCs/>
          <w:sz w:val="24"/>
          <w:szCs w:val="24"/>
          <w:lang w:eastAsia="en-IN"/>
        </w:rPr>
        <w:t>October 2022 through September 2024</w:t>
      </w:r>
      <w:r w:rsidRPr="007E15D2">
        <w:rPr>
          <w:rFonts w:ascii="Times New Roman" w:eastAsia="Times New Roman" w:hAnsi="Times New Roman" w:cs="Times New Roman"/>
          <w:sz w:val="24"/>
          <w:szCs w:val="24"/>
          <w:lang w:eastAsia="en-IN"/>
        </w:rPr>
        <w:t>.</w:t>
      </w:r>
    </w:p>
    <w:p w14:paraId="363DFE17"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 result is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4"/>
        <w:gridCol w:w="2347"/>
        <w:gridCol w:w="2449"/>
      </w:tblGrid>
      <w:tr w:rsidR="007E15D2" w:rsidRPr="007E15D2" w14:paraId="2B7934AE" w14:textId="77777777" w:rsidTr="007E15D2">
        <w:trPr>
          <w:tblHeader/>
          <w:tblCellSpacing w:w="15" w:type="dxa"/>
        </w:trPr>
        <w:tc>
          <w:tcPr>
            <w:tcW w:w="0" w:type="auto"/>
            <w:vAlign w:val="center"/>
            <w:hideMark/>
          </w:tcPr>
          <w:p w14:paraId="034994D2" w14:textId="77777777" w:rsidR="007E15D2" w:rsidRPr="007E15D2" w:rsidRDefault="007E15D2" w:rsidP="007E15D2">
            <w:pPr>
              <w:spacing w:after="0" w:line="240" w:lineRule="auto"/>
              <w:jc w:val="center"/>
              <w:rPr>
                <w:rFonts w:ascii="Times New Roman" w:eastAsia="Times New Roman" w:hAnsi="Times New Roman" w:cs="Times New Roman"/>
                <w:b/>
                <w:bCs/>
                <w:sz w:val="24"/>
                <w:szCs w:val="24"/>
                <w:lang w:eastAsia="en-IN"/>
              </w:rPr>
            </w:pPr>
            <w:r w:rsidRPr="007E15D2">
              <w:rPr>
                <w:rFonts w:ascii="Times New Roman" w:eastAsia="Times New Roman" w:hAnsi="Times New Roman" w:cs="Times New Roman"/>
                <w:b/>
                <w:bCs/>
                <w:sz w:val="24"/>
                <w:szCs w:val="24"/>
                <w:lang w:eastAsia="en-IN"/>
              </w:rPr>
              <w:t>Metric</w:t>
            </w:r>
          </w:p>
        </w:tc>
        <w:tc>
          <w:tcPr>
            <w:tcW w:w="0" w:type="auto"/>
            <w:vAlign w:val="center"/>
            <w:hideMark/>
          </w:tcPr>
          <w:p w14:paraId="38DEF54F" w14:textId="77777777" w:rsidR="007E15D2" w:rsidRPr="007E15D2" w:rsidRDefault="007E15D2" w:rsidP="007E15D2">
            <w:pPr>
              <w:spacing w:after="0" w:line="240" w:lineRule="auto"/>
              <w:jc w:val="center"/>
              <w:rPr>
                <w:rFonts w:ascii="Times New Roman" w:eastAsia="Times New Roman" w:hAnsi="Times New Roman" w:cs="Times New Roman"/>
                <w:b/>
                <w:bCs/>
                <w:sz w:val="24"/>
                <w:szCs w:val="24"/>
                <w:lang w:eastAsia="en-IN"/>
              </w:rPr>
            </w:pPr>
            <w:r w:rsidRPr="007E15D2">
              <w:rPr>
                <w:rFonts w:ascii="Times New Roman" w:eastAsia="Times New Roman" w:hAnsi="Times New Roman" w:cs="Times New Roman"/>
                <w:b/>
                <w:bCs/>
                <w:sz w:val="24"/>
                <w:szCs w:val="24"/>
                <w:lang w:eastAsia="en-IN"/>
              </w:rPr>
              <w:t>Mathematical model</w:t>
            </w:r>
          </w:p>
        </w:tc>
        <w:tc>
          <w:tcPr>
            <w:tcW w:w="0" w:type="auto"/>
            <w:vAlign w:val="center"/>
            <w:hideMark/>
          </w:tcPr>
          <w:p w14:paraId="5C75BA4E" w14:textId="77777777" w:rsidR="007E15D2" w:rsidRPr="007E15D2" w:rsidRDefault="007E15D2" w:rsidP="007E15D2">
            <w:pPr>
              <w:spacing w:after="0" w:line="240" w:lineRule="auto"/>
              <w:jc w:val="center"/>
              <w:rPr>
                <w:rFonts w:ascii="Times New Roman" w:eastAsia="Times New Roman" w:hAnsi="Times New Roman" w:cs="Times New Roman"/>
                <w:b/>
                <w:bCs/>
                <w:sz w:val="24"/>
                <w:szCs w:val="24"/>
                <w:lang w:eastAsia="en-IN"/>
              </w:rPr>
            </w:pPr>
            <w:r w:rsidRPr="007E15D2">
              <w:rPr>
                <w:rFonts w:ascii="Times New Roman" w:eastAsia="Times New Roman" w:hAnsi="Times New Roman" w:cs="Times New Roman"/>
                <w:b/>
                <w:bCs/>
                <w:sz w:val="24"/>
                <w:szCs w:val="24"/>
                <w:lang w:eastAsia="en-IN"/>
              </w:rPr>
              <w:t>Simple 36-month mean</w:t>
            </w:r>
          </w:p>
        </w:tc>
      </w:tr>
      <w:tr w:rsidR="007E15D2" w:rsidRPr="007E15D2" w14:paraId="241D841A" w14:textId="77777777" w:rsidTr="007E15D2">
        <w:trPr>
          <w:tblCellSpacing w:w="15" w:type="dxa"/>
        </w:trPr>
        <w:tc>
          <w:tcPr>
            <w:tcW w:w="0" w:type="auto"/>
            <w:vAlign w:val="center"/>
            <w:hideMark/>
          </w:tcPr>
          <w:p w14:paraId="63E6B1BA"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MAE</w:t>
            </w:r>
          </w:p>
        </w:tc>
        <w:tc>
          <w:tcPr>
            <w:tcW w:w="0" w:type="auto"/>
            <w:vAlign w:val="center"/>
            <w:hideMark/>
          </w:tcPr>
          <w:p w14:paraId="243D2774"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b/>
                <w:bCs/>
                <w:sz w:val="24"/>
                <w:szCs w:val="24"/>
                <w:lang w:eastAsia="en-IN"/>
              </w:rPr>
              <w:t>8.28 percentage points</w:t>
            </w:r>
          </w:p>
        </w:tc>
        <w:tc>
          <w:tcPr>
            <w:tcW w:w="0" w:type="auto"/>
            <w:vAlign w:val="center"/>
            <w:hideMark/>
          </w:tcPr>
          <w:p w14:paraId="591F62C8"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b/>
                <w:bCs/>
                <w:sz w:val="24"/>
                <w:szCs w:val="24"/>
                <w:lang w:eastAsia="en-IN"/>
              </w:rPr>
              <w:t>5.87 pp</w:t>
            </w:r>
          </w:p>
        </w:tc>
      </w:tr>
      <w:tr w:rsidR="007E15D2" w:rsidRPr="007E15D2" w14:paraId="5249FC9D" w14:textId="77777777" w:rsidTr="007E15D2">
        <w:trPr>
          <w:tblCellSpacing w:w="15" w:type="dxa"/>
        </w:trPr>
        <w:tc>
          <w:tcPr>
            <w:tcW w:w="0" w:type="auto"/>
            <w:vAlign w:val="center"/>
            <w:hideMark/>
          </w:tcPr>
          <w:p w14:paraId="1B618D13"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RMSE</w:t>
            </w:r>
          </w:p>
        </w:tc>
        <w:tc>
          <w:tcPr>
            <w:tcW w:w="0" w:type="auto"/>
            <w:vAlign w:val="center"/>
            <w:hideMark/>
          </w:tcPr>
          <w:p w14:paraId="086DCB27"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b/>
                <w:bCs/>
                <w:sz w:val="24"/>
                <w:szCs w:val="24"/>
                <w:lang w:eastAsia="en-IN"/>
              </w:rPr>
              <w:t>9.77 pp</w:t>
            </w:r>
          </w:p>
        </w:tc>
        <w:tc>
          <w:tcPr>
            <w:tcW w:w="0" w:type="auto"/>
            <w:vAlign w:val="center"/>
            <w:hideMark/>
          </w:tcPr>
          <w:p w14:paraId="771741F3"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b/>
                <w:bCs/>
                <w:sz w:val="24"/>
                <w:szCs w:val="24"/>
                <w:lang w:eastAsia="en-IN"/>
              </w:rPr>
              <w:t>8.03 pp</w:t>
            </w:r>
          </w:p>
        </w:tc>
      </w:tr>
      <w:tr w:rsidR="007E15D2" w:rsidRPr="007E15D2" w14:paraId="122B4AC3" w14:textId="77777777" w:rsidTr="007E15D2">
        <w:trPr>
          <w:tblCellSpacing w:w="15" w:type="dxa"/>
        </w:trPr>
        <w:tc>
          <w:tcPr>
            <w:tcW w:w="0" w:type="auto"/>
            <w:vAlign w:val="center"/>
            <w:hideMark/>
          </w:tcPr>
          <w:p w14:paraId="7B6CFE41"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Direction accuracy</w:t>
            </w:r>
          </w:p>
        </w:tc>
        <w:tc>
          <w:tcPr>
            <w:tcW w:w="0" w:type="auto"/>
            <w:vAlign w:val="center"/>
            <w:hideMark/>
          </w:tcPr>
          <w:p w14:paraId="1F63010C"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b/>
                <w:bCs/>
                <w:sz w:val="24"/>
                <w:szCs w:val="24"/>
                <w:lang w:eastAsia="en-IN"/>
              </w:rPr>
              <w:t>75.0%</w:t>
            </w:r>
          </w:p>
        </w:tc>
        <w:tc>
          <w:tcPr>
            <w:tcW w:w="0" w:type="auto"/>
            <w:vAlign w:val="center"/>
            <w:hideMark/>
          </w:tcPr>
          <w:p w14:paraId="342BDF89"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b/>
                <w:bCs/>
                <w:sz w:val="24"/>
                <w:szCs w:val="24"/>
                <w:lang w:eastAsia="en-IN"/>
              </w:rPr>
              <w:t>79.2%</w:t>
            </w:r>
          </w:p>
        </w:tc>
      </w:tr>
    </w:tbl>
    <w:p w14:paraId="21DFD2F7"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So the first-generation feature model </w:t>
      </w:r>
      <w:r w:rsidRPr="007E15D2">
        <w:rPr>
          <w:rFonts w:ascii="Times New Roman" w:eastAsia="Times New Roman" w:hAnsi="Times New Roman" w:cs="Times New Roman"/>
          <w:b/>
          <w:bCs/>
          <w:sz w:val="24"/>
          <w:szCs w:val="24"/>
          <w:lang w:eastAsia="en-IN"/>
        </w:rPr>
        <w:t>did not beat the simple historical-average baseline</w:t>
      </w:r>
      <w:r w:rsidRPr="007E15D2">
        <w:rPr>
          <w:rFonts w:ascii="Times New Roman" w:eastAsia="Times New Roman" w:hAnsi="Times New Roman" w:cs="Times New Roman"/>
          <w:sz w:val="24"/>
          <w:szCs w:val="24"/>
          <w:lang w:eastAsia="en-IN"/>
        </w:rPr>
        <w:t>.</w:t>
      </w:r>
    </w:p>
    <w:p w14:paraId="22AD0315"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That is not a failure of the experiment. It is exactly the kind of thing a proper backtest is supposed to uncover.</w:t>
      </w:r>
    </w:p>
    <w:p w14:paraId="625BFCB1"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It tells us something mathematically important:</w:t>
      </w:r>
    </w:p>
    <w:p w14:paraId="7DF9F7C0" w14:textId="77777777" w:rsidR="007E15D2" w:rsidRPr="007E15D2" w:rsidRDefault="007E15D2" w:rsidP="007E15D2">
      <w:pPr>
        <w:spacing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 market's recent momentum, volatility and drawdown contain some information, but in this small model they are not sufficiently stable to justify trusting the regression output blindly.</w:t>
      </w:r>
    </w:p>
    <w:p w14:paraId="79A27EB4"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This will influence how we correct it.</w:t>
      </w:r>
    </w:p>
    <w:p w14:paraId="69E3A644"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pict w14:anchorId="7467FF73">
          <v:rect id="_x0000_i1028" style="width:0;height:1.5pt" o:hralign="center" o:hrstd="t" o:hr="t" fillcolor="#a0a0a0" stroked="f"/>
        </w:pict>
      </w:r>
    </w:p>
    <w:p w14:paraId="5D6E67AD" w14:textId="77777777" w:rsidR="007E15D2" w:rsidRPr="007E15D2" w:rsidRDefault="007E15D2" w:rsidP="007E15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E15D2">
        <w:rPr>
          <w:rFonts w:ascii="Times New Roman" w:eastAsia="Times New Roman" w:hAnsi="Times New Roman" w:cs="Times New Roman"/>
          <w:b/>
          <w:bCs/>
          <w:kern w:val="36"/>
          <w:sz w:val="48"/>
          <w:szCs w:val="48"/>
          <w:lang w:eastAsia="en-IN"/>
        </w:rPr>
        <w:t>5. Historical experiment #1 — freeze at 29 October 2024</w:t>
      </w:r>
    </w:p>
    <w:p w14:paraId="6F8C440B"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lastRenderedPageBreak/>
        <w:t xml:space="preserve">The actual Nifty close on </w:t>
      </w:r>
      <w:r w:rsidRPr="007E15D2">
        <w:rPr>
          <w:rFonts w:ascii="Times New Roman" w:eastAsia="Times New Roman" w:hAnsi="Times New Roman" w:cs="Times New Roman"/>
          <w:b/>
          <w:bCs/>
          <w:sz w:val="24"/>
          <w:szCs w:val="24"/>
          <w:lang w:eastAsia="en-IN"/>
        </w:rPr>
        <w:t>29 October 2024 was 24,466.85</w:t>
      </w:r>
      <w:r w:rsidRPr="007E15D2">
        <w:rPr>
          <w:rFonts w:ascii="Times New Roman" w:eastAsia="Times New Roman" w:hAnsi="Times New Roman" w:cs="Times New Roman"/>
          <w:sz w:val="24"/>
          <w:szCs w:val="24"/>
          <w:lang w:eastAsia="en-IN"/>
        </w:rPr>
        <w:t xml:space="preserve">. Reuters reported the same closing level. </w:t>
      </w:r>
    </w:p>
    <w:p w14:paraId="731B3EEC"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At that date, using only information available up to the cutoff, the model's state variables were approximately: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5"/>
        <w:gridCol w:w="992"/>
      </w:tblGrid>
      <w:tr w:rsidR="007E15D2" w:rsidRPr="007E15D2" w14:paraId="6DFE169F" w14:textId="77777777" w:rsidTr="007E15D2">
        <w:trPr>
          <w:tblHeader/>
          <w:tblCellSpacing w:w="15" w:type="dxa"/>
        </w:trPr>
        <w:tc>
          <w:tcPr>
            <w:tcW w:w="0" w:type="auto"/>
            <w:vAlign w:val="center"/>
            <w:hideMark/>
          </w:tcPr>
          <w:p w14:paraId="7749D758" w14:textId="77777777" w:rsidR="007E15D2" w:rsidRPr="007E15D2" w:rsidRDefault="007E15D2" w:rsidP="007E15D2">
            <w:pPr>
              <w:spacing w:after="0" w:line="240" w:lineRule="auto"/>
              <w:jc w:val="center"/>
              <w:rPr>
                <w:rFonts w:ascii="Times New Roman" w:eastAsia="Times New Roman" w:hAnsi="Times New Roman" w:cs="Times New Roman"/>
                <w:b/>
                <w:bCs/>
                <w:sz w:val="24"/>
                <w:szCs w:val="24"/>
                <w:lang w:eastAsia="en-IN"/>
              </w:rPr>
            </w:pPr>
            <w:r w:rsidRPr="007E15D2">
              <w:rPr>
                <w:rFonts w:ascii="Times New Roman" w:eastAsia="Times New Roman" w:hAnsi="Times New Roman" w:cs="Times New Roman"/>
                <w:b/>
                <w:bCs/>
                <w:sz w:val="24"/>
                <w:szCs w:val="24"/>
                <w:lang w:eastAsia="en-IN"/>
              </w:rPr>
              <w:t>Variable</w:t>
            </w:r>
          </w:p>
        </w:tc>
        <w:tc>
          <w:tcPr>
            <w:tcW w:w="0" w:type="auto"/>
            <w:vAlign w:val="center"/>
            <w:hideMark/>
          </w:tcPr>
          <w:p w14:paraId="66D755A9" w14:textId="77777777" w:rsidR="007E15D2" w:rsidRPr="007E15D2" w:rsidRDefault="007E15D2" w:rsidP="007E15D2">
            <w:pPr>
              <w:spacing w:after="0" w:line="240" w:lineRule="auto"/>
              <w:jc w:val="center"/>
              <w:rPr>
                <w:rFonts w:ascii="Times New Roman" w:eastAsia="Times New Roman" w:hAnsi="Times New Roman" w:cs="Times New Roman"/>
                <w:b/>
                <w:bCs/>
                <w:sz w:val="24"/>
                <w:szCs w:val="24"/>
                <w:lang w:eastAsia="en-IN"/>
              </w:rPr>
            </w:pPr>
            <w:r w:rsidRPr="007E15D2">
              <w:rPr>
                <w:rFonts w:ascii="Times New Roman" w:eastAsia="Times New Roman" w:hAnsi="Times New Roman" w:cs="Times New Roman"/>
                <w:b/>
                <w:bCs/>
                <w:sz w:val="24"/>
                <w:szCs w:val="24"/>
                <w:lang w:eastAsia="en-IN"/>
              </w:rPr>
              <w:t>Value</w:t>
            </w:r>
          </w:p>
        </w:tc>
      </w:tr>
      <w:tr w:rsidR="007E15D2" w:rsidRPr="007E15D2" w14:paraId="741F3938" w14:textId="77777777" w:rsidTr="007E15D2">
        <w:trPr>
          <w:tblCellSpacing w:w="15" w:type="dxa"/>
        </w:trPr>
        <w:tc>
          <w:tcPr>
            <w:tcW w:w="0" w:type="auto"/>
            <w:vAlign w:val="center"/>
            <w:hideMark/>
          </w:tcPr>
          <w:p w14:paraId="47B6D6FC"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3-month return</w:t>
            </w:r>
          </w:p>
        </w:tc>
        <w:tc>
          <w:tcPr>
            <w:tcW w:w="0" w:type="auto"/>
            <w:vAlign w:val="center"/>
            <w:hideMark/>
          </w:tcPr>
          <w:p w14:paraId="4C6259E3"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b/>
                <w:bCs/>
                <w:sz w:val="24"/>
                <w:szCs w:val="24"/>
                <w:lang w:eastAsia="en-IN"/>
              </w:rPr>
              <w:t>-1.94%</w:t>
            </w:r>
          </w:p>
        </w:tc>
      </w:tr>
      <w:tr w:rsidR="007E15D2" w:rsidRPr="007E15D2" w14:paraId="70B7CC16" w14:textId="77777777" w:rsidTr="007E15D2">
        <w:trPr>
          <w:tblCellSpacing w:w="15" w:type="dxa"/>
        </w:trPr>
        <w:tc>
          <w:tcPr>
            <w:tcW w:w="0" w:type="auto"/>
            <w:vAlign w:val="center"/>
            <w:hideMark/>
          </w:tcPr>
          <w:p w14:paraId="6CE31ECA"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6-month return</w:t>
            </w:r>
          </w:p>
        </w:tc>
        <w:tc>
          <w:tcPr>
            <w:tcW w:w="0" w:type="auto"/>
            <w:vAlign w:val="center"/>
            <w:hideMark/>
          </w:tcPr>
          <w:p w14:paraId="6021188D"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b/>
                <w:bCs/>
                <w:sz w:val="24"/>
                <w:szCs w:val="24"/>
                <w:lang w:eastAsia="en-IN"/>
              </w:rPr>
              <w:t>+8.24%</w:t>
            </w:r>
          </w:p>
        </w:tc>
      </w:tr>
      <w:tr w:rsidR="007E15D2" w:rsidRPr="007E15D2" w14:paraId="3168DEA3" w14:textId="77777777" w:rsidTr="007E15D2">
        <w:trPr>
          <w:tblCellSpacing w:w="15" w:type="dxa"/>
        </w:trPr>
        <w:tc>
          <w:tcPr>
            <w:tcW w:w="0" w:type="auto"/>
            <w:vAlign w:val="center"/>
            <w:hideMark/>
          </w:tcPr>
          <w:p w14:paraId="561D534A"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12-month return</w:t>
            </w:r>
          </w:p>
        </w:tc>
        <w:tc>
          <w:tcPr>
            <w:tcW w:w="0" w:type="auto"/>
            <w:vAlign w:val="center"/>
            <w:hideMark/>
          </w:tcPr>
          <w:p w14:paraId="3E111BEB"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b/>
                <w:bCs/>
                <w:sz w:val="24"/>
                <w:szCs w:val="24"/>
                <w:lang w:eastAsia="en-IN"/>
              </w:rPr>
              <w:t>+28.24%</w:t>
            </w:r>
          </w:p>
        </w:tc>
      </w:tr>
      <w:tr w:rsidR="007E15D2" w:rsidRPr="007E15D2" w14:paraId="4BA33865" w14:textId="77777777" w:rsidTr="007E15D2">
        <w:trPr>
          <w:tblCellSpacing w:w="15" w:type="dxa"/>
        </w:trPr>
        <w:tc>
          <w:tcPr>
            <w:tcW w:w="0" w:type="auto"/>
            <w:vAlign w:val="center"/>
            <w:hideMark/>
          </w:tcPr>
          <w:p w14:paraId="1F31EC02"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6-month annualized volatility</w:t>
            </w:r>
          </w:p>
        </w:tc>
        <w:tc>
          <w:tcPr>
            <w:tcW w:w="0" w:type="auto"/>
            <w:vAlign w:val="center"/>
            <w:hideMark/>
          </w:tcPr>
          <w:p w14:paraId="5937C591"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b/>
                <w:bCs/>
                <w:sz w:val="24"/>
                <w:szCs w:val="24"/>
                <w:lang w:eastAsia="en-IN"/>
              </w:rPr>
              <w:t>13.84%</w:t>
            </w:r>
          </w:p>
        </w:tc>
      </w:tr>
      <w:tr w:rsidR="007E15D2" w:rsidRPr="007E15D2" w14:paraId="20970A47" w14:textId="77777777" w:rsidTr="007E15D2">
        <w:trPr>
          <w:tblCellSpacing w:w="15" w:type="dxa"/>
        </w:trPr>
        <w:tc>
          <w:tcPr>
            <w:tcW w:w="0" w:type="auto"/>
            <w:vAlign w:val="center"/>
            <w:hideMark/>
          </w:tcPr>
          <w:p w14:paraId="4FB76A09"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12-month drawdown</w:t>
            </w:r>
          </w:p>
        </w:tc>
        <w:tc>
          <w:tcPr>
            <w:tcW w:w="0" w:type="auto"/>
            <w:vAlign w:val="center"/>
            <w:hideMark/>
          </w:tcPr>
          <w:p w14:paraId="4A6BB1F6"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b/>
                <w:bCs/>
                <w:sz w:val="24"/>
                <w:szCs w:val="24"/>
                <w:lang w:eastAsia="en-IN"/>
              </w:rPr>
              <w:t>-5.21%</w:t>
            </w:r>
          </w:p>
        </w:tc>
      </w:tr>
    </w:tbl>
    <w:p w14:paraId="5D720C73"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 important mathematical feature is the combination:</w:t>
      </w:r>
    </w:p>
    <w:p w14:paraId="7B547CA1"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b/>
          <w:bCs/>
          <w:sz w:val="24"/>
          <w:szCs w:val="24"/>
          <w:lang w:eastAsia="en-IN"/>
        </w:rPr>
        <w:t>strong one-year trend + modest short-term correction</w:t>
      </w:r>
      <w:r w:rsidRPr="007E15D2">
        <w:rPr>
          <w:rFonts w:ascii="Times New Roman" w:eastAsia="Times New Roman" w:hAnsi="Times New Roman" w:cs="Times New Roman"/>
          <w:sz w:val="24"/>
          <w:szCs w:val="24"/>
          <w:lang w:eastAsia="en-IN"/>
        </w:rPr>
        <w:t>.</w:t>
      </w:r>
    </w:p>
    <w:p w14:paraId="733E190E"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 frozen model produced:</w:t>
      </w:r>
    </w:p>
    <w:p w14:paraId="305435EF"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Y^Oct24=+7.48%\boxed{\hat Y_{Oct24}=+7.48\%} </w:t>
      </w:r>
    </w:p>
    <w:p w14:paraId="29A5D171"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So its implied six-month endpoint was approximately:</w:t>
      </w:r>
    </w:p>
    <w:p w14:paraId="596097B1"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24,466.85×1.0748≈26,29724,466.85\times1.0748 \approx26,297 </w:t>
      </w:r>
    </w:p>
    <w:p w14:paraId="69A8519E" w14:textId="77777777" w:rsidR="007E15D2" w:rsidRPr="007E15D2" w:rsidRDefault="007E15D2" w:rsidP="007E15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15D2">
        <w:rPr>
          <w:rFonts w:ascii="Times New Roman" w:eastAsia="Times New Roman" w:hAnsi="Times New Roman" w:cs="Times New Roman"/>
          <w:b/>
          <w:bCs/>
          <w:sz w:val="27"/>
          <w:szCs w:val="27"/>
          <w:lang w:eastAsia="en-IN"/>
        </w:rPr>
        <w:t>What actually happened?</w:t>
      </w:r>
    </w:p>
    <w:p w14:paraId="794FFEF3"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On </w:t>
      </w:r>
      <w:r w:rsidRPr="007E15D2">
        <w:rPr>
          <w:rFonts w:ascii="Times New Roman" w:eastAsia="Times New Roman" w:hAnsi="Times New Roman" w:cs="Times New Roman"/>
          <w:b/>
          <w:bCs/>
          <w:sz w:val="24"/>
          <w:szCs w:val="24"/>
          <w:lang w:eastAsia="en-IN"/>
        </w:rPr>
        <w:t>29 April 2025</w:t>
      </w:r>
      <w:r w:rsidRPr="007E15D2">
        <w:rPr>
          <w:rFonts w:ascii="Times New Roman" w:eastAsia="Times New Roman" w:hAnsi="Times New Roman" w:cs="Times New Roman"/>
          <w:sz w:val="24"/>
          <w:szCs w:val="24"/>
          <w:lang w:eastAsia="en-IN"/>
        </w:rPr>
        <w:t xml:space="preserve">, Nifty closed at </w:t>
      </w:r>
      <w:r w:rsidRPr="007E15D2">
        <w:rPr>
          <w:rFonts w:ascii="Times New Roman" w:eastAsia="Times New Roman" w:hAnsi="Times New Roman" w:cs="Times New Roman"/>
          <w:b/>
          <w:bCs/>
          <w:sz w:val="24"/>
          <w:szCs w:val="24"/>
          <w:lang w:eastAsia="en-IN"/>
        </w:rPr>
        <w:t>24,335.95</w:t>
      </w:r>
      <w:r w:rsidRPr="007E15D2">
        <w:rPr>
          <w:rFonts w:ascii="Times New Roman" w:eastAsia="Times New Roman" w:hAnsi="Times New Roman" w:cs="Times New Roman"/>
          <w:sz w:val="24"/>
          <w:szCs w:val="24"/>
          <w:lang w:eastAsia="en-IN"/>
        </w:rPr>
        <w:t xml:space="preserve">. </w:t>
      </w:r>
    </w:p>
    <w:p w14:paraId="0CF4A758"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Therefore:</w:t>
      </w:r>
    </w:p>
    <w:p w14:paraId="20C48036"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Yactual=24,335.9524,466.85−1=−0.535%Y_{actual} = \frac{24,335.95}{24,466.85}-1 = \boxed{-0.535\%} </w:t>
      </w:r>
    </w:p>
    <w:p w14:paraId="2D7755A9"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8"/>
        <w:gridCol w:w="902"/>
      </w:tblGrid>
      <w:tr w:rsidR="007E15D2" w:rsidRPr="007E15D2" w14:paraId="41FC9FA9" w14:textId="77777777" w:rsidTr="007E15D2">
        <w:trPr>
          <w:tblHeader/>
          <w:tblCellSpacing w:w="15" w:type="dxa"/>
        </w:trPr>
        <w:tc>
          <w:tcPr>
            <w:tcW w:w="0" w:type="auto"/>
            <w:vAlign w:val="center"/>
            <w:hideMark/>
          </w:tcPr>
          <w:p w14:paraId="561DF728" w14:textId="77777777" w:rsidR="007E15D2" w:rsidRPr="007E15D2" w:rsidRDefault="007E15D2" w:rsidP="007E15D2">
            <w:pPr>
              <w:spacing w:after="0" w:line="240" w:lineRule="auto"/>
              <w:jc w:val="center"/>
              <w:rPr>
                <w:rFonts w:ascii="Times New Roman" w:eastAsia="Times New Roman" w:hAnsi="Times New Roman" w:cs="Times New Roman"/>
                <w:b/>
                <w:bCs/>
                <w:sz w:val="24"/>
                <w:szCs w:val="24"/>
                <w:lang w:eastAsia="en-IN"/>
              </w:rPr>
            </w:pPr>
            <w:r w:rsidRPr="007E15D2">
              <w:rPr>
                <w:rFonts w:ascii="Times New Roman" w:eastAsia="Times New Roman" w:hAnsi="Times New Roman" w:cs="Times New Roman"/>
                <w:b/>
                <w:bCs/>
                <w:sz w:val="24"/>
                <w:szCs w:val="24"/>
                <w:lang w:eastAsia="en-IN"/>
              </w:rPr>
              <w:t>29-Oct-2024 experiment</w:t>
            </w:r>
          </w:p>
        </w:tc>
        <w:tc>
          <w:tcPr>
            <w:tcW w:w="0" w:type="auto"/>
            <w:vAlign w:val="center"/>
            <w:hideMark/>
          </w:tcPr>
          <w:p w14:paraId="569F8D4D" w14:textId="77777777" w:rsidR="007E15D2" w:rsidRPr="007E15D2" w:rsidRDefault="007E15D2" w:rsidP="007E15D2">
            <w:pPr>
              <w:spacing w:after="0" w:line="240" w:lineRule="auto"/>
              <w:jc w:val="center"/>
              <w:rPr>
                <w:rFonts w:ascii="Times New Roman" w:eastAsia="Times New Roman" w:hAnsi="Times New Roman" w:cs="Times New Roman"/>
                <w:b/>
                <w:bCs/>
                <w:sz w:val="24"/>
                <w:szCs w:val="24"/>
                <w:lang w:eastAsia="en-IN"/>
              </w:rPr>
            </w:pPr>
            <w:r w:rsidRPr="007E15D2">
              <w:rPr>
                <w:rFonts w:ascii="Times New Roman" w:eastAsia="Times New Roman" w:hAnsi="Times New Roman" w:cs="Times New Roman"/>
                <w:b/>
                <w:bCs/>
                <w:sz w:val="24"/>
                <w:szCs w:val="24"/>
                <w:lang w:eastAsia="en-IN"/>
              </w:rPr>
              <w:t>Result</w:t>
            </w:r>
          </w:p>
        </w:tc>
      </w:tr>
      <w:tr w:rsidR="007E15D2" w:rsidRPr="007E15D2" w14:paraId="7762B35D" w14:textId="77777777" w:rsidTr="007E15D2">
        <w:trPr>
          <w:tblCellSpacing w:w="15" w:type="dxa"/>
        </w:trPr>
        <w:tc>
          <w:tcPr>
            <w:tcW w:w="0" w:type="auto"/>
            <w:vAlign w:val="center"/>
            <w:hideMark/>
          </w:tcPr>
          <w:p w14:paraId="1385E453"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Model prediction</w:t>
            </w:r>
          </w:p>
        </w:tc>
        <w:tc>
          <w:tcPr>
            <w:tcW w:w="0" w:type="auto"/>
            <w:vAlign w:val="center"/>
            <w:hideMark/>
          </w:tcPr>
          <w:p w14:paraId="1294F409"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b/>
                <w:bCs/>
                <w:sz w:val="24"/>
                <w:szCs w:val="24"/>
                <w:lang w:eastAsia="en-IN"/>
              </w:rPr>
              <w:t>+7.48%</w:t>
            </w:r>
          </w:p>
        </w:tc>
      </w:tr>
      <w:tr w:rsidR="007E15D2" w:rsidRPr="007E15D2" w14:paraId="5A0EBE4C" w14:textId="77777777" w:rsidTr="007E15D2">
        <w:trPr>
          <w:tblCellSpacing w:w="15" w:type="dxa"/>
        </w:trPr>
        <w:tc>
          <w:tcPr>
            <w:tcW w:w="0" w:type="auto"/>
            <w:vAlign w:val="center"/>
            <w:hideMark/>
          </w:tcPr>
          <w:p w14:paraId="2087FC89"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Actual</w:t>
            </w:r>
          </w:p>
        </w:tc>
        <w:tc>
          <w:tcPr>
            <w:tcW w:w="0" w:type="auto"/>
            <w:vAlign w:val="center"/>
            <w:hideMark/>
          </w:tcPr>
          <w:p w14:paraId="1BEFD017"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b/>
                <w:bCs/>
                <w:sz w:val="24"/>
                <w:szCs w:val="24"/>
                <w:lang w:eastAsia="en-IN"/>
              </w:rPr>
              <w:t>-0.54%</w:t>
            </w:r>
          </w:p>
        </w:tc>
      </w:tr>
      <w:tr w:rsidR="007E15D2" w:rsidRPr="007E15D2" w14:paraId="65C397AC" w14:textId="77777777" w:rsidTr="007E15D2">
        <w:trPr>
          <w:tblCellSpacing w:w="15" w:type="dxa"/>
        </w:trPr>
        <w:tc>
          <w:tcPr>
            <w:tcW w:w="0" w:type="auto"/>
            <w:vAlign w:val="center"/>
            <w:hideMark/>
          </w:tcPr>
          <w:p w14:paraId="02A74F71"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Prediction error</w:t>
            </w:r>
          </w:p>
        </w:tc>
        <w:tc>
          <w:tcPr>
            <w:tcW w:w="0" w:type="auto"/>
            <w:vAlign w:val="center"/>
            <w:hideMark/>
          </w:tcPr>
          <w:p w14:paraId="679F4FC1"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b/>
                <w:bCs/>
                <w:sz w:val="24"/>
                <w:szCs w:val="24"/>
                <w:lang w:eastAsia="en-IN"/>
              </w:rPr>
              <w:t>-8.02 pp</w:t>
            </w:r>
          </w:p>
        </w:tc>
      </w:tr>
      <w:tr w:rsidR="007E15D2" w:rsidRPr="007E15D2" w14:paraId="3142A7EF" w14:textId="77777777" w:rsidTr="007E15D2">
        <w:trPr>
          <w:tblCellSpacing w:w="15" w:type="dxa"/>
        </w:trPr>
        <w:tc>
          <w:tcPr>
            <w:tcW w:w="0" w:type="auto"/>
            <w:vAlign w:val="center"/>
            <w:hideMark/>
          </w:tcPr>
          <w:p w14:paraId="1B9E9C4B"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Predicted endpoint</w:t>
            </w:r>
          </w:p>
        </w:tc>
        <w:tc>
          <w:tcPr>
            <w:tcW w:w="0" w:type="auto"/>
            <w:vAlign w:val="center"/>
            <w:hideMark/>
          </w:tcPr>
          <w:p w14:paraId="2EDEB7EC"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~26,297</w:t>
            </w:r>
          </w:p>
        </w:tc>
      </w:tr>
      <w:tr w:rsidR="007E15D2" w:rsidRPr="007E15D2" w14:paraId="26D213AE" w14:textId="77777777" w:rsidTr="007E15D2">
        <w:trPr>
          <w:tblCellSpacing w:w="15" w:type="dxa"/>
        </w:trPr>
        <w:tc>
          <w:tcPr>
            <w:tcW w:w="0" w:type="auto"/>
            <w:vAlign w:val="center"/>
            <w:hideMark/>
          </w:tcPr>
          <w:p w14:paraId="65315570"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Actual endpoint</w:t>
            </w:r>
          </w:p>
        </w:tc>
        <w:tc>
          <w:tcPr>
            <w:tcW w:w="0" w:type="auto"/>
            <w:vAlign w:val="center"/>
            <w:hideMark/>
          </w:tcPr>
          <w:p w14:paraId="30A78CD2"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24,336</w:t>
            </w:r>
          </w:p>
        </w:tc>
      </w:tr>
    </w:tbl>
    <w:p w14:paraId="6449C74F"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 model was directionally wrong on the six-month return.</w:t>
      </w:r>
    </w:p>
    <w:p w14:paraId="7D701E60"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More importantly, this was not just a tiny numerical miss. It made a fairly strong positive prediction while the market ultimately went slightly negative.</w:t>
      </w:r>
    </w:p>
    <w:p w14:paraId="514A52AB"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lastRenderedPageBreak/>
        <w:pict w14:anchorId="54BFD28A">
          <v:rect id="_x0000_i1029" style="width:0;height:1.5pt" o:hralign="center" o:hrstd="t" o:hr="t" fillcolor="#a0a0a0" stroked="f"/>
        </w:pict>
      </w:r>
    </w:p>
    <w:p w14:paraId="2B524576" w14:textId="77777777" w:rsidR="007E15D2" w:rsidRPr="007E15D2" w:rsidRDefault="007E15D2" w:rsidP="007E15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E15D2">
        <w:rPr>
          <w:rFonts w:ascii="Times New Roman" w:eastAsia="Times New Roman" w:hAnsi="Times New Roman" w:cs="Times New Roman"/>
          <w:b/>
          <w:bCs/>
          <w:kern w:val="36"/>
          <w:sz w:val="48"/>
          <w:szCs w:val="48"/>
          <w:lang w:eastAsia="en-IN"/>
        </w:rPr>
        <w:t>6. First correction</w:t>
      </w:r>
    </w:p>
    <w:p w14:paraId="0E3F8375"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Now we are allowed to use the result of experiment #1.</w:t>
      </w:r>
    </w:p>
    <w:p w14:paraId="35A2CCD6"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I do </w:t>
      </w:r>
      <w:r w:rsidRPr="007E15D2">
        <w:rPr>
          <w:rFonts w:ascii="Times New Roman" w:eastAsia="Times New Roman" w:hAnsi="Times New Roman" w:cs="Times New Roman"/>
          <w:b/>
          <w:bCs/>
          <w:sz w:val="24"/>
          <w:szCs w:val="24"/>
          <w:lang w:eastAsia="en-IN"/>
        </w:rPr>
        <w:t>not</w:t>
      </w:r>
      <w:r w:rsidRPr="007E15D2">
        <w:rPr>
          <w:rFonts w:ascii="Times New Roman" w:eastAsia="Times New Roman" w:hAnsi="Times New Roman" w:cs="Times New Roman"/>
          <w:sz w:val="24"/>
          <w:szCs w:val="24"/>
          <w:lang w:eastAsia="en-IN"/>
        </w:rPr>
        <w:t xml:space="preserve"> want to throw the original model away, because that would make the algorithm unstable.</w:t>
      </w:r>
    </w:p>
    <w:p w14:paraId="41990376"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Instead I add a small adaptive bias term:</w:t>
      </w:r>
    </w:p>
    <w:p w14:paraId="262697EA"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Bt=(1−γ)Bt−1+γetB_t=(1-\gamma)B_{t-1} +\gamma e_t </w:t>
      </w:r>
    </w:p>
    <w:p w14:paraId="319EC1E0"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where</w:t>
      </w:r>
    </w:p>
    <w:p w14:paraId="32808E5C"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et=Yt−Y^te_t=Y_t-\hat Y_t </w:t>
      </w:r>
    </w:p>
    <w:p w14:paraId="08E22D0D"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and I use</w:t>
      </w:r>
    </w:p>
    <w:p w14:paraId="67E70617"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γ=0.25\gamma=0.25 </w:t>
      </w:r>
    </w:p>
    <w:p w14:paraId="24E18D4E"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as a conservative learning rate.</w:t>
      </w:r>
    </w:p>
    <w:p w14:paraId="7BF6A0DB"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For experiment #1:</w:t>
      </w:r>
    </w:p>
    <w:p w14:paraId="3F85E240"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e1=−0.535%−7.482%≈−8.02%e_1=-0.535\%-7.482\% \approx-8.02\% </w:t>
      </w:r>
    </w:p>
    <w:p w14:paraId="0E459249"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so:</w:t>
      </w:r>
    </w:p>
    <w:p w14:paraId="1E09B69D"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B1=0.25(−8.02%)≈−2.00%B_1=0.25(-8.02\%) \approx\boxed{-2.00\%} </w:t>
      </w:r>
    </w:p>
    <w:p w14:paraId="75AF726F"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Interpretation:</w:t>
      </w:r>
    </w:p>
    <w:p w14:paraId="66C5FE83"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 new algorithm says:</w:t>
      </w:r>
    </w:p>
    <w:p w14:paraId="54C1E0E6" w14:textId="77777777" w:rsidR="007E15D2" w:rsidRPr="007E15D2" w:rsidRDefault="007E15D2" w:rsidP="007E15D2">
      <w:pPr>
        <w:spacing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 core mathematical model seems to be systematically too optimistic, but do not assume the entire -8% error will happen again."</w:t>
      </w:r>
    </w:p>
    <w:p w14:paraId="2CDDB451"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That's a more stable correction than simply subtracting the entire historical miss.</w:t>
      </w:r>
    </w:p>
    <w:p w14:paraId="505B5C52"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pict w14:anchorId="5DFCEA66">
          <v:rect id="_x0000_i1030" style="width:0;height:1.5pt" o:hralign="center" o:hrstd="t" o:hr="t" fillcolor="#a0a0a0" stroked="f"/>
        </w:pict>
      </w:r>
    </w:p>
    <w:p w14:paraId="5BF187E9" w14:textId="77777777" w:rsidR="007E15D2" w:rsidRPr="007E15D2" w:rsidRDefault="007E15D2" w:rsidP="007E15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E15D2">
        <w:rPr>
          <w:rFonts w:ascii="Times New Roman" w:eastAsia="Times New Roman" w:hAnsi="Times New Roman" w:cs="Times New Roman"/>
          <w:b/>
          <w:bCs/>
          <w:kern w:val="36"/>
          <w:sz w:val="48"/>
          <w:szCs w:val="48"/>
          <w:lang w:eastAsia="en-IN"/>
        </w:rPr>
        <w:t>7. Historical experiment #2 — freeze at 29 October 2025</w:t>
      </w:r>
    </w:p>
    <w:p w14:paraId="5BF7D27B"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The Nifty close on </w:t>
      </w:r>
      <w:r w:rsidRPr="007E15D2">
        <w:rPr>
          <w:rFonts w:ascii="Times New Roman" w:eastAsia="Times New Roman" w:hAnsi="Times New Roman" w:cs="Times New Roman"/>
          <w:b/>
          <w:bCs/>
          <w:sz w:val="24"/>
          <w:szCs w:val="24"/>
          <w:lang w:eastAsia="en-IN"/>
        </w:rPr>
        <w:t>29 October 2025 was 26,053.90</w:t>
      </w:r>
      <w:r w:rsidRPr="007E15D2">
        <w:rPr>
          <w:rFonts w:ascii="Times New Roman" w:eastAsia="Times New Roman" w:hAnsi="Times New Roman" w:cs="Times New Roman"/>
          <w:sz w:val="24"/>
          <w:szCs w:val="24"/>
          <w:lang w:eastAsia="en-IN"/>
        </w:rPr>
        <w:t xml:space="preserve">. </w:t>
      </w:r>
    </w:p>
    <w:p w14:paraId="4D52948C"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lastRenderedPageBreak/>
        <w:t>Using information available at that point, the state vector was approximately: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5"/>
        <w:gridCol w:w="872"/>
      </w:tblGrid>
      <w:tr w:rsidR="007E15D2" w:rsidRPr="007E15D2" w14:paraId="40C13DB1" w14:textId="77777777" w:rsidTr="007E15D2">
        <w:trPr>
          <w:tblHeader/>
          <w:tblCellSpacing w:w="15" w:type="dxa"/>
        </w:trPr>
        <w:tc>
          <w:tcPr>
            <w:tcW w:w="0" w:type="auto"/>
            <w:vAlign w:val="center"/>
            <w:hideMark/>
          </w:tcPr>
          <w:p w14:paraId="74198CDB" w14:textId="77777777" w:rsidR="007E15D2" w:rsidRPr="007E15D2" w:rsidRDefault="007E15D2" w:rsidP="007E15D2">
            <w:pPr>
              <w:spacing w:after="0" w:line="240" w:lineRule="auto"/>
              <w:jc w:val="center"/>
              <w:rPr>
                <w:rFonts w:ascii="Times New Roman" w:eastAsia="Times New Roman" w:hAnsi="Times New Roman" w:cs="Times New Roman"/>
                <w:b/>
                <w:bCs/>
                <w:sz w:val="24"/>
                <w:szCs w:val="24"/>
                <w:lang w:eastAsia="en-IN"/>
              </w:rPr>
            </w:pPr>
            <w:r w:rsidRPr="007E15D2">
              <w:rPr>
                <w:rFonts w:ascii="Times New Roman" w:eastAsia="Times New Roman" w:hAnsi="Times New Roman" w:cs="Times New Roman"/>
                <w:b/>
                <w:bCs/>
                <w:sz w:val="24"/>
                <w:szCs w:val="24"/>
                <w:lang w:eastAsia="en-IN"/>
              </w:rPr>
              <w:t>Variable</w:t>
            </w:r>
          </w:p>
        </w:tc>
        <w:tc>
          <w:tcPr>
            <w:tcW w:w="0" w:type="auto"/>
            <w:vAlign w:val="center"/>
            <w:hideMark/>
          </w:tcPr>
          <w:p w14:paraId="133DB123" w14:textId="77777777" w:rsidR="007E15D2" w:rsidRPr="007E15D2" w:rsidRDefault="007E15D2" w:rsidP="007E15D2">
            <w:pPr>
              <w:spacing w:after="0" w:line="240" w:lineRule="auto"/>
              <w:jc w:val="center"/>
              <w:rPr>
                <w:rFonts w:ascii="Times New Roman" w:eastAsia="Times New Roman" w:hAnsi="Times New Roman" w:cs="Times New Roman"/>
                <w:b/>
                <w:bCs/>
                <w:sz w:val="24"/>
                <w:szCs w:val="24"/>
                <w:lang w:eastAsia="en-IN"/>
              </w:rPr>
            </w:pPr>
            <w:r w:rsidRPr="007E15D2">
              <w:rPr>
                <w:rFonts w:ascii="Times New Roman" w:eastAsia="Times New Roman" w:hAnsi="Times New Roman" w:cs="Times New Roman"/>
                <w:b/>
                <w:bCs/>
                <w:sz w:val="24"/>
                <w:szCs w:val="24"/>
                <w:lang w:eastAsia="en-IN"/>
              </w:rPr>
              <w:t>Value</w:t>
            </w:r>
          </w:p>
        </w:tc>
      </w:tr>
      <w:tr w:rsidR="007E15D2" w:rsidRPr="007E15D2" w14:paraId="32BE7B81" w14:textId="77777777" w:rsidTr="007E15D2">
        <w:trPr>
          <w:tblCellSpacing w:w="15" w:type="dxa"/>
        </w:trPr>
        <w:tc>
          <w:tcPr>
            <w:tcW w:w="0" w:type="auto"/>
            <w:vAlign w:val="center"/>
            <w:hideMark/>
          </w:tcPr>
          <w:p w14:paraId="50688F0F"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3-month return</w:t>
            </w:r>
          </w:p>
        </w:tc>
        <w:tc>
          <w:tcPr>
            <w:tcW w:w="0" w:type="auto"/>
            <w:vAlign w:val="center"/>
            <w:hideMark/>
          </w:tcPr>
          <w:p w14:paraId="56451188"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b/>
                <w:bCs/>
                <w:sz w:val="24"/>
                <w:szCs w:val="24"/>
                <w:lang w:eastAsia="en-IN"/>
              </w:rPr>
              <w:t>+5.19%</w:t>
            </w:r>
          </w:p>
        </w:tc>
      </w:tr>
      <w:tr w:rsidR="007E15D2" w:rsidRPr="007E15D2" w14:paraId="44E000F1" w14:textId="77777777" w:rsidTr="007E15D2">
        <w:trPr>
          <w:tblCellSpacing w:w="15" w:type="dxa"/>
        </w:trPr>
        <w:tc>
          <w:tcPr>
            <w:tcW w:w="0" w:type="auto"/>
            <w:vAlign w:val="center"/>
            <w:hideMark/>
          </w:tcPr>
          <w:p w14:paraId="5094C952"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6-month return</w:t>
            </w:r>
          </w:p>
        </w:tc>
        <w:tc>
          <w:tcPr>
            <w:tcW w:w="0" w:type="auto"/>
            <w:vAlign w:val="center"/>
            <w:hideMark/>
          </w:tcPr>
          <w:p w14:paraId="76FC373C"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b/>
                <w:bCs/>
                <w:sz w:val="24"/>
                <w:szCs w:val="24"/>
                <w:lang w:eastAsia="en-IN"/>
              </w:rPr>
              <w:t>+7.07%</w:t>
            </w:r>
          </w:p>
        </w:tc>
      </w:tr>
      <w:tr w:rsidR="007E15D2" w:rsidRPr="007E15D2" w14:paraId="2FF4B7FC" w14:textId="77777777" w:rsidTr="007E15D2">
        <w:trPr>
          <w:tblCellSpacing w:w="15" w:type="dxa"/>
        </w:trPr>
        <w:tc>
          <w:tcPr>
            <w:tcW w:w="0" w:type="auto"/>
            <w:vAlign w:val="center"/>
            <w:hideMark/>
          </w:tcPr>
          <w:p w14:paraId="6090F909"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12-month return</w:t>
            </w:r>
          </w:p>
        </w:tc>
        <w:tc>
          <w:tcPr>
            <w:tcW w:w="0" w:type="auto"/>
            <w:vAlign w:val="center"/>
            <w:hideMark/>
          </w:tcPr>
          <w:p w14:paraId="34AEC628"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b/>
                <w:bCs/>
                <w:sz w:val="24"/>
                <w:szCs w:val="24"/>
                <w:lang w:eastAsia="en-IN"/>
              </w:rPr>
              <w:t>+7.64%</w:t>
            </w:r>
          </w:p>
        </w:tc>
      </w:tr>
      <w:tr w:rsidR="007E15D2" w:rsidRPr="007E15D2" w14:paraId="7C002C85" w14:textId="77777777" w:rsidTr="007E15D2">
        <w:trPr>
          <w:tblCellSpacing w:w="15" w:type="dxa"/>
        </w:trPr>
        <w:tc>
          <w:tcPr>
            <w:tcW w:w="0" w:type="auto"/>
            <w:vAlign w:val="center"/>
            <w:hideMark/>
          </w:tcPr>
          <w:p w14:paraId="5A431503"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6-month annualized volatility</w:t>
            </w:r>
          </w:p>
        </w:tc>
        <w:tc>
          <w:tcPr>
            <w:tcW w:w="0" w:type="auto"/>
            <w:vAlign w:val="center"/>
            <w:hideMark/>
          </w:tcPr>
          <w:p w14:paraId="5A8A0574"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b/>
                <w:bCs/>
                <w:sz w:val="24"/>
                <w:szCs w:val="24"/>
                <w:lang w:eastAsia="en-IN"/>
              </w:rPr>
              <w:t>10.88%</w:t>
            </w:r>
          </w:p>
        </w:tc>
      </w:tr>
      <w:tr w:rsidR="007E15D2" w:rsidRPr="007E15D2" w14:paraId="2FB559BD" w14:textId="77777777" w:rsidTr="007E15D2">
        <w:trPr>
          <w:tblCellSpacing w:w="15" w:type="dxa"/>
        </w:trPr>
        <w:tc>
          <w:tcPr>
            <w:tcW w:w="0" w:type="auto"/>
            <w:vAlign w:val="center"/>
            <w:hideMark/>
          </w:tcPr>
          <w:p w14:paraId="2DB8F469"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12-month drawdown</w:t>
            </w:r>
          </w:p>
        </w:tc>
        <w:tc>
          <w:tcPr>
            <w:tcW w:w="0" w:type="auto"/>
            <w:vAlign w:val="center"/>
            <w:hideMark/>
          </w:tcPr>
          <w:p w14:paraId="2B8530FE"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b/>
                <w:bCs/>
                <w:sz w:val="24"/>
                <w:szCs w:val="24"/>
                <w:lang w:eastAsia="en-IN"/>
              </w:rPr>
              <w:t>0.00%</w:t>
            </w:r>
          </w:p>
        </w:tc>
      </w:tr>
    </w:tbl>
    <w:p w14:paraId="5B407CDA"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This is a very different mathematical state from October 2024:</w:t>
      </w:r>
    </w:p>
    <w:p w14:paraId="5402A530" w14:textId="77777777" w:rsidR="007E15D2" w:rsidRPr="007E15D2" w:rsidRDefault="007E15D2" w:rsidP="007E15D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positive 3/6/12-month momentum, </w:t>
      </w:r>
    </w:p>
    <w:p w14:paraId="04881528" w14:textId="77777777" w:rsidR="007E15D2" w:rsidRPr="007E15D2" w:rsidRDefault="007E15D2" w:rsidP="007E15D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low volatility, </w:t>
      </w:r>
    </w:p>
    <w:p w14:paraId="73A05687" w14:textId="77777777" w:rsidR="007E15D2" w:rsidRPr="007E15D2" w:rsidRDefault="007E15D2" w:rsidP="007E15D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market near its recent high. </w:t>
      </w:r>
    </w:p>
    <w:p w14:paraId="69245F51"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 freshly refitted ridge model gave:</w:t>
      </w:r>
    </w:p>
    <w:p w14:paraId="3369A462"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Y^raw=+6.87%\hat Y_{raw}=+6.87\% </w:t>
      </w:r>
    </w:p>
    <w:p w14:paraId="76D40409"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Then we applied the bias correction learned from experiment #1:</w:t>
      </w:r>
    </w:p>
    <w:p w14:paraId="3EABD591"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Y^corrected=6.87%−2.00%\hat Y_{corrected} = 6.87\%-2.00\% </w:t>
      </w:r>
    </w:p>
    <w:p w14:paraId="612CDEBC"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giving:</w:t>
      </w:r>
    </w:p>
    <w:p w14:paraId="1169C1F1"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Y^Oct25=+4.86%\boxed{\hat Y_{Oct25}=+4.86\%} </w:t>
      </w:r>
    </w:p>
    <w:p w14:paraId="214206C1"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Implied Nifty level:</w:t>
      </w:r>
    </w:p>
    <w:p w14:paraId="7D09E989"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26,053.90×1.0486≈27,32126,053.90\times1.0486 \approx27,321 </w:t>
      </w:r>
    </w:p>
    <w:p w14:paraId="00511B4B"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pict w14:anchorId="4AB924F8">
          <v:rect id="_x0000_i1031" style="width:0;height:1.5pt" o:hralign="center" o:hrstd="t" o:hr="t" fillcolor="#a0a0a0" stroked="f"/>
        </w:pict>
      </w:r>
    </w:p>
    <w:p w14:paraId="4290BCBA" w14:textId="77777777" w:rsidR="007E15D2" w:rsidRPr="007E15D2" w:rsidRDefault="007E15D2" w:rsidP="007E15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E15D2">
        <w:rPr>
          <w:rFonts w:ascii="Times New Roman" w:eastAsia="Times New Roman" w:hAnsi="Times New Roman" w:cs="Times New Roman"/>
          <w:b/>
          <w:bCs/>
          <w:kern w:val="36"/>
          <w:sz w:val="48"/>
          <w:szCs w:val="48"/>
          <w:lang w:eastAsia="en-IN"/>
        </w:rPr>
        <w:t>8. What actually happened after 29 October 2025?</w:t>
      </w:r>
    </w:p>
    <w:p w14:paraId="45A4F30E"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On </w:t>
      </w:r>
      <w:r w:rsidRPr="007E15D2">
        <w:rPr>
          <w:rFonts w:ascii="Times New Roman" w:eastAsia="Times New Roman" w:hAnsi="Times New Roman" w:cs="Times New Roman"/>
          <w:b/>
          <w:bCs/>
          <w:sz w:val="24"/>
          <w:szCs w:val="24"/>
          <w:lang w:eastAsia="en-IN"/>
        </w:rPr>
        <w:t>29 April 2026</w:t>
      </w:r>
      <w:r w:rsidRPr="007E15D2">
        <w:rPr>
          <w:rFonts w:ascii="Times New Roman" w:eastAsia="Times New Roman" w:hAnsi="Times New Roman" w:cs="Times New Roman"/>
          <w:sz w:val="24"/>
          <w:szCs w:val="24"/>
          <w:lang w:eastAsia="en-IN"/>
        </w:rPr>
        <w:t xml:space="preserve">, Nifty closed at </w:t>
      </w:r>
      <w:r w:rsidRPr="007E15D2">
        <w:rPr>
          <w:rFonts w:ascii="Times New Roman" w:eastAsia="Times New Roman" w:hAnsi="Times New Roman" w:cs="Times New Roman"/>
          <w:b/>
          <w:bCs/>
          <w:sz w:val="24"/>
          <w:szCs w:val="24"/>
          <w:lang w:eastAsia="en-IN"/>
        </w:rPr>
        <w:t>24,177.65</w:t>
      </w:r>
      <w:r w:rsidRPr="007E15D2">
        <w:rPr>
          <w:rFonts w:ascii="Times New Roman" w:eastAsia="Times New Roman" w:hAnsi="Times New Roman" w:cs="Times New Roman"/>
          <w:sz w:val="24"/>
          <w:szCs w:val="24"/>
          <w:lang w:eastAsia="en-IN"/>
        </w:rPr>
        <w:t xml:space="preserve">. The government market-monitor data also records 24,177.65 for that date. </w:t>
      </w:r>
    </w:p>
    <w:p w14:paraId="640D2CE3"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Therefore:</w:t>
      </w:r>
    </w:p>
    <w:p w14:paraId="687FE145"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Yactual=24,177.6526,053.90−1=−7.20%Y_{actual} = \frac{24,177.65}{26,053.90}-1 = \boxed{-7.20\%} </w:t>
      </w:r>
    </w:p>
    <w:p w14:paraId="0CF207FC"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8"/>
        <w:gridCol w:w="1022"/>
      </w:tblGrid>
      <w:tr w:rsidR="007E15D2" w:rsidRPr="007E15D2" w14:paraId="0AB927B3" w14:textId="77777777" w:rsidTr="007E15D2">
        <w:trPr>
          <w:tblHeader/>
          <w:tblCellSpacing w:w="15" w:type="dxa"/>
        </w:trPr>
        <w:tc>
          <w:tcPr>
            <w:tcW w:w="0" w:type="auto"/>
            <w:vAlign w:val="center"/>
            <w:hideMark/>
          </w:tcPr>
          <w:p w14:paraId="3C2901F3" w14:textId="77777777" w:rsidR="007E15D2" w:rsidRPr="007E15D2" w:rsidRDefault="007E15D2" w:rsidP="007E15D2">
            <w:pPr>
              <w:spacing w:after="0" w:line="240" w:lineRule="auto"/>
              <w:jc w:val="center"/>
              <w:rPr>
                <w:rFonts w:ascii="Times New Roman" w:eastAsia="Times New Roman" w:hAnsi="Times New Roman" w:cs="Times New Roman"/>
                <w:b/>
                <w:bCs/>
                <w:sz w:val="24"/>
                <w:szCs w:val="24"/>
                <w:lang w:eastAsia="en-IN"/>
              </w:rPr>
            </w:pPr>
            <w:r w:rsidRPr="007E15D2">
              <w:rPr>
                <w:rFonts w:ascii="Times New Roman" w:eastAsia="Times New Roman" w:hAnsi="Times New Roman" w:cs="Times New Roman"/>
                <w:b/>
                <w:bCs/>
                <w:sz w:val="24"/>
                <w:szCs w:val="24"/>
                <w:lang w:eastAsia="en-IN"/>
              </w:rPr>
              <w:lastRenderedPageBreak/>
              <w:t>29-Oct-2025 experiment</w:t>
            </w:r>
          </w:p>
        </w:tc>
        <w:tc>
          <w:tcPr>
            <w:tcW w:w="0" w:type="auto"/>
            <w:vAlign w:val="center"/>
            <w:hideMark/>
          </w:tcPr>
          <w:p w14:paraId="0C3C91FC" w14:textId="77777777" w:rsidR="007E15D2" w:rsidRPr="007E15D2" w:rsidRDefault="007E15D2" w:rsidP="007E15D2">
            <w:pPr>
              <w:spacing w:after="0" w:line="240" w:lineRule="auto"/>
              <w:jc w:val="center"/>
              <w:rPr>
                <w:rFonts w:ascii="Times New Roman" w:eastAsia="Times New Roman" w:hAnsi="Times New Roman" w:cs="Times New Roman"/>
                <w:b/>
                <w:bCs/>
                <w:sz w:val="24"/>
                <w:szCs w:val="24"/>
                <w:lang w:eastAsia="en-IN"/>
              </w:rPr>
            </w:pPr>
            <w:r w:rsidRPr="007E15D2">
              <w:rPr>
                <w:rFonts w:ascii="Times New Roman" w:eastAsia="Times New Roman" w:hAnsi="Times New Roman" w:cs="Times New Roman"/>
                <w:b/>
                <w:bCs/>
                <w:sz w:val="24"/>
                <w:szCs w:val="24"/>
                <w:lang w:eastAsia="en-IN"/>
              </w:rPr>
              <w:t>Result</w:t>
            </w:r>
          </w:p>
        </w:tc>
      </w:tr>
      <w:tr w:rsidR="007E15D2" w:rsidRPr="007E15D2" w14:paraId="4A7CF9CD" w14:textId="77777777" w:rsidTr="007E15D2">
        <w:trPr>
          <w:tblCellSpacing w:w="15" w:type="dxa"/>
        </w:trPr>
        <w:tc>
          <w:tcPr>
            <w:tcW w:w="0" w:type="auto"/>
            <w:vAlign w:val="center"/>
            <w:hideMark/>
          </w:tcPr>
          <w:p w14:paraId="7C34A583"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Raw model</w:t>
            </w:r>
          </w:p>
        </w:tc>
        <w:tc>
          <w:tcPr>
            <w:tcW w:w="0" w:type="auto"/>
            <w:vAlign w:val="center"/>
            <w:hideMark/>
          </w:tcPr>
          <w:p w14:paraId="0ABE883B"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+6.87%</w:t>
            </w:r>
          </w:p>
        </w:tc>
      </w:tr>
      <w:tr w:rsidR="007E15D2" w:rsidRPr="007E15D2" w14:paraId="39DBD4CE" w14:textId="77777777" w:rsidTr="007E15D2">
        <w:trPr>
          <w:tblCellSpacing w:w="15" w:type="dxa"/>
        </w:trPr>
        <w:tc>
          <w:tcPr>
            <w:tcW w:w="0" w:type="auto"/>
            <w:vAlign w:val="center"/>
            <w:hideMark/>
          </w:tcPr>
          <w:p w14:paraId="37881A6B"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Corrected model</w:t>
            </w:r>
          </w:p>
        </w:tc>
        <w:tc>
          <w:tcPr>
            <w:tcW w:w="0" w:type="auto"/>
            <w:vAlign w:val="center"/>
            <w:hideMark/>
          </w:tcPr>
          <w:p w14:paraId="7B6A58C1"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b/>
                <w:bCs/>
                <w:sz w:val="24"/>
                <w:szCs w:val="24"/>
                <w:lang w:eastAsia="en-IN"/>
              </w:rPr>
              <w:t>+4.86%</w:t>
            </w:r>
          </w:p>
        </w:tc>
      </w:tr>
      <w:tr w:rsidR="007E15D2" w:rsidRPr="007E15D2" w14:paraId="11E61F36" w14:textId="77777777" w:rsidTr="007E15D2">
        <w:trPr>
          <w:tblCellSpacing w:w="15" w:type="dxa"/>
        </w:trPr>
        <w:tc>
          <w:tcPr>
            <w:tcW w:w="0" w:type="auto"/>
            <w:vAlign w:val="center"/>
            <w:hideMark/>
          </w:tcPr>
          <w:p w14:paraId="417FC3DE"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Actual</w:t>
            </w:r>
          </w:p>
        </w:tc>
        <w:tc>
          <w:tcPr>
            <w:tcW w:w="0" w:type="auto"/>
            <w:vAlign w:val="center"/>
            <w:hideMark/>
          </w:tcPr>
          <w:p w14:paraId="5D89FE1A"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b/>
                <w:bCs/>
                <w:sz w:val="24"/>
                <w:szCs w:val="24"/>
                <w:lang w:eastAsia="en-IN"/>
              </w:rPr>
              <w:t>-7.20%</w:t>
            </w:r>
          </w:p>
        </w:tc>
      </w:tr>
      <w:tr w:rsidR="007E15D2" w:rsidRPr="007E15D2" w14:paraId="201BC42F" w14:textId="77777777" w:rsidTr="007E15D2">
        <w:trPr>
          <w:tblCellSpacing w:w="15" w:type="dxa"/>
        </w:trPr>
        <w:tc>
          <w:tcPr>
            <w:tcW w:w="0" w:type="auto"/>
            <w:vAlign w:val="center"/>
            <w:hideMark/>
          </w:tcPr>
          <w:p w14:paraId="44482672"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Error of deployed model</w:t>
            </w:r>
          </w:p>
        </w:tc>
        <w:tc>
          <w:tcPr>
            <w:tcW w:w="0" w:type="auto"/>
            <w:vAlign w:val="center"/>
            <w:hideMark/>
          </w:tcPr>
          <w:p w14:paraId="1EF7B65D"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b/>
                <w:bCs/>
                <w:sz w:val="24"/>
                <w:szCs w:val="24"/>
                <w:lang w:eastAsia="en-IN"/>
              </w:rPr>
              <w:t>-12.06 pp</w:t>
            </w:r>
          </w:p>
        </w:tc>
      </w:tr>
      <w:tr w:rsidR="007E15D2" w:rsidRPr="007E15D2" w14:paraId="148D91D2" w14:textId="77777777" w:rsidTr="007E15D2">
        <w:trPr>
          <w:tblCellSpacing w:w="15" w:type="dxa"/>
        </w:trPr>
        <w:tc>
          <w:tcPr>
            <w:tcW w:w="0" w:type="auto"/>
            <w:vAlign w:val="center"/>
            <w:hideMark/>
          </w:tcPr>
          <w:p w14:paraId="644213F7"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Predicted endpoint</w:t>
            </w:r>
          </w:p>
        </w:tc>
        <w:tc>
          <w:tcPr>
            <w:tcW w:w="0" w:type="auto"/>
            <w:vAlign w:val="center"/>
            <w:hideMark/>
          </w:tcPr>
          <w:p w14:paraId="5604E337"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~27,321</w:t>
            </w:r>
          </w:p>
        </w:tc>
      </w:tr>
      <w:tr w:rsidR="007E15D2" w:rsidRPr="007E15D2" w14:paraId="67879DCF" w14:textId="77777777" w:rsidTr="007E15D2">
        <w:trPr>
          <w:tblCellSpacing w:w="15" w:type="dxa"/>
        </w:trPr>
        <w:tc>
          <w:tcPr>
            <w:tcW w:w="0" w:type="auto"/>
            <w:vAlign w:val="center"/>
            <w:hideMark/>
          </w:tcPr>
          <w:p w14:paraId="161FDACA"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Actual endpoint</w:t>
            </w:r>
          </w:p>
        </w:tc>
        <w:tc>
          <w:tcPr>
            <w:tcW w:w="0" w:type="auto"/>
            <w:vAlign w:val="center"/>
            <w:hideMark/>
          </w:tcPr>
          <w:p w14:paraId="5F194562"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24,178</w:t>
            </w:r>
          </w:p>
        </w:tc>
      </w:tr>
    </w:tbl>
    <w:p w14:paraId="58BE0CE7"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The correction </w:t>
      </w:r>
      <w:r w:rsidRPr="007E15D2">
        <w:rPr>
          <w:rFonts w:ascii="Times New Roman" w:eastAsia="Times New Roman" w:hAnsi="Times New Roman" w:cs="Times New Roman"/>
          <w:b/>
          <w:bCs/>
          <w:sz w:val="24"/>
          <w:szCs w:val="24"/>
          <w:lang w:eastAsia="en-IN"/>
        </w:rPr>
        <w:t>reduced the optimism</w:t>
      </w:r>
      <w:r w:rsidRPr="007E15D2">
        <w:rPr>
          <w:rFonts w:ascii="Times New Roman" w:eastAsia="Times New Roman" w:hAnsi="Times New Roman" w:cs="Times New Roman"/>
          <w:sz w:val="24"/>
          <w:szCs w:val="24"/>
          <w:lang w:eastAsia="en-IN"/>
        </w:rPr>
        <w:t>, but it did not correctly identify the subsequent decline.</w:t>
      </w:r>
    </w:p>
    <w:p w14:paraId="0E01D9AE"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That is actually useful evidence.</w:t>
      </w:r>
    </w:p>
    <w:p w14:paraId="7808A0EE"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pict w14:anchorId="3BCC16BC">
          <v:rect id="_x0000_i1032" style="width:0;height:1.5pt" o:hralign="center" o:hrstd="t" o:hr="t" fillcolor="#a0a0a0" stroked="f"/>
        </w:pict>
      </w:r>
    </w:p>
    <w:p w14:paraId="7E12B78E" w14:textId="77777777" w:rsidR="007E15D2" w:rsidRPr="007E15D2" w:rsidRDefault="007E15D2" w:rsidP="007E15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E15D2">
        <w:rPr>
          <w:rFonts w:ascii="Times New Roman" w:eastAsia="Times New Roman" w:hAnsi="Times New Roman" w:cs="Times New Roman"/>
          <w:b/>
          <w:bCs/>
          <w:kern w:val="36"/>
          <w:sz w:val="48"/>
          <w:szCs w:val="48"/>
          <w:lang w:eastAsia="en-IN"/>
        </w:rPr>
        <w:t>9. Second correction</w:t>
      </w:r>
    </w:p>
    <w:p w14:paraId="2F18AE69"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Now update the bias again.</w:t>
      </w:r>
    </w:p>
    <w:p w14:paraId="60E7B44E"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 deployed prediction was +4.86%.</w:t>
      </w:r>
    </w:p>
    <w:p w14:paraId="33FCFD16"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Actual was -7.20%.</w:t>
      </w:r>
    </w:p>
    <w:p w14:paraId="0B860C4A"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Therefore:</w:t>
      </w:r>
    </w:p>
    <w:p w14:paraId="30921773"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e2=−7.20−4.86=−12.06%e_2=-7.20-4.86=-12.06\% </w:t>
      </w:r>
    </w:p>
    <w:p w14:paraId="6F9A62D4"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Update:</w:t>
      </w:r>
    </w:p>
    <w:p w14:paraId="10CE46DF"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B2=0.75(−2.00%)+0.25(−12.06%)B_2 = 0.75(-2.00\%)+0.25(-12.06\%) </w:t>
      </w:r>
    </w:p>
    <w:p w14:paraId="54818332"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giving approximately</w:t>
      </w:r>
    </w:p>
    <w:p w14:paraId="0792F91F"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B2=−4.52%\boxed{B_2=-4.52\%} </w:t>
      </w:r>
    </w:p>
    <w:p w14:paraId="2C6BD994"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So the algorithm has learned:</w:t>
      </w:r>
    </w:p>
    <w:p w14:paraId="4086C8E6" w14:textId="77777777" w:rsidR="007E15D2" w:rsidRPr="007E15D2" w:rsidRDefault="007E15D2" w:rsidP="007E15D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experiment 1: optimistic bias; </w:t>
      </w:r>
    </w:p>
    <w:p w14:paraId="0DD5F9FF" w14:textId="77777777" w:rsidR="007E15D2" w:rsidRPr="007E15D2" w:rsidRDefault="007E15D2" w:rsidP="007E15D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experiment 2: even larger optimistic bias; </w:t>
      </w:r>
    </w:p>
    <w:p w14:paraId="64E46854" w14:textId="77777777" w:rsidR="007E15D2" w:rsidRPr="007E15D2" w:rsidRDefault="007E15D2" w:rsidP="007E15D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therefore the correction should become materially more negative. </w:t>
      </w:r>
    </w:p>
    <w:p w14:paraId="29833D4D"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pict w14:anchorId="1F90FF91">
          <v:rect id="_x0000_i1033" style="width:0;height:1.5pt" o:hralign="center" o:hrstd="t" o:hr="t" fillcolor="#a0a0a0" stroked="f"/>
        </w:pict>
      </w:r>
    </w:p>
    <w:p w14:paraId="2AD38432" w14:textId="77777777" w:rsidR="007E15D2" w:rsidRPr="007E15D2" w:rsidRDefault="007E15D2" w:rsidP="007E15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E15D2">
        <w:rPr>
          <w:rFonts w:ascii="Times New Roman" w:eastAsia="Times New Roman" w:hAnsi="Times New Roman" w:cs="Times New Roman"/>
          <w:b/>
          <w:bCs/>
          <w:kern w:val="36"/>
          <w:sz w:val="48"/>
          <w:szCs w:val="48"/>
          <w:lang w:eastAsia="en-IN"/>
        </w:rPr>
        <w:t>10. Now the live test — latest available market state</w:t>
      </w:r>
    </w:p>
    <w:p w14:paraId="0F83481C"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lastRenderedPageBreak/>
        <w:t>This is where I need to be very precise about the date.</w:t>
      </w:r>
    </w:p>
    <w:p w14:paraId="3A721AC3"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b/>
          <w:bCs/>
          <w:sz w:val="24"/>
          <w:szCs w:val="24"/>
          <w:lang w:eastAsia="en-IN"/>
        </w:rPr>
        <w:t>29 October 2026 does not exist yet.</w:t>
      </w:r>
    </w:p>
    <w:p w14:paraId="46797458"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The latest completed session available today is </w:t>
      </w:r>
      <w:r w:rsidRPr="007E15D2">
        <w:rPr>
          <w:rFonts w:ascii="Times New Roman" w:eastAsia="Times New Roman" w:hAnsi="Times New Roman" w:cs="Times New Roman"/>
          <w:b/>
          <w:bCs/>
          <w:sz w:val="24"/>
          <w:szCs w:val="24"/>
          <w:lang w:eastAsia="en-IN"/>
        </w:rPr>
        <w:t>28 September 2026</w:t>
      </w:r>
      <w:r w:rsidRPr="007E15D2">
        <w:rPr>
          <w:rFonts w:ascii="Times New Roman" w:eastAsia="Times New Roman" w:hAnsi="Times New Roman" w:cs="Times New Roman"/>
          <w:sz w:val="24"/>
          <w:szCs w:val="24"/>
          <w:lang w:eastAsia="en-IN"/>
        </w:rPr>
        <w:t xml:space="preserve">, when Nifty closed at </w:t>
      </w:r>
      <w:r w:rsidRPr="007E15D2">
        <w:rPr>
          <w:rFonts w:ascii="Times New Roman" w:eastAsia="Times New Roman" w:hAnsi="Times New Roman" w:cs="Times New Roman"/>
          <w:b/>
          <w:bCs/>
          <w:sz w:val="24"/>
          <w:szCs w:val="24"/>
          <w:lang w:eastAsia="en-IN"/>
        </w:rPr>
        <w:t>22,780.25</w:t>
      </w:r>
      <w:r w:rsidRPr="007E15D2">
        <w:rPr>
          <w:rFonts w:ascii="Times New Roman" w:eastAsia="Times New Roman" w:hAnsi="Times New Roman" w:cs="Times New Roman"/>
          <w:sz w:val="24"/>
          <w:szCs w:val="24"/>
          <w:lang w:eastAsia="en-IN"/>
        </w:rPr>
        <w:t xml:space="preserve">. The same data source shows 24,080.40 at the end of August. </w:t>
      </w:r>
    </w:p>
    <w:p w14:paraId="3C713514"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So I run the model at:</w:t>
      </w:r>
    </w:p>
    <w:p w14:paraId="5E0E0353"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t=28 September 2026\boxed{t=28\text{ September 2026}} </w:t>
      </w:r>
    </w:p>
    <w:p w14:paraId="5AA276CB"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not at a fabricated 29 October 2026 state.</w:t>
      </w:r>
    </w:p>
    <w:p w14:paraId="25B43C50"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Relevant historical anchors include:</w:t>
      </w:r>
    </w:p>
    <w:p w14:paraId="0E7A987D" w14:textId="77777777" w:rsidR="007E15D2" w:rsidRPr="007E15D2" w:rsidRDefault="007E15D2" w:rsidP="007E15D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30 March 2026: 22,331.40 </w:t>
      </w:r>
    </w:p>
    <w:p w14:paraId="1038BB92" w14:textId="77777777" w:rsidR="007E15D2" w:rsidRPr="007E15D2" w:rsidRDefault="007E15D2" w:rsidP="007E15D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30 June 2026: 23,865.75 </w:t>
      </w:r>
    </w:p>
    <w:p w14:paraId="6B808071" w14:textId="77777777" w:rsidR="007E15D2" w:rsidRPr="007E15D2" w:rsidRDefault="007E15D2" w:rsidP="007E15D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31 August 2026: 24,080.40 </w:t>
      </w:r>
    </w:p>
    <w:p w14:paraId="3BCC55EE" w14:textId="77777777" w:rsidR="007E15D2" w:rsidRPr="007E15D2" w:rsidRDefault="007E15D2" w:rsidP="007E15D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30 September 2025: 24,611.10 </w:t>
      </w:r>
    </w:p>
    <w:p w14:paraId="29094E13" w14:textId="77777777" w:rsidR="007E15D2" w:rsidRPr="007E15D2" w:rsidRDefault="007E15D2" w:rsidP="007E15D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28 September 2026: 22,780.25 </w:t>
      </w:r>
    </w:p>
    <w:p w14:paraId="6504F4BC"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That produces the current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5"/>
        <w:gridCol w:w="1329"/>
      </w:tblGrid>
      <w:tr w:rsidR="007E15D2" w:rsidRPr="007E15D2" w14:paraId="6A1D312C" w14:textId="77777777" w:rsidTr="007E15D2">
        <w:trPr>
          <w:tblHeader/>
          <w:tblCellSpacing w:w="15" w:type="dxa"/>
        </w:trPr>
        <w:tc>
          <w:tcPr>
            <w:tcW w:w="0" w:type="auto"/>
            <w:vAlign w:val="center"/>
            <w:hideMark/>
          </w:tcPr>
          <w:p w14:paraId="0A2DB53B" w14:textId="77777777" w:rsidR="007E15D2" w:rsidRPr="007E15D2" w:rsidRDefault="007E15D2" w:rsidP="007E15D2">
            <w:pPr>
              <w:spacing w:after="0" w:line="240" w:lineRule="auto"/>
              <w:jc w:val="center"/>
              <w:rPr>
                <w:rFonts w:ascii="Times New Roman" w:eastAsia="Times New Roman" w:hAnsi="Times New Roman" w:cs="Times New Roman"/>
                <w:b/>
                <w:bCs/>
                <w:sz w:val="24"/>
                <w:szCs w:val="24"/>
                <w:lang w:eastAsia="en-IN"/>
              </w:rPr>
            </w:pPr>
            <w:r w:rsidRPr="007E15D2">
              <w:rPr>
                <w:rFonts w:ascii="Times New Roman" w:eastAsia="Times New Roman" w:hAnsi="Times New Roman" w:cs="Times New Roman"/>
                <w:b/>
                <w:bCs/>
                <w:sz w:val="24"/>
                <w:szCs w:val="24"/>
                <w:lang w:eastAsia="en-IN"/>
              </w:rPr>
              <w:t>Current variable</w:t>
            </w:r>
          </w:p>
        </w:tc>
        <w:tc>
          <w:tcPr>
            <w:tcW w:w="0" w:type="auto"/>
            <w:vAlign w:val="center"/>
            <w:hideMark/>
          </w:tcPr>
          <w:p w14:paraId="168E3F40" w14:textId="77777777" w:rsidR="007E15D2" w:rsidRPr="007E15D2" w:rsidRDefault="007E15D2" w:rsidP="007E15D2">
            <w:pPr>
              <w:spacing w:after="0" w:line="240" w:lineRule="auto"/>
              <w:jc w:val="center"/>
              <w:rPr>
                <w:rFonts w:ascii="Times New Roman" w:eastAsia="Times New Roman" w:hAnsi="Times New Roman" w:cs="Times New Roman"/>
                <w:b/>
                <w:bCs/>
                <w:sz w:val="24"/>
                <w:szCs w:val="24"/>
                <w:lang w:eastAsia="en-IN"/>
              </w:rPr>
            </w:pPr>
            <w:r w:rsidRPr="007E15D2">
              <w:rPr>
                <w:rFonts w:ascii="Times New Roman" w:eastAsia="Times New Roman" w:hAnsi="Times New Roman" w:cs="Times New Roman"/>
                <w:b/>
                <w:bCs/>
                <w:sz w:val="24"/>
                <w:szCs w:val="24"/>
                <w:lang w:eastAsia="en-IN"/>
              </w:rPr>
              <w:t>28-Sep-2026</w:t>
            </w:r>
          </w:p>
        </w:tc>
      </w:tr>
      <w:tr w:rsidR="007E15D2" w:rsidRPr="007E15D2" w14:paraId="347CD9A3" w14:textId="77777777" w:rsidTr="007E15D2">
        <w:trPr>
          <w:tblCellSpacing w:w="15" w:type="dxa"/>
        </w:trPr>
        <w:tc>
          <w:tcPr>
            <w:tcW w:w="0" w:type="auto"/>
            <w:vAlign w:val="center"/>
            <w:hideMark/>
          </w:tcPr>
          <w:p w14:paraId="7CF4444A"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3-month return</w:t>
            </w:r>
          </w:p>
        </w:tc>
        <w:tc>
          <w:tcPr>
            <w:tcW w:w="0" w:type="auto"/>
            <w:vAlign w:val="center"/>
            <w:hideMark/>
          </w:tcPr>
          <w:p w14:paraId="41ECCCE2"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b/>
                <w:bCs/>
                <w:sz w:val="24"/>
                <w:szCs w:val="24"/>
                <w:lang w:eastAsia="en-IN"/>
              </w:rPr>
              <w:t>-4.55%</w:t>
            </w:r>
          </w:p>
        </w:tc>
      </w:tr>
      <w:tr w:rsidR="007E15D2" w:rsidRPr="007E15D2" w14:paraId="587C76B7" w14:textId="77777777" w:rsidTr="007E15D2">
        <w:trPr>
          <w:tblCellSpacing w:w="15" w:type="dxa"/>
        </w:trPr>
        <w:tc>
          <w:tcPr>
            <w:tcW w:w="0" w:type="auto"/>
            <w:vAlign w:val="center"/>
            <w:hideMark/>
          </w:tcPr>
          <w:p w14:paraId="34B60C65"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6-month return</w:t>
            </w:r>
          </w:p>
        </w:tc>
        <w:tc>
          <w:tcPr>
            <w:tcW w:w="0" w:type="auto"/>
            <w:vAlign w:val="center"/>
            <w:hideMark/>
          </w:tcPr>
          <w:p w14:paraId="470651C9"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b/>
                <w:bCs/>
                <w:sz w:val="24"/>
                <w:szCs w:val="24"/>
                <w:lang w:eastAsia="en-IN"/>
              </w:rPr>
              <w:t>+2.01%</w:t>
            </w:r>
          </w:p>
        </w:tc>
      </w:tr>
      <w:tr w:rsidR="007E15D2" w:rsidRPr="007E15D2" w14:paraId="6A959684" w14:textId="77777777" w:rsidTr="007E15D2">
        <w:trPr>
          <w:tblCellSpacing w:w="15" w:type="dxa"/>
        </w:trPr>
        <w:tc>
          <w:tcPr>
            <w:tcW w:w="0" w:type="auto"/>
            <w:vAlign w:val="center"/>
            <w:hideMark/>
          </w:tcPr>
          <w:p w14:paraId="39E33D7F"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12-month return</w:t>
            </w:r>
          </w:p>
        </w:tc>
        <w:tc>
          <w:tcPr>
            <w:tcW w:w="0" w:type="auto"/>
            <w:vAlign w:val="center"/>
            <w:hideMark/>
          </w:tcPr>
          <w:p w14:paraId="5DBB0402"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b/>
                <w:bCs/>
                <w:sz w:val="24"/>
                <w:szCs w:val="24"/>
                <w:lang w:eastAsia="en-IN"/>
              </w:rPr>
              <w:t>-7.44%</w:t>
            </w:r>
          </w:p>
        </w:tc>
      </w:tr>
      <w:tr w:rsidR="007E15D2" w:rsidRPr="007E15D2" w14:paraId="4B449D7B" w14:textId="77777777" w:rsidTr="007E15D2">
        <w:trPr>
          <w:tblCellSpacing w:w="15" w:type="dxa"/>
        </w:trPr>
        <w:tc>
          <w:tcPr>
            <w:tcW w:w="0" w:type="auto"/>
            <w:vAlign w:val="center"/>
            <w:hideMark/>
          </w:tcPr>
          <w:p w14:paraId="07BC4556"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6-month annualized volatility</w:t>
            </w:r>
          </w:p>
        </w:tc>
        <w:tc>
          <w:tcPr>
            <w:tcW w:w="0" w:type="auto"/>
            <w:vAlign w:val="center"/>
            <w:hideMark/>
          </w:tcPr>
          <w:p w14:paraId="5CBC9FA0"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b/>
                <w:bCs/>
                <w:sz w:val="24"/>
                <w:szCs w:val="24"/>
                <w:lang w:eastAsia="en-IN"/>
              </w:rPr>
              <w:t>15.19%</w:t>
            </w:r>
          </w:p>
        </w:tc>
      </w:tr>
      <w:tr w:rsidR="007E15D2" w:rsidRPr="007E15D2" w14:paraId="04F96812" w14:textId="77777777" w:rsidTr="007E15D2">
        <w:trPr>
          <w:tblCellSpacing w:w="15" w:type="dxa"/>
        </w:trPr>
        <w:tc>
          <w:tcPr>
            <w:tcW w:w="0" w:type="auto"/>
            <w:vAlign w:val="center"/>
            <w:hideMark/>
          </w:tcPr>
          <w:p w14:paraId="225A6827"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12-month drawdown</w:t>
            </w:r>
          </w:p>
        </w:tc>
        <w:tc>
          <w:tcPr>
            <w:tcW w:w="0" w:type="auto"/>
            <w:vAlign w:val="center"/>
            <w:hideMark/>
          </w:tcPr>
          <w:p w14:paraId="015A6C4D"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b/>
                <w:bCs/>
                <w:sz w:val="24"/>
                <w:szCs w:val="24"/>
                <w:lang w:eastAsia="en-IN"/>
              </w:rPr>
              <w:t>-13.08%</w:t>
            </w:r>
          </w:p>
        </w:tc>
      </w:tr>
    </w:tbl>
    <w:p w14:paraId="6F1A2074"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This is an interesting state mathematically.</w:t>
      </w:r>
    </w:p>
    <w:p w14:paraId="585BE407"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 market is:</w:t>
      </w:r>
    </w:p>
    <w:p w14:paraId="5847D20F" w14:textId="77777777" w:rsidR="007E15D2" w:rsidRPr="007E15D2" w:rsidRDefault="007E15D2" w:rsidP="007E15D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weak over 3 months, </w:t>
      </w:r>
    </w:p>
    <w:p w14:paraId="56526A68" w14:textId="77777777" w:rsidR="007E15D2" w:rsidRPr="007E15D2" w:rsidRDefault="007E15D2" w:rsidP="007E15D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roughly flat/slightly positive over 6 months, </w:t>
      </w:r>
    </w:p>
    <w:p w14:paraId="32C8F345" w14:textId="77777777" w:rsidR="007E15D2" w:rsidRPr="007E15D2" w:rsidRDefault="007E15D2" w:rsidP="007E15D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negative over 12 months, </w:t>
      </w:r>
    </w:p>
    <w:p w14:paraId="62296F96" w14:textId="77777777" w:rsidR="007E15D2" w:rsidRPr="007E15D2" w:rsidRDefault="007E15D2" w:rsidP="007E15D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at a materially larger drawdown, </w:t>
      </w:r>
    </w:p>
    <w:p w14:paraId="6AAABF4E" w14:textId="77777777" w:rsidR="007E15D2" w:rsidRPr="007E15D2" w:rsidRDefault="007E15D2" w:rsidP="007E15D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with substantially higher volatility. </w:t>
      </w:r>
    </w:p>
    <w:p w14:paraId="337A102B"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So the current market geometry is no longer the "strong bull trend near highs" structure seen in October 2025.</w:t>
      </w:r>
    </w:p>
    <w:p w14:paraId="6CCB0C9F"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pict w14:anchorId="18A92C47">
          <v:rect id="_x0000_i1034" style="width:0;height:1.5pt" o:hralign="center" o:hrstd="t" o:hr="t" fillcolor="#a0a0a0" stroked="f"/>
        </w:pict>
      </w:r>
    </w:p>
    <w:p w14:paraId="44B02925" w14:textId="77777777" w:rsidR="007E15D2" w:rsidRPr="007E15D2" w:rsidRDefault="007E15D2" w:rsidP="007E15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E15D2">
        <w:rPr>
          <w:rFonts w:ascii="Times New Roman" w:eastAsia="Times New Roman" w:hAnsi="Times New Roman" w:cs="Times New Roman"/>
          <w:b/>
          <w:bCs/>
          <w:kern w:val="36"/>
          <w:sz w:val="48"/>
          <w:szCs w:val="48"/>
          <w:lang w:eastAsia="en-IN"/>
        </w:rPr>
        <w:t>11. Generation-3 model result</w:t>
      </w:r>
    </w:p>
    <w:p w14:paraId="3527542C"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lastRenderedPageBreak/>
        <w:t xml:space="preserve">After refitting the model with the historical information now available, including the outcomes of the previous two experiments, the </w:t>
      </w:r>
      <w:r w:rsidRPr="007E15D2">
        <w:rPr>
          <w:rFonts w:ascii="Times New Roman" w:eastAsia="Times New Roman" w:hAnsi="Times New Roman" w:cs="Times New Roman"/>
          <w:b/>
          <w:bCs/>
          <w:sz w:val="24"/>
          <w:szCs w:val="24"/>
          <w:lang w:eastAsia="en-IN"/>
        </w:rPr>
        <w:t>raw ridge prediction</w:t>
      </w:r>
      <w:r w:rsidRPr="007E15D2">
        <w:rPr>
          <w:rFonts w:ascii="Times New Roman" w:eastAsia="Times New Roman" w:hAnsi="Times New Roman" w:cs="Times New Roman"/>
          <w:sz w:val="24"/>
          <w:szCs w:val="24"/>
          <w:lang w:eastAsia="en-IN"/>
        </w:rPr>
        <w:t xml:space="preserve"> is:</w:t>
      </w:r>
    </w:p>
    <w:p w14:paraId="40D4ECC2"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+6.01%\boxed{+6.01\%} </w:t>
      </w:r>
    </w:p>
    <w:p w14:paraId="438BA0F9"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But we now have the learned error correction:</w:t>
      </w:r>
    </w:p>
    <w:p w14:paraId="5EAB49C5"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B2=−4.52%B_2=-4.52\% </w:t>
      </w:r>
    </w:p>
    <w:p w14:paraId="6C39F82F"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Therefore the deployed prediction becomes:</w:t>
      </w:r>
    </w:p>
    <w:p w14:paraId="06F31951"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6.01%−4.52%=+1.49%6.01\%-4.52\% = \boxed{+1.49\%} </w:t>
      </w:r>
    </w:p>
    <w:p w14:paraId="371EDDD1"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So my current mathematical model says:</w:t>
      </w:r>
    </w:p>
    <w:p w14:paraId="363066E7"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Expected 6-month Nifty price return≈+1.5%\boxed{\text{Expected 6-month Nifty price return}\approx +1.5\%} </w:t>
      </w:r>
    </w:p>
    <w:p w14:paraId="79E88CCC"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from the latest completed close.</w:t>
      </w:r>
    </w:p>
    <w:p w14:paraId="696E68FD"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Starting from 22,780.25:</w:t>
      </w:r>
    </w:p>
    <w:p w14:paraId="4BBEADEB"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22,780.25×1.0149≈23,11922,780.25\times1.0149 \approx \boxed{23,119} </w:t>
      </w:r>
    </w:p>
    <w:p w14:paraId="6D22DB72"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So the model's central estimate is approximately:</w:t>
      </w:r>
    </w:p>
    <w:p w14:paraId="6D49A4C4"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Nifty around 23,100 after six months\boxed{\text{Nifty around 23,100 after six months}} </w:t>
      </w:r>
    </w:p>
    <w:p w14:paraId="3D42D2E3"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roughly corresponding to late March 2027.</w:t>
      </w:r>
    </w:p>
    <w:p w14:paraId="47A126A8"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pict w14:anchorId="2D146806">
          <v:rect id="_x0000_i1035" style="width:0;height:1.5pt" o:hralign="center" o:hrstd="t" o:hr="t" fillcolor="#a0a0a0" stroked="f"/>
        </w:pict>
      </w:r>
    </w:p>
    <w:p w14:paraId="0C54CCDB" w14:textId="77777777" w:rsidR="007E15D2" w:rsidRPr="007E15D2" w:rsidRDefault="007E15D2" w:rsidP="007E15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E15D2">
        <w:rPr>
          <w:rFonts w:ascii="Times New Roman" w:eastAsia="Times New Roman" w:hAnsi="Times New Roman" w:cs="Times New Roman"/>
          <w:b/>
          <w:bCs/>
          <w:kern w:val="36"/>
          <w:sz w:val="48"/>
          <w:szCs w:val="48"/>
          <w:lang w:eastAsia="en-IN"/>
        </w:rPr>
        <w:t>12. But there is a very important second answer</w:t>
      </w:r>
    </w:p>
    <w:p w14:paraId="2C43AE86"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 raw model says +6.0%.</w:t>
      </w:r>
    </w:p>
    <w:p w14:paraId="3B8B10AA"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 corrected model says +1.5%.</w:t>
      </w:r>
    </w:p>
    <w:p w14:paraId="610B1642"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The simple historical-average baseline for the current training window is about </w:t>
      </w:r>
      <w:r w:rsidRPr="007E15D2">
        <w:rPr>
          <w:rFonts w:ascii="Times New Roman" w:eastAsia="Times New Roman" w:hAnsi="Times New Roman" w:cs="Times New Roman"/>
          <w:b/>
          <w:bCs/>
          <w:sz w:val="24"/>
          <w:szCs w:val="24"/>
          <w:lang w:eastAsia="en-IN"/>
        </w:rPr>
        <w:t>+4.37%</w:t>
      </w:r>
      <w:r w:rsidRPr="007E15D2">
        <w:rPr>
          <w:rFonts w:ascii="Times New Roman" w:eastAsia="Times New Roman" w:hAnsi="Times New Roman" w:cs="Times New Roman"/>
          <w:sz w:val="24"/>
          <w:szCs w:val="24"/>
          <w:lang w:eastAsia="en-IN"/>
        </w:rPr>
        <w:t>.</w:t>
      </w:r>
    </w:p>
    <w:p w14:paraId="0161CD47"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And remember what happened in our pre-October-2024 pseudo-backtest:</w:t>
      </w:r>
    </w:p>
    <w:p w14:paraId="200CD478"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b/>
          <w:bCs/>
          <w:sz w:val="24"/>
          <w:szCs w:val="24"/>
          <w:lang w:eastAsia="en-IN"/>
        </w:rPr>
        <w:t>the simple baseline actually outperformed the feature model.</w:t>
      </w:r>
    </w:p>
    <w:p w14:paraId="273FB180"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That means I do </w:t>
      </w:r>
      <w:r w:rsidRPr="007E15D2">
        <w:rPr>
          <w:rFonts w:ascii="Times New Roman" w:eastAsia="Times New Roman" w:hAnsi="Times New Roman" w:cs="Times New Roman"/>
          <w:b/>
          <w:bCs/>
          <w:sz w:val="24"/>
          <w:szCs w:val="24"/>
          <w:lang w:eastAsia="en-IN"/>
        </w:rPr>
        <w:t>not</w:t>
      </w:r>
      <w:r w:rsidRPr="007E15D2">
        <w:rPr>
          <w:rFonts w:ascii="Times New Roman" w:eastAsia="Times New Roman" w:hAnsi="Times New Roman" w:cs="Times New Roman"/>
          <w:sz w:val="24"/>
          <w:szCs w:val="24"/>
          <w:lang w:eastAsia="en-IN"/>
        </w:rPr>
        <w:t xml:space="preserve"> think the mathematically honest conclusion is:</w:t>
      </w:r>
    </w:p>
    <w:p w14:paraId="5189396D" w14:textId="77777777" w:rsidR="007E15D2" w:rsidRPr="007E15D2" w:rsidRDefault="007E15D2" w:rsidP="007E15D2">
      <w:pPr>
        <w:spacing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 model has discovered that Nifty will rise 6%."</w:t>
      </w:r>
    </w:p>
    <w:p w14:paraId="186CFC74"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lastRenderedPageBreak/>
        <w:t>The stronger conclusion is:</w:t>
      </w:r>
    </w:p>
    <w:p w14:paraId="281DB4E0" w14:textId="77777777" w:rsidR="007E15D2" w:rsidRPr="007E15D2" w:rsidRDefault="007E15D2" w:rsidP="007E15D2">
      <w:pPr>
        <w:spacing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b/>
          <w:bCs/>
          <w:sz w:val="24"/>
          <w:szCs w:val="24"/>
          <w:lang w:eastAsia="en-IN"/>
        </w:rPr>
        <w:t>The current model sees only a weak positive six-month drift, and its historical error is so large that the directional signal is not strong.</w:t>
      </w:r>
    </w:p>
    <w:p w14:paraId="16B0BAD6"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That distinction is critical.</w:t>
      </w:r>
    </w:p>
    <w:p w14:paraId="14FC65D5"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pict w14:anchorId="02E78BEB">
          <v:rect id="_x0000_i1036" style="width:0;height:1.5pt" o:hralign="center" o:hrstd="t" o:hr="t" fillcolor="#a0a0a0" stroked="f"/>
        </w:pict>
      </w:r>
    </w:p>
    <w:p w14:paraId="31DB57CC" w14:textId="77777777" w:rsidR="007E15D2" w:rsidRPr="007E15D2" w:rsidRDefault="007E15D2" w:rsidP="007E15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E15D2">
        <w:rPr>
          <w:rFonts w:ascii="Times New Roman" w:eastAsia="Times New Roman" w:hAnsi="Times New Roman" w:cs="Times New Roman"/>
          <w:b/>
          <w:bCs/>
          <w:kern w:val="36"/>
          <w:sz w:val="48"/>
          <w:szCs w:val="48"/>
          <w:lang w:eastAsia="en-IN"/>
        </w:rPr>
        <w:t>13. Current forecast uncertainty</w:t>
      </w:r>
    </w:p>
    <w:p w14:paraId="46C40886"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Our 24 genuine pseudo-out-of-sample historical forecasts had:</w:t>
      </w:r>
    </w:p>
    <w:p w14:paraId="6987C73B"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MAE≈8.28 percentage pointsMAE \approx 8.28\text{ percentage points} </w:t>
      </w:r>
    </w:p>
    <w:p w14:paraId="18F31860"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and</w:t>
      </w:r>
    </w:p>
    <w:p w14:paraId="40FACA9B"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RMSE≈9.77 percentage pointsRMSE \approx 9.77\text{ percentage points} </w:t>
      </w:r>
    </w:p>
    <w:p w14:paraId="703B6AD5"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So a point forecast of +1.49% is tiny relative to the model's own historical error.</w:t>
      </w:r>
    </w:p>
    <w:p w14:paraId="327E5502"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Using the historical error scale simply as an </w:t>
      </w:r>
      <w:r w:rsidRPr="007E15D2">
        <w:rPr>
          <w:rFonts w:ascii="Times New Roman" w:eastAsia="Times New Roman" w:hAnsi="Times New Roman" w:cs="Times New Roman"/>
          <w:b/>
          <w:bCs/>
          <w:sz w:val="24"/>
          <w:szCs w:val="24"/>
          <w:lang w:eastAsia="en-IN"/>
        </w:rPr>
        <w:t>empirical uncertainty guide</w:t>
      </w:r>
      <w:r w:rsidRPr="007E15D2">
        <w:rPr>
          <w:rFonts w:ascii="Times New Roman" w:eastAsia="Times New Roman" w:hAnsi="Times New Roman" w:cs="Times New Roman"/>
          <w:sz w:val="24"/>
          <w:szCs w:val="24"/>
          <w:lang w:eastAsia="en-IN"/>
        </w:rPr>
        <w:t>, rather than pretending it is a formal statistical confidence interval, gives a very broad six-month region.</w:t>
      </w:r>
    </w:p>
    <w:p w14:paraId="338FE94C"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Roughly:</w:t>
      </w:r>
    </w:p>
    <w:p w14:paraId="32F5CB99"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+1.49%±9–10%+1.49\%\pm 9\text{–}10\% </w:t>
      </w:r>
    </w:p>
    <w:p w14:paraId="1A906EE5"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which corresponds approximately to:</w:t>
      </w:r>
    </w:p>
    <w:p w14:paraId="31FB1784"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−8% to +11%\boxed{-8\%\text{ to }+11\%} </w:t>
      </w:r>
    </w:p>
    <w:p w14:paraId="08C1F202"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or roughly:</w:t>
      </w:r>
    </w:p>
    <w:p w14:paraId="136DDC0B"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20,900 to 25,300\boxed{20,900\text{ to }25,300} </w:t>
      </w:r>
    </w:p>
    <w:p w14:paraId="789F5700"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on Nifty from the current 22,780 level.</w:t>
      </w:r>
    </w:p>
    <w:p w14:paraId="13D9A65F"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That range is deliberately broad because the historical model is broad.</w:t>
      </w:r>
    </w:p>
    <w:p w14:paraId="1FD0384C"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pict w14:anchorId="07EF72C4">
          <v:rect id="_x0000_i1037" style="width:0;height:1.5pt" o:hralign="center" o:hrstd="t" o:hr="t" fillcolor="#a0a0a0" stroked="f"/>
        </w:pict>
      </w:r>
    </w:p>
    <w:p w14:paraId="120C6E6A" w14:textId="77777777" w:rsidR="007E15D2" w:rsidRPr="007E15D2" w:rsidRDefault="007E15D2" w:rsidP="007E15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E15D2">
        <w:rPr>
          <w:rFonts w:ascii="Times New Roman" w:eastAsia="Times New Roman" w:hAnsi="Times New Roman" w:cs="Times New Roman"/>
          <w:b/>
          <w:bCs/>
          <w:kern w:val="36"/>
          <w:sz w:val="48"/>
          <w:szCs w:val="48"/>
          <w:lang w:eastAsia="en-IN"/>
        </w:rPr>
        <w:t>14. What the algorithm has learned so far</w:t>
      </w:r>
    </w:p>
    <w:p w14:paraId="01F491D5"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There is a deeper pattern emerging from this exercise.</w:t>
      </w:r>
    </w:p>
    <w:p w14:paraId="1E8B4A22" w14:textId="77777777" w:rsidR="007E15D2" w:rsidRPr="007E15D2" w:rsidRDefault="007E15D2" w:rsidP="007E15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15D2">
        <w:rPr>
          <w:rFonts w:ascii="Times New Roman" w:eastAsia="Times New Roman" w:hAnsi="Times New Roman" w:cs="Times New Roman"/>
          <w:b/>
          <w:bCs/>
          <w:sz w:val="27"/>
          <w:szCs w:val="27"/>
          <w:lang w:eastAsia="en-IN"/>
        </w:rPr>
        <w:t>Hypothesis 1 — Momentum is useful</w:t>
      </w:r>
    </w:p>
    <w:p w14:paraId="60A7C535"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lastRenderedPageBreak/>
        <w:t>There is clearly some information in 3/6/12-month trend.</w:t>
      </w:r>
    </w:p>
    <w:p w14:paraId="1F455E58"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But our backtest says it is </w:t>
      </w:r>
      <w:r w:rsidRPr="007E15D2">
        <w:rPr>
          <w:rFonts w:ascii="Times New Roman" w:eastAsia="Times New Roman" w:hAnsi="Times New Roman" w:cs="Times New Roman"/>
          <w:b/>
          <w:bCs/>
          <w:sz w:val="24"/>
          <w:szCs w:val="24"/>
          <w:lang w:eastAsia="en-IN"/>
        </w:rPr>
        <w:t>not stable enough by itself</w:t>
      </w:r>
      <w:r w:rsidRPr="007E15D2">
        <w:rPr>
          <w:rFonts w:ascii="Times New Roman" w:eastAsia="Times New Roman" w:hAnsi="Times New Roman" w:cs="Times New Roman"/>
          <w:sz w:val="24"/>
          <w:szCs w:val="24"/>
          <w:lang w:eastAsia="en-IN"/>
        </w:rPr>
        <w:t xml:space="preserve"> to generate a dependable six-month forecast.</w:t>
      </w:r>
    </w:p>
    <w:p w14:paraId="43411283" w14:textId="77777777" w:rsidR="007E15D2" w:rsidRPr="007E15D2" w:rsidRDefault="007E15D2" w:rsidP="007E15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15D2">
        <w:rPr>
          <w:rFonts w:ascii="Times New Roman" w:eastAsia="Times New Roman" w:hAnsi="Times New Roman" w:cs="Times New Roman"/>
          <w:b/>
          <w:bCs/>
          <w:sz w:val="27"/>
          <w:szCs w:val="27"/>
          <w:lang w:eastAsia="en-IN"/>
        </w:rPr>
        <w:t>Hypothesis 2 — Drawdown contains information</w:t>
      </w:r>
    </w:p>
    <w:p w14:paraId="326FFC70"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 current market is more than 13% below its recent monthly peak. That is very different from October 2025, when the market was near a recent high.</w:t>
      </w:r>
    </w:p>
    <w:p w14:paraId="0D342E28"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This could imply mean reversion.</w:t>
      </w:r>
    </w:p>
    <w:p w14:paraId="25DB635D"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But drawdowns can also continue becoming larger.</w:t>
      </w:r>
    </w:p>
    <w:p w14:paraId="6C7FAE6A"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So mathematically, drawdown is not simply "buy signal".</w:t>
      </w:r>
    </w:p>
    <w:p w14:paraId="79530B38" w14:textId="77777777" w:rsidR="007E15D2" w:rsidRPr="007E15D2" w:rsidRDefault="007E15D2" w:rsidP="007E15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15D2">
        <w:rPr>
          <w:rFonts w:ascii="Times New Roman" w:eastAsia="Times New Roman" w:hAnsi="Times New Roman" w:cs="Times New Roman"/>
          <w:b/>
          <w:bCs/>
          <w:sz w:val="27"/>
          <w:szCs w:val="27"/>
          <w:lang w:eastAsia="en-IN"/>
        </w:rPr>
        <w:t>Hypothesis 3 — Volatility matters</w:t>
      </w:r>
    </w:p>
    <w:p w14:paraId="01E26726"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Current six-month volatility is approximately 15.2%, versus 10.9% in October 2025.</w:t>
      </w:r>
    </w:p>
    <w:p w14:paraId="659BBD66"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This is a major state change.</w:t>
      </w:r>
    </w:p>
    <w:p w14:paraId="22BDCC6C"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 model's current coefficients give volatility a relatively strong contribution, but the historical data are not sufficient for us to say with confidence that high volatility implies a positive or negative six-month return. It mostly tells us that the forecast uncertainty should be higher.</w:t>
      </w:r>
    </w:p>
    <w:p w14:paraId="665817F5" w14:textId="77777777" w:rsidR="007E15D2" w:rsidRPr="007E15D2" w:rsidRDefault="007E15D2" w:rsidP="007E15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15D2">
        <w:rPr>
          <w:rFonts w:ascii="Times New Roman" w:eastAsia="Times New Roman" w:hAnsi="Times New Roman" w:cs="Times New Roman"/>
          <w:b/>
          <w:bCs/>
          <w:sz w:val="27"/>
          <w:szCs w:val="27"/>
          <w:lang w:eastAsia="en-IN"/>
        </w:rPr>
        <w:t>Hypothesis 4 — The first-generation model is overconfident</w:t>
      </w:r>
    </w:p>
    <w:p w14:paraId="5C9C1234"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This is probably the most important finding.</w:t>
      </w:r>
    </w:p>
    <w:p w14:paraId="6A734CEC"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At both historical checkpoints the raw model predicted roughly +7%.</w:t>
      </w:r>
    </w:p>
    <w:p w14:paraId="645AF97C"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Actual outcomes were:</w:t>
      </w:r>
    </w:p>
    <w:p w14:paraId="1121FEA3" w14:textId="77777777" w:rsidR="007E15D2" w:rsidRPr="007E15D2" w:rsidRDefault="007E15D2" w:rsidP="007E15D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-0.54% </w:t>
      </w:r>
    </w:p>
    <w:p w14:paraId="60327EF7" w14:textId="77777777" w:rsidR="007E15D2" w:rsidRPr="007E15D2" w:rsidRDefault="007E15D2" w:rsidP="007E15D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-7.20% </w:t>
      </w:r>
    </w:p>
    <w:p w14:paraId="0C3DBC13"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 repeated positive error indicates that simply extrapolating historical trend relationships makes the model too optimistic in those regimes.</w:t>
      </w:r>
    </w:p>
    <w:p w14:paraId="3764DF6C"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Hence the bias-learning layer.</w:t>
      </w:r>
    </w:p>
    <w:p w14:paraId="33DC06C1" w14:textId="77777777" w:rsidR="007E15D2" w:rsidRPr="007E15D2" w:rsidRDefault="007E15D2" w:rsidP="007E15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15D2">
        <w:rPr>
          <w:rFonts w:ascii="Times New Roman" w:eastAsia="Times New Roman" w:hAnsi="Times New Roman" w:cs="Times New Roman"/>
          <w:b/>
          <w:bCs/>
          <w:sz w:val="27"/>
          <w:szCs w:val="27"/>
          <w:lang w:eastAsia="en-IN"/>
        </w:rPr>
        <w:t>Hypothesis 5 — A nonlinear/regime model is probably needed</w:t>
      </w:r>
    </w:p>
    <w:p w14:paraId="1AFBEFC2"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This is the next logical step.</w:t>
      </w:r>
    </w:p>
    <w:p w14:paraId="4E29B08E"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A market 2% below its high with 10% volatility should not necessarily be treated the same way as a market 13% below its high with 15% volatility.</w:t>
      </w:r>
    </w:p>
    <w:p w14:paraId="30671193"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lastRenderedPageBreak/>
        <w:t>Our current linear model treats these relationships too smoothly.</w:t>
      </w:r>
    </w:p>
    <w:p w14:paraId="7D1A1402"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pict w14:anchorId="08128C1F">
          <v:rect id="_x0000_i1038" style="width:0;height:1.5pt" o:hralign="center" o:hrstd="t" o:hr="t" fillcolor="#a0a0a0" stroked="f"/>
        </w:pict>
      </w:r>
    </w:p>
    <w:p w14:paraId="6C7E883C" w14:textId="77777777" w:rsidR="007E15D2" w:rsidRPr="007E15D2" w:rsidRDefault="007E15D2" w:rsidP="007E15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E15D2">
        <w:rPr>
          <w:rFonts w:ascii="Times New Roman" w:eastAsia="Times New Roman" w:hAnsi="Times New Roman" w:cs="Times New Roman"/>
          <w:b/>
          <w:bCs/>
          <w:kern w:val="36"/>
          <w:sz w:val="48"/>
          <w:szCs w:val="48"/>
          <w:lang w:eastAsia="en-IN"/>
        </w:rPr>
        <w:t>15. The biggest limitation of this first model</w:t>
      </w:r>
    </w:p>
    <w:p w14:paraId="4D3D5B36"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 model is intentionally simple.</w:t>
      </w:r>
    </w:p>
    <w:p w14:paraId="45E0F25F"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It uses only:</w:t>
      </w:r>
    </w:p>
    <w:p w14:paraId="61BEF27D"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{R3,R6,R12,σ6,DD12}\{R_3,R_6,R_{12},\sigma_6,DD_{12}\} </w:t>
      </w:r>
    </w:p>
    <w:p w14:paraId="7569864A"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It does </w:t>
      </w:r>
      <w:r w:rsidRPr="007E15D2">
        <w:rPr>
          <w:rFonts w:ascii="Times New Roman" w:eastAsia="Times New Roman" w:hAnsi="Times New Roman" w:cs="Times New Roman"/>
          <w:b/>
          <w:bCs/>
          <w:sz w:val="24"/>
          <w:szCs w:val="24"/>
          <w:lang w:eastAsia="en-IN"/>
        </w:rPr>
        <w:t>not</w:t>
      </w:r>
      <w:r w:rsidRPr="007E15D2">
        <w:rPr>
          <w:rFonts w:ascii="Times New Roman" w:eastAsia="Times New Roman" w:hAnsi="Times New Roman" w:cs="Times New Roman"/>
          <w:sz w:val="24"/>
          <w:szCs w:val="24"/>
          <w:lang w:eastAsia="en-IN"/>
        </w:rPr>
        <w:t xml:space="preserve"> yet use:</w:t>
      </w:r>
    </w:p>
    <w:p w14:paraId="6C51BFC3" w14:textId="77777777" w:rsidR="007E15D2" w:rsidRPr="007E15D2" w:rsidRDefault="007E15D2" w:rsidP="007E15D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Nifty breadth </w:t>
      </w:r>
    </w:p>
    <w:p w14:paraId="173697D9" w14:textId="77777777" w:rsidR="007E15D2" w:rsidRPr="007E15D2" w:rsidRDefault="007E15D2" w:rsidP="007E15D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Nifty Bank relative strength </w:t>
      </w:r>
    </w:p>
    <w:p w14:paraId="246C2AFD" w14:textId="77777777" w:rsidR="007E15D2" w:rsidRPr="007E15D2" w:rsidRDefault="007E15D2" w:rsidP="007E15D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sector rotation </w:t>
      </w:r>
    </w:p>
    <w:p w14:paraId="64B9E681" w14:textId="77777777" w:rsidR="007E15D2" w:rsidRPr="007E15D2" w:rsidRDefault="007E15D2" w:rsidP="007E15D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India VIX </w:t>
      </w:r>
    </w:p>
    <w:p w14:paraId="4ACCBE5A" w14:textId="77777777" w:rsidR="007E15D2" w:rsidRPr="007E15D2" w:rsidRDefault="007E15D2" w:rsidP="007E15D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FII/DII flows </w:t>
      </w:r>
    </w:p>
    <w:p w14:paraId="2BAF5438" w14:textId="77777777" w:rsidR="007E15D2" w:rsidRPr="007E15D2" w:rsidRDefault="007E15D2" w:rsidP="007E15D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USD/INR </w:t>
      </w:r>
    </w:p>
    <w:p w14:paraId="003EB3CD" w14:textId="77777777" w:rsidR="007E15D2" w:rsidRPr="007E15D2" w:rsidRDefault="007E15D2" w:rsidP="007E15D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crude oil </w:t>
      </w:r>
    </w:p>
    <w:p w14:paraId="00846F95" w14:textId="77777777" w:rsidR="007E15D2" w:rsidRPr="007E15D2" w:rsidRDefault="007E15D2" w:rsidP="007E15D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Indian bond yields </w:t>
      </w:r>
    </w:p>
    <w:p w14:paraId="73B94BC4" w14:textId="77777777" w:rsidR="007E15D2" w:rsidRPr="007E15D2" w:rsidRDefault="007E15D2" w:rsidP="007E15D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US yields </w:t>
      </w:r>
    </w:p>
    <w:p w14:paraId="269CA5F6" w14:textId="77777777" w:rsidR="007E15D2" w:rsidRPr="007E15D2" w:rsidRDefault="007E15D2" w:rsidP="007E15D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S&amp;P 500/Nasdaq </w:t>
      </w:r>
    </w:p>
    <w:p w14:paraId="6297A20F" w14:textId="77777777" w:rsidR="007E15D2" w:rsidRPr="007E15D2" w:rsidRDefault="007E15D2" w:rsidP="007E15D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earnings revisions </w:t>
      </w:r>
    </w:p>
    <w:p w14:paraId="6E311587" w14:textId="77777777" w:rsidR="007E15D2" w:rsidRPr="007E15D2" w:rsidRDefault="007E15D2" w:rsidP="007E15D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valuation </w:t>
      </w:r>
    </w:p>
    <w:p w14:paraId="6C13D473" w14:textId="77777777" w:rsidR="007E15D2" w:rsidRPr="007E15D2" w:rsidRDefault="007E15D2" w:rsidP="007E15D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liquidity </w:t>
      </w:r>
    </w:p>
    <w:p w14:paraId="4FCA3C15" w14:textId="77777777" w:rsidR="007E15D2" w:rsidRPr="007E15D2" w:rsidRDefault="007E15D2" w:rsidP="007E15D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options-implied volatility </w:t>
      </w:r>
    </w:p>
    <w:p w14:paraId="1C6FD8A8" w14:textId="77777777" w:rsidR="007E15D2" w:rsidRPr="007E15D2" w:rsidRDefault="007E15D2" w:rsidP="007E15D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cross-sectional stock behaviour </w:t>
      </w:r>
    </w:p>
    <w:p w14:paraId="09D77582"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I excluded these deliberately because I wanted the first experiment to answer:</w:t>
      </w:r>
    </w:p>
    <w:p w14:paraId="29C3B2DA" w14:textId="77777777" w:rsidR="007E15D2" w:rsidRPr="007E15D2" w:rsidRDefault="007E15D2" w:rsidP="007E15D2">
      <w:pPr>
        <w:spacing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b/>
          <w:bCs/>
          <w:sz w:val="24"/>
          <w:szCs w:val="24"/>
          <w:lang w:eastAsia="en-IN"/>
        </w:rPr>
        <w:t>How much can pure price mathematics do by itself?</w:t>
      </w:r>
    </w:p>
    <w:p w14:paraId="53B118A1"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 answer from this first pass is:</w:t>
      </w:r>
    </w:p>
    <w:p w14:paraId="4C0AC49C"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b/>
          <w:bCs/>
          <w:sz w:val="24"/>
          <w:szCs w:val="24"/>
          <w:lang w:eastAsia="en-IN"/>
        </w:rPr>
        <w:t>some, but not enough to claim a robust predictive edge.</w:t>
      </w:r>
    </w:p>
    <w:p w14:paraId="542572A2"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pict w14:anchorId="4A962D3C">
          <v:rect id="_x0000_i1039" style="width:0;height:1.5pt" o:hralign="center" o:hrstd="t" o:hr="t" fillcolor="#a0a0a0" stroked="f"/>
        </w:pict>
      </w:r>
    </w:p>
    <w:p w14:paraId="3BAB8226" w14:textId="77777777" w:rsidR="007E15D2" w:rsidRPr="007E15D2" w:rsidRDefault="007E15D2" w:rsidP="007E15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E15D2">
        <w:rPr>
          <w:rFonts w:ascii="Times New Roman" w:eastAsia="Times New Roman" w:hAnsi="Times New Roman" w:cs="Times New Roman"/>
          <w:b/>
          <w:bCs/>
          <w:kern w:val="36"/>
          <w:sz w:val="48"/>
          <w:szCs w:val="48"/>
          <w:lang w:eastAsia="en-IN"/>
        </w:rPr>
        <w:t>16. The algorithm I would now freeze as Generation-3</w:t>
      </w:r>
    </w:p>
    <w:p w14:paraId="3DACC8B7"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 algorithm is now:</w:t>
      </w:r>
    </w:p>
    <w:p w14:paraId="289CF750"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Xt=[R3,R6,R12,σ6,DD12]X_t= [ R_3,R_6,R_{12},\sigma_6,DD_{12} ] </w:t>
      </w:r>
    </w:p>
    <w:p w14:paraId="28C881F2"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lastRenderedPageBreak/>
        <w:t>Fit:</w:t>
      </w:r>
    </w:p>
    <w:p w14:paraId="2F2DD823"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Y^traw=β0+Xtβ\hat Y_t^{raw} = \beta_0+X_t\beta </w:t>
      </w:r>
    </w:p>
    <w:p w14:paraId="0CC98B8A"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using standardized ridge regression and walk-forward parameter selection.</w:t>
      </w:r>
    </w:p>
    <w:p w14:paraId="2AFAD1ED"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Then:</w:t>
      </w:r>
    </w:p>
    <w:p w14:paraId="73542BB0"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Bt=(1−γ)Bt−1+γ(Yt−6−Y^t−6deployed)B_t=(1-\gamma)B_{t-1}+\gamma(Y_{t-6}-\hat Y_{t-6}^{deployed}) </w:t>
      </w:r>
    </w:p>
    <w:p w14:paraId="7F1D00C9"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with γ=0.25\gamma=0.25.</w:t>
      </w:r>
    </w:p>
    <w:p w14:paraId="16B416FC"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Final:</w:t>
      </w:r>
    </w:p>
    <w:p w14:paraId="15E26DAF"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Y^tfinal=Y^traw+Bt\boxed{ \hat Y_t^{final} = \hat Y_t^{raw}+B_t } </w:t>
      </w:r>
    </w:p>
    <w:p w14:paraId="2A968587"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For the present state:</w:t>
      </w:r>
    </w:p>
    <w:p w14:paraId="6B8D534C"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Y^Sep2026final≈+1.49%\boxed{ \hat Y_{Sep2026}^{final} \approx +1.49\% } </w:t>
      </w:r>
    </w:p>
    <w:p w14:paraId="27C180D9"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pict w14:anchorId="7E523947">
          <v:rect id="_x0000_i1040" style="width:0;height:1.5pt" o:hralign="center" o:hrstd="t" o:hr="t" fillcolor="#a0a0a0" stroked="f"/>
        </w:pict>
      </w:r>
    </w:p>
    <w:p w14:paraId="4578D096" w14:textId="77777777" w:rsidR="007E15D2" w:rsidRPr="007E15D2" w:rsidRDefault="007E15D2" w:rsidP="007E15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E15D2">
        <w:rPr>
          <w:rFonts w:ascii="Times New Roman" w:eastAsia="Times New Roman" w:hAnsi="Times New Roman" w:cs="Times New Roman"/>
          <w:b/>
          <w:bCs/>
          <w:kern w:val="36"/>
          <w:sz w:val="48"/>
          <w:szCs w:val="48"/>
          <w:lang w:eastAsia="en-IN"/>
        </w:rPr>
        <w:t>17. The really interesting next stage</w:t>
      </w:r>
    </w:p>
    <w:p w14:paraId="46E6D678"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I would </w:t>
      </w:r>
      <w:r w:rsidRPr="007E15D2">
        <w:rPr>
          <w:rFonts w:ascii="Times New Roman" w:eastAsia="Times New Roman" w:hAnsi="Times New Roman" w:cs="Times New Roman"/>
          <w:b/>
          <w:bCs/>
          <w:sz w:val="24"/>
          <w:szCs w:val="24"/>
          <w:lang w:eastAsia="en-IN"/>
        </w:rPr>
        <w:t>not</w:t>
      </w:r>
      <w:r w:rsidRPr="007E15D2">
        <w:rPr>
          <w:rFonts w:ascii="Times New Roman" w:eastAsia="Times New Roman" w:hAnsi="Times New Roman" w:cs="Times New Roman"/>
          <w:sz w:val="24"/>
          <w:szCs w:val="24"/>
          <w:lang w:eastAsia="en-IN"/>
        </w:rPr>
        <w:t xml:space="preserve"> keep tweaking these five variables by hand. That is exactly how a researcher accidentally creates hindsight overfitting.</w:t>
      </w:r>
    </w:p>
    <w:p w14:paraId="20BE9A7A"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The next generation should be a proper </w:t>
      </w:r>
      <w:r w:rsidRPr="007E15D2">
        <w:rPr>
          <w:rFonts w:ascii="Times New Roman" w:eastAsia="Times New Roman" w:hAnsi="Times New Roman" w:cs="Times New Roman"/>
          <w:b/>
          <w:bCs/>
          <w:sz w:val="24"/>
          <w:szCs w:val="24"/>
          <w:lang w:eastAsia="en-IN"/>
        </w:rPr>
        <w:t>regime-based mathematical system</w:t>
      </w:r>
      <w:r w:rsidRPr="007E15D2">
        <w:rPr>
          <w:rFonts w:ascii="Times New Roman" w:eastAsia="Times New Roman" w:hAnsi="Times New Roman" w:cs="Times New Roman"/>
          <w:sz w:val="24"/>
          <w:szCs w:val="24"/>
          <w:lang w:eastAsia="en-IN"/>
        </w:rPr>
        <w:t>.</w:t>
      </w:r>
    </w:p>
    <w:p w14:paraId="4B390ED7"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For example:</w:t>
      </w:r>
    </w:p>
    <w:p w14:paraId="66FB23BF"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Statet=f(trend,volatility,drawdown,breadth,cross-sectional momentum,market correlation,liquidity,macro state)State_t = f( trend, volatility, drawdown, breadth, cross\text{-}sectional\ momentum, market\ correlation, liquidity, macro\ state ) </w:t>
      </w:r>
    </w:p>
    <w:p w14:paraId="4B9747D4"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and then estimate:</w:t>
      </w:r>
    </w:p>
    <w:p w14:paraId="05AB6A02"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P(Y6m&gt;0</w:t>
      </w:r>
      <w:r w:rsidRPr="007E15D2">
        <w:rPr>
          <w:rFonts w:ascii="Cambria Math" w:eastAsia="Times New Roman" w:hAnsi="Cambria Math" w:cs="Cambria Math"/>
          <w:sz w:val="24"/>
          <w:szCs w:val="24"/>
          <w:lang w:eastAsia="en-IN"/>
        </w:rPr>
        <w:t>∣</w:t>
      </w:r>
      <w:r w:rsidRPr="007E15D2">
        <w:rPr>
          <w:rFonts w:ascii="Times New Roman" w:eastAsia="Times New Roman" w:hAnsi="Times New Roman" w:cs="Times New Roman"/>
          <w:sz w:val="24"/>
          <w:szCs w:val="24"/>
          <w:lang w:eastAsia="en-IN"/>
        </w:rPr>
        <w:t xml:space="preserve">Statet)P(Y_{6m}&gt;0\mid State_t) </w:t>
      </w:r>
    </w:p>
    <w:p w14:paraId="1C0E87F9"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rather than predicting only one number.</w:t>
      </w:r>
    </w:p>
    <w:p w14:paraId="74832C9A"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That gives us three outputs:</w:t>
      </w:r>
    </w:p>
    <w:p w14:paraId="67530548"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E[Y6m]E[Y_{6m}] P(Y6m&gt;0)P(Y_{6m}&gt;0) </w:t>
      </w:r>
    </w:p>
    <w:p w14:paraId="76FE8660"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and</w:t>
      </w:r>
    </w:p>
    <w:p w14:paraId="1D760E4F"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P(Y6m&lt;−10%)P(Y_{6m}&lt;-10\%) </w:t>
      </w:r>
    </w:p>
    <w:p w14:paraId="550FA2DF"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lastRenderedPageBreak/>
        <w:t>which is much more informative than "Nifty = 23,119".</w:t>
      </w:r>
    </w:p>
    <w:p w14:paraId="53E82B5D"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pict w14:anchorId="336C53FA">
          <v:rect id="_x0000_i1041" style="width:0;height:1.5pt" o:hralign="center" o:hrstd="t" o:hr="t" fillcolor="#a0a0a0" stroked="f"/>
        </w:pict>
      </w:r>
    </w:p>
    <w:p w14:paraId="0CD46D46" w14:textId="77777777" w:rsidR="007E15D2" w:rsidRPr="007E15D2" w:rsidRDefault="007E15D2" w:rsidP="007E15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E15D2">
        <w:rPr>
          <w:rFonts w:ascii="Times New Roman" w:eastAsia="Times New Roman" w:hAnsi="Times New Roman" w:cs="Times New Roman"/>
          <w:b/>
          <w:bCs/>
          <w:kern w:val="36"/>
          <w:sz w:val="48"/>
          <w:szCs w:val="48"/>
          <w:lang w:eastAsia="en-IN"/>
        </w:rPr>
        <w:t>18. My current research conclusion</w:t>
      </w:r>
    </w:p>
    <w:p w14:paraId="4C70CBC7"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After doing the experiment in the order you requested, the evidence so far says:</w:t>
      </w:r>
    </w:p>
    <w:p w14:paraId="1E4677B9"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b/>
          <w:bCs/>
          <w:sz w:val="24"/>
          <w:szCs w:val="24"/>
          <w:lang w:eastAsia="en-IN"/>
        </w:rPr>
        <w:t>29-Oct-2024 frozen model:</w:t>
      </w:r>
      <w:r w:rsidRPr="007E15D2">
        <w:rPr>
          <w:rFonts w:ascii="Times New Roman" w:eastAsia="Times New Roman" w:hAnsi="Times New Roman" w:cs="Times New Roman"/>
          <w:sz w:val="24"/>
          <w:szCs w:val="24"/>
          <w:lang w:eastAsia="en-IN"/>
        </w:rPr>
        <w:t xml:space="preserve"> +7.48%</w:t>
      </w:r>
      <w:r w:rsidRPr="007E15D2">
        <w:rPr>
          <w:rFonts w:ascii="Times New Roman" w:eastAsia="Times New Roman" w:hAnsi="Times New Roman" w:cs="Times New Roman"/>
          <w:sz w:val="24"/>
          <w:szCs w:val="24"/>
          <w:lang w:eastAsia="en-IN"/>
        </w:rPr>
        <w:br/>
      </w:r>
      <w:r w:rsidRPr="007E15D2">
        <w:rPr>
          <w:rFonts w:ascii="Times New Roman" w:eastAsia="Times New Roman" w:hAnsi="Times New Roman" w:cs="Times New Roman"/>
          <w:b/>
          <w:bCs/>
          <w:sz w:val="24"/>
          <w:szCs w:val="24"/>
          <w:lang w:eastAsia="en-IN"/>
        </w:rPr>
        <w:t>Actual:</w:t>
      </w:r>
      <w:r w:rsidRPr="007E15D2">
        <w:rPr>
          <w:rFonts w:ascii="Times New Roman" w:eastAsia="Times New Roman" w:hAnsi="Times New Roman" w:cs="Times New Roman"/>
          <w:sz w:val="24"/>
          <w:szCs w:val="24"/>
          <w:lang w:eastAsia="en-IN"/>
        </w:rPr>
        <w:t xml:space="preserve"> -0.54%</w:t>
      </w:r>
    </w:p>
    <w:p w14:paraId="106BB34D"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b/>
          <w:bCs/>
          <w:sz w:val="24"/>
          <w:szCs w:val="24"/>
          <w:lang w:eastAsia="en-IN"/>
        </w:rPr>
        <w:t>29-Oct-2025 corrected/refitted model:</w:t>
      </w:r>
      <w:r w:rsidRPr="007E15D2">
        <w:rPr>
          <w:rFonts w:ascii="Times New Roman" w:eastAsia="Times New Roman" w:hAnsi="Times New Roman" w:cs="Times New Roman"/>
          <w:sz w:val="24"/>
          <w:szCs w:val="24"/>
          <w:lang w:eastAsia="en-IN"/>
        </w:rPr>
        <w:t xml:space="preserve"> +4.86%</w:t>
      </w:r>
      <w:r w:rsidRPr="007E15D2">
        <w:rPr>
          <w:rFonts w:ascii="Times New Roman" w:eastAsia="Times New Roman" w:hAnsi="Times New Roman" w:cs="Times New Roman"/>
          <w:sz w:val="24"/>
          <w:szCs w:val="24"/>
          <w:lang w:eastAsia="en-IN"/>
        </w:rPr>
        <w:br/>
      </w:r>
      <w:r w:rsidRPr="007E15D2">
        <w:rPr>
          <w:rFonts w:ascii="Times New Roman" w:eastAsia="Times New Roman" w:hAnsi="Times New Roman" w:cs="Times New Roman"/>
          <w:b/>
          <w:bCs/>
          <w:sz w:val="24"/>
          <w:szCs w:val="24"/>
          <w:lang w:eastAsia="en-IN"/>
        </w:rPr>
        <w:t>Actual:</w:t>
      </w:r>
      <w:r w:rsidRPr="007E15D2">
        <w:rPr>
          <w:rFonts w:ascii="Times New Roman" w:eastAsia="Times New Roman" w:hAnsi="Times New Roman" w:cs="Times New Roman"/>
          <w:sz w:val="24"/>
          <w:szCs w:val="24"/>
          <w:lang w:eastAsia="en-IN"/>
        </w:rPr>
        <w:t xml:space="preserve"> -7.20%</w:t>
      </w:r>
    </w:p>
    <w:p w14:paraId="0ECA4234"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b/>
          <w:bCs/>
          <w:sz w:val="24"/>
          <w:szCs w:val="24"/>
          <w:lang w:eastAsia="en-IN"/>
        </w:rPr>
        <w:t>28-Sep-2026 current Generation-3 model:</w:t>
      </w:r>
      <w:r w:rsidRPr="007E15D2">
        <w:rPr>
          <w:rFonts w:ascii="Times New Roman" w:eastAsia="Times New Roman" w:hAnsi="Times New Roman" w:cs="Times New Roman"/>
          <w:sz w:val="24"/>
          <w:szCs w:val="24"/>
          <w:lang w:eastAsia="en-IN"/>
        </w:rPr>
        <w:t xml:space="preserve"> </w:t>
      </w:r>
      <w:r w:rsidRPr="007E15D2">
        <w:rPr>
          <w:rFonts w:ascii="Times New Roman" w:eastAsia="Times New Roman" w:hAnsi="Times New Roman" w:cs="Times New Roman"/>
          <w:b/>
          <w:bCs/>
          <w:sz w:val="24"/>
          <w:szCs w:val="24"/>
          <w:lang w:eastAsia="en-IN"/>
        </w:rPr>
        <w:t>+1.49%</w:t>
      </w:r>
    </w:p>
    <w:p w14:paraId="005A8555"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Approximate model endpoint:</w:t>
      </w:r>
    </w:p>
    <w:p w14:paraId="2BB9C973"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23,119\boxed{23,119} </w:t>
      </w:r>
    </w:p>
    <w:p w14:paraId="117203C5"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But the historical error is roughly </w:t>
      </w:r>
      <w:r w:rsidRPr="007E15D2">
        <w:rPr>
          <w:rFonts w:ascii="Times New Roman" w:eastAsia="Times New Roman" w:hAnsi="Times New Roman" w:cs="Times New Roman"/>
          <w:b/>
          <w:bCs/>
          <w:sz w:val="24"/>
          <w:szCs w:val="24"/>
          <w:lang w:eastAsia="en-IN"/>
        </w:rPr>
        <w:t>±9–10 percentage points</w:t>
      </w:r>
      <w:r w:rsidRPr="007E15D2">
        <w:rPr>
          <w:rFonts w:ascii="Times New Roman" w:eastAsia="Times New Roman" w:hAnsi="Times New Roman" w:cs="Times New Roman"/>
          <w:sz w:val="24"/>
          <w:szCs w:val="24"/>
          <w:lang w:eastAsia="en-IN"/>
        </w:rPr>
        <w:t>, so the mathematical signal is currently weak.</w:t>
      </w:r>
    </w:p>
    <w:p w14:paraId="5E0746E6"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In other words, </w:t>
      </w:r>
      <w:r w:rsidRPr="007E15D2">
        <w:rPr>
          <w:rFonts w:ascii="Times New Roman" w:eastAsia="Times New Roman" w:hAnsi="Times New Roman" w:cs="Times New Roman"/>
          <w:b/>
          <w:bCs/>
          <w:sz w:val="24"/>
          <w:szCs w:val="24"/>
          <w:lang w:eastAsia="en-IN"/>
        </w:rPr>
        <w:t>the model is presently closer to saying "roughly flat to mildly positive, with very large uncertainty" than "the market is going to rise strongly."</w:t>
      </w:r>
    </w:p>
    <w:p w14:paraId="5837D772"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That is actually a useful result because we have demonstrated it through a chronological experiment rather than by fitting history and narrating it afterward.</w:t>
      </w:r>
    </w:p>
    <w:p w14:paraId="71510DD9" w14:textId="77777777" w:rsidR="007E15D2" w:rsidRPr="007E15D2" w:rsidRDefault="007E15D2" w:rsidP="007E15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E15D2">
        <w:rPr>
          <w:rFonts w:ascii="Times New Roman" w:eastAsia="Times New Roman" w:hAnsi="Times New Roman" w:cs="Times New Roman"/>
          <w:b/>
          <w:bCs/>
          <w:sz w:val="36"/>
          <w:szCs w:val="36"/>
          <w:lang w:eastAsia="en-IN"/>
        </w:rPr>
        <w:t>One important data-quality point</w:t>
      </w:r>
    </w:p>
    <w:p w14:paraId="4D8D2B14"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I used the Nifty monthly return series for model construction and exact daily Nifty observations to anchor the historical cutoff and validation dates. The monthly source currently reports 2024, 2025 and 2026 returns and explicitly distinguishes partial current months; the daily source confirms the recent 2026 closing levels. </w:t>
      </w:r>
    </w:p>
    <w:p w14:paraId="3BBA71D0"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For a serious version of this research, the next iteration should move the entire calculation to </w:t>
      </w:r>
      <w:r w:rsidRPr="007E15D2">
        <w:rPr>
          <w:rFonts w:ascii="Times New Roman" w:eastAsia="Times New Roman" w:hAnsi="Times New Roman" w:cs="Times New Roman"/>
          <w:b/>
          <w:bCs/>
          <w:sz w:val="24"/>
          <w:szCs w:val="24"/>
          <w:lang w:eastAsia="en-IN"/>
        </w:rPr>
        <w:t>full daily data</w:t>
      </w:r>
      <w:r w:rsidRPr="007E15D2">
        <w:rPr>
          <w:rFonts w:ascii="Times New Roman" w:eastAsia="Times New Roman" w:hAnsi="Times New Roman" w:cs="Times New Roman"/>
          <w:sz w:val="24"/>
          <w:szCs w:val="24"/>
          <w:lang w:eastAsia="en-IN"/>
        </w:rPr>
        <w:t>, because the present monthly implementation throws away a lot of information.</w:t>
      </w:r>
    </w:p>
    <w:p w14:paraId="7AAD0057"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The next logical step is to build </w:t>
      </w:r>
      <w:r w:rsidRPr="007E15D2">
        <w:rPr>
          <w:rFonts w:ascii="Times New Roman" w:eastAsia="Times New Roman" w:hAnsi="Times New Roman" w:cs="Times New Roman"/>
          <w:b/>
          <w:bCs/>
          <w:sz w:val="24"/>
          <w:szCs w:val="24"/>
          <w:lang w:eastAsia="en-IN"/>
        </w:rPr>
        <w:t>Generation-4 as a true daily walk-forward model</w:t>
      </w:r>
      <w:r w:rsidRPr="007E15D2">
        <w:rPr>
          <w:rFonts w:ascii="Times New Roman" w:eastAsia="Times New Roman" w:hAnsi="Times New Roman" w:cs="Times New Roman"/>
          <w:sz w:val="24"/>
          <w:szCs w:val="24"/>
          <w:lang w:eastAsia="en-IN"/>
        </w:rPr>
        <w:t>, test it over every historical six-month window from 2019 onward, and compare several competing mathematical hypotheses—momentum, mean reversion, volatility regime, breadth, sector dispersion, and cross-market variables—using strictly out-of-sample scoring. That would turn this from an interesting model into a proper quantitative research framework.</w:t>
      </w:r>
    </w:p>
    <w:p w14:paraId="59F30A42"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ok now think from perspective of the the most intelligent ai model and start from 29/10/2021 and create the most advanced predication model which start from 29/10/2021 and us </w:t>
      </w:r>
      <w:r w:rsidRPr="007E15D2">
        <w:rPr>
          <w:rFonts w:ascii="Times New Roman" w:eastAsia="Times New Roman" w:hAnsi="Times New Roman" w:cs="Times New Roman"/>
          <w:sz w:val="24"/>
          <w:szCs w:val="24"/>
          <w:lang w:eastAsia="en-IN"/>
        </w:rPr>
        <w:lastRenderedPageBreak/>
        <w:t xml:space="preserve">emonthly prediction and then compare with actual dat aand make crroectiosn and also try to close gap between actual data and prediction data by feiguring out whats going wrong lets see how clsoe you coem when prediting today next months datat </w:t>
      </w:r>
    </w:p>
    <w:p w14:paraId="5BDD5B2B"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Yes. I rebuilt the experiment as a </w:t>
      </w:r>
      <w:r w:rsidRPr="007E15D2">
        <w:rPr>
          <w:rFonts w:ascii="Times New Roman" w:eastAsia="Times New Roman" w:hAnsi="Times New Roman" w:cs="Times New Roman"/>
          <w:b/>
          <w:bCs/>
          <w:sz w:val="24"/>
          <w:szCs w:val="24"/>
          <w:lang w:eastAsia="en-IN"/>
        </w:rPr>
        <w:t>monthly walk-forward forecasting system starting in October 2021</w:t>
      </w:r>
      <w:r w:rsidRPr="007E15D2">
        <w:rPr>
          <w:rFonts w:ascii="Times New Roman" w:eastAsia="Times New Roman" w:hAnsi="Times New Roman" w:cs="Times New Roman"/>
          <w:sz w:val="24"/>
          <w:szCs w:val="24"/>
          <w:lang w:eastAsia="en-IN"/>
        </w:rPr>
        <w:t>, with the important rule that each month's prediction is made using only information that would have been available at that point. The actual next-month return is then revealed, the error is measured, and the model is allowed to learn from that error before making the following prediction.</w:t>
      </w:r>
    </w:p>
    <w:p w14:paraId="55FF6E9D"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 result is much more interesting than the earlier six-month experiment.</w:t>
      </w:r>
    </w:p>
    <w:p w14:paraId="43436FC0" w14:textId="77777777" w:rsidR="007E15D2" w:rsidRPr="007E15D2" w:rsidRDefault="007E15D2" w:rsidP="007E15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E15D2">
        <w:rPr>
          <w:rFonts w:ascii="Times New Roman" w:eastAsia="Times New Roman" w:hAnsi="Times New Roman" w:cs="Times New Roman"/>
          <w:b/>
          <w:bCs/>
          <w:sz w:val="36"/>
          <w:szCs w:val="36"/>
          <w:lang w:eastAsia="en-IN"/>
        </w:rPr>
        <w:t>The model I built</w:t>
      </w:r>
    </w:p>
    <w:p w14:paraId="0D22F61D"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I used Nifty 50 as the primary target. Nifty 50 is NSE's diversified 50-stock benchmark spanning 13 sectors. </w:t>
      </w:r>
    </w:p>
    <w:p w14:paraId="11487674"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For each month, the model looks at several mathematical dimensions of the market:</w:t>
      </w:r>
    </w:p>
    <w:p w14:paraId="23F4F14C"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Xt={momentum,trend,volatility,drawdown,mean reversion,autocorrelation,seasonality,external-market state}X_t = \{ \text{momentum}, \text{trend}, \text{volatility}, \text{drawdown}, \text{mean reversion}, \text{autocorrelation}, \text{seasonality}, \text{external-market state} \} </w:t>
      </w:r>
    </w:p>
    <w:p w14:paraId="06D9AA15"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 external state includes:</w:t>
      </w:r>
    </w:p>
    <w:p w14:paraId="675EA751" w14:textId="77777777" w:rsidR="007E15D2" w:rsidRPr="007E15D2" w:rsidRDefault="007E15D2" w:rsidP="007E15D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S&amp;P 500 </w:t>
      </w:r>
    </w:p>
    <w:p w14:paraId="3545B767" w14:textId="77777777" w:rsidR="007E15D2" w:rsidRPr="007E15D2" w:rsidRDefault="007E15D2" w:rsidP="007E15D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Brent crude </w:t>
      </w:r>
    </w:p>
    <w:p w14:paraId="4E99B040" w14:textId="77777777" w:rsidR="007E15D2" w:rsidRPr="007E15D2" w:rsidRDefault="007E15D2" w:rsidP="007E15D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Gold </w:t>
      </w:r>
    </w:p>
    <w:p w14:paraId="790B6C2D" w14:textId="77777777" w:rsidR="007E15D2" w:rsidRPr="007E15D2" w:rsidRDefault="007E15D2" w:rsidP="007E15D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USD/INR </w:t>
      </w:r>
    </w:p>
    <w:p w14:paraId="4641EDE3" w14:textId="77777777" w:rsidR="007E15D2" w:rsidRPr="007E15D2" w:rsidRDefault="007E15D2" w:rsidP="007E15D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CBOE VIX </w:t>
      </w:r>
    </w:p>
    <w:p w14:paraId="6A4FFAE6" w14:textId="77777777" w:rsidR="007E15D2" w:rsidRPr="007E15D2" w:rsidRDefault="007E15D2" w:rsidP="007E15D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China CSI 300 </w:t>
      </w:r>
    </w:p>
    <w:p w14:paraId="195936CE"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The historical series used for those variables are independently sourced monthly market-return series. </w:t>
      </w:r>
    </w:p>
    <w:p w14:paraId="0E9829DF"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Rather than trusting one algorithm, I created an </w:t>
      </w:r>
      <w:r w:rsidRPr="007E15D2">
        <w:rPr>
          <w:rFonts w:ascii="Times New Roman" w:eastAsia="Times New Roman" w:hAnsi="Times New Roman" w:cs="Times New Roman"/>
          <w:b/>
          <w:bCs/>
          <w:sz w:val="24"/>
          <w:szCs w:val="24"/>
          <w:lang w:eastAsia="en-IN"/>
        </w:rPr>
        <w:t>ensemble of different mathematical models</w:t>
      </w:r>
      <w:r w:rsidRPr="007E15D2">
        <w:rPr>
          <w:rFonts w:ascii="Times New Roman" w:eastAsia="Times New Roman" w:hAnsi="Times New Roman" w:cs="Times New Roman"/>
          <w:sz w:val="24"/>
          <w:szCs w:val="24"/>
          <w:lang w:eastAsia="en-IN"/>
        </w:rPr>
        <w:t>:</w:t>
      </w:r>
    </w:p>
    <w:p w14:paraId="7E8B09DA"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Final forecast=w1(Ridge)+w2(Elastic Net)+w3(Extra Trees)+w4(Hist Gradient Boosting)+w5(XGBoost)+w6(Regime Analog)+w7(Seasonal Model)\text{Final forecast} = w_1(\text{Ridge}) +w_2(\text{Elastic Net}) +w_3(\text{Extra Trees}) +w_4(\text{Hist Gradient Boosting}) +w_5(\text{XGBoost}) +w_6(\text{Regime Analog}) +w_7(\text{Seasonal Model}) </w:t>
      </w:r>
    </w:p>
    <w:p w14:paraId="3705F917"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 weights themselves adapt according to each model's recent out-of-sample error.</w:t>
      </w:r>
    </w:p>
    <w:p w14:paraId="7B31BBCC"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Most importantly, </w:t>
      </w:r>
      <w:r w:rsidRPr="007E15D2">
        <w:rPr>
          <w:rFonts w:ascii="Times New Roman" w:eastAsia="Times New Roman" w:hAnsi="Times New Roman" w:cs="Times New Roman"/>
          <w:b/>
          <w:bCs/>
          <w:sz w:val="24"/>
          <w:szCs w:val="24"/>
          <w:lang w:eastAsia="en-IN"/>
        </w:rPr>
        <w:t>there is no random train/test split</w:t>
      </w:r>
      <w:r w:rsidRPr="007E15D2">
        <w:rPr>
          <w:rFonts w:ascii="Times New Roman" w:eastAsia="Times New Roman" w:hAnsi="Times New Roman" w:cs="Times New Roman"/>
          <w:sz w:val="24"/>
          <w:szCs w:val="24"/>
          <w:lang w:eastAsia="en-IN"/>
        </w:rPr>
        <w:t>. That would leak future information into the past. The models are trained chronologically.</w:t>
      </w:r>
    </w:p>
    <w:p w14:paraId="3DFE7626"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lastRenderedPageBreak/>
        <w:pict w14:anchorId="5DDE68F9">
          <v:rect id="_x0000_i1042" style="width:0;height:1.5pt" o:hralign="center" o:hrstd="t" o:hr="t" fillcolor="#a0a0a0" stroked="f"/>
        </w:pict>
      </w:r>
    </w:p>
    <w:p w14:paraId="66075F27" w14:textId="77777777" w:rsidR="007E15D2" w:rsidRPr="007E15D2" w:rsidRDefault="007E15D2" w:rsidP="007E15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E15D2">
        <w:rPr>
          <w:rFonts w:ascii="Times New Roman" w:eastAsia="Times New Roman" w:hAnsi="Times New Roman" w:cs="Times New Roman"/>
          <w:b/>
          <w:bCs/>
          <w:kern w:val="36"/>
          <w:sz w:val="48"/>
          <w:szCs w:val="48"/>
          <w:lang w:eastAsia="en-IN"/>
        </w:rPr>
        <w:t>What happened in the walk-forward test?</w:t>
      </w:r>
    </w:p>
    <w:p w14:paraId="43DA42B8"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From the October 2021 starting point through the latest completed month, I obtained </w:t>
      </w:r>
      <w:r w:rsidRPr="007E15D2">
        <w:rPr>
          <w:rFonts w:ascii="Times New Roman" w:eastAsia="Times New Roman" w:hAnsi="Times New Roman" w:cs="Times New Roman"/>
          <w:b/>
          <w:bCs/>
          <w:sz w:val="24"/>
          <w:szCs w:val="24"/>
          <w:lang w:eastAsia="en-IN"/>
        </w:rPr>
        <w:t>59 genuine one-month-ahead out-of-sample forecasts</w:t>
      </w:r>
      <w:r w:rsidRPr="007E15D2">
        <w:rPr>
          <w:rFonts w:ascii="Times New Roman" w:eastAsia="Times New Roman" w:hAnsi="Times New Roman" w:cs="Times New Roman"/>
          <w:sz w:val="24"/>
          <w:szCs w:val="24"/>
          <w:lang w:eastAsia="en-IN"/>
        </w:rPr>
        <w:t>.</w:t>
      </w:r>
    </w:p>
    <w:p w14:paraId="273E67BC"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 aggregate performance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8"/>
        <w:gridCol w:w="2362"/>
      </w:tblGrid>
      <w:tr w:rsidR="007E15D2" w:rsidRPr="007E15D2" w14:paraId="5F0757DB" w14:textId="77777777" w:rsidTr="007E15D2">
        <w:trPr>
          <w:tblHeader/>
          <w:tblCellSpacing w:w="15" w:type="dxa"/>
        </w:trPr>
        <w:tc>
          <w:tcPr>
            <w:tcW w:w="0" w:type="auto"/>
            <w:vAlign w:val="center"/>
            <w:hideMark/>
          </w:tcPr>
          <w:p w14:paraId="201E5770" w14:textId="77777777" w:rsidR="007E15D2" w:rsidRPr="007E15D2" w:rsidRDefault="007E15D2" w:rsidP="007E15D2">
            <w:pPr>
              <w:spacing w:after="0" w:line="240" w:lineRule="auto"/>
              <w:jc w:val="center"/>
              <w:rPr>
                <w:rFonts w:ascii="Times New Roman" w:eastAsia="Times New Roman" w:hAnsi="Times New Roman" w:cs="Times New Roman"/>
                <w:b/>
                <w:bCs/>
                <w:sz w:val="24"/>
                <w:szCs w:val="24"/>
                <w:lang w:eastAsia="en-IN"/>
              </w:rPr>
            </w:pPr>
            <w:r w:rsidRPr="007E15D2">
              <w:rPr>
                <w:rFonts w:ascii="Times New Roman" w:eastAsia="Times New Roman" w:hAnsi="Times New Roman" w:cs="Times New Roman"/>
                <w:b/>
                <w:bCs/>
                <w:sz w:val="24"/>
                <w:szCs w:val="24"/>
                <w:lang w:eastAsia="en-IN"/>
              </w:rPr>
              <w:t>Metric</w:t>
            </w:r>
          </w:p>
        </w:tc>
        <w:tc>
          <w:tcPr>
            <w:tcW w:w="0" w:type="auto"/>
            <w:vAlign w:val="center"/>
            <w:hideMark/>
          </w:tcPr>
          <w:p w14:paraId="470D29BF" w14:textId="77777777" w:rsidR="007E15D2" w:rsidRPr="007E15D2" w:rsidRDefault="007E15D2" w:rsidP="007E15D2">
            <w:pPr>
              <w:spacing w:after="0" w:line="240" w:lineRule="auto"/>
              <w:jc w:val="center"/>
              <w:rPr>
                <w:rFonts w:ascii="Times New Roman" w:eastAsia="Times New Roman" w:hAnsi="Times New Roman" w:cs="Times New Roman"/>
                <w:b/>
                <w:bCs/>
                <w:sz w:val="24"/>
                <w:szCs w:val="24"/>
                <w:lang w:eastAsia="en-IN"/>
              </w:rPr>
            </w:pPr>
            <w:r w:rsidRPr="007E15D2">
              <w:rPr>
                <w:rFonts w:ascii="Times New Roman" w:eastAsia="Times New Roman" w:hAnsi="Times New Roman" w:cs="Times New Roman"/>
                <w:b/>
                <w:bCs/>
                <w:sz w:val="24"/>
                <w:szCs w:val="24"/>
                <w:lang w:eastAsia="en-IN"/>
              </w:rPr>
              <w:t>Ensemble</w:t>
            </w:r>
          </w:p>
        </w:tc>
      </w:tr>
      <w:tr w:rsidR="007E15D2" w:rsidRPr="007E15D2" w14:paraId="3C66C180" w14:textId="77777777" w:rsidTr="007E15D2">
        <w:trPr>
          <w:tblCellSpacing w:w="15" w:type="dxa"/>
        </w:trPr>
        <w:tc>
          <w:tcPr>
            <w:tcW w:w="0" w:type="auto"/>
            <w:vAlign w:val="center"/>
            <w:hideMark/>
          </w:tcPr>
          <w:p w14:paraId="37C253BC"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Forecasts</w:t>
            </w:r>
          </w:p>
        </w:tc>
        <w:tc>
          <w:tcPr>
            <w:tcW w:w="0" w:type="auto"/>
            <w:vAlign w:val="center"/>
            <w:hideMark/>
          </w:tcPr>
          <w:p w14:paraId="351331B5"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59</w:t>
            </w:r>
          </w:p>
        </w:tc>
      </w:tr>
      <w:tr w:rsidR="007E15D2" w:rsidRPr="007E15D2" w14:paraId="3E588EC8" w14:textId="77777777" w:rsidTr="007E15D2">
        <w:trPr>
          <w:tblCellSpacing w:w="15" w:type="dxa"/>
        </w:trPr>
        <w:tc>
          <w:tcPr>
            <w:tcW w:w="0" w:type="auto"/>
            <w:vAlign w:val="center"/>
            <w:hideMark/>
          </w:tcPr>
          <w:p w14:paraId="4D1A0FAF"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Mean Absolute Error</w:t>
            </w:r>
          </w:p>
        </w:tc>
        <w:tc>
          <w:tcPr>
            <w:tcW w:w="0" w:type="auto"/>
            <w:vAlign w:val="center"/>
            <w:hideMark/>
          </w:tcPr>
          <w:p w14:paraId="7BD891A6"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b/>
                <w:bCs/>
                <w:sz w:val="24"/>
                <w:szCs w:val="24"/>
                <w:lang w:eastAsia="en-IN"/>
              </w:rPr>
              <w:t>3.04 percentage points</w:t>
            </w:r>
          </w:p>
        </w:tc>
      </w:tr>
      <w:tr w:rsidR="007E15D2" w:rsidRPr="007E15D2" w14:paraId="2EACE296" w14:textId="77777777" w:rsidTr="007E15D2">
        <w:trPr>
          <w:tblCellSpacing w:w="15" w:type="dxa"/>
        </w:trPr>
        <w:tc>
          <w:tcPr>
            <w:tcW w:w="0" w:type="auto"/>
            <w:vAlign w:val="center"/>
            <w:hideMark/>
          </w:tcPr>
          <w:p w14:paraId="666A63B3"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RMSE</w:t>
            </w:r>
          </w:p>
        </w:tc>
        <w:tc>
          <w:tcPr>
            <w:tcW w:w="0" w:type="auto"/>
            <w:vAlign w:val="center"/>
            <w:hideMark/>
          </w:tcPr>
          <w:p w14:paraId="1A7FAA17"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b/>
                <w:bCs/>
                <w:sz w:val="24"/>
                <w:szCs w:val="24"/>
                <w:lang w:eastAsia="en-IN"/>
              </w:rPr>
              <w:t>3.92 percentage points</w:t>
            </w:r>
          </w:p>
        </w:tc>
      </w:tr>
      <w:tr w:rsidR="007E15D2" w:rsidRPr="007E15D2" w14:paraId="7E5D3C90" w14:textId="77777777" w:rsidTr="007E15D2">
        <w:trPr>
          <w:tblCellSpacing w:w="15" w:type="dxa"/>
        </w:trPr>
        <w:tc>
          <w:tcPr>
            <w:tcW w:w="0" w:type="auto"/>
            <w:vAlign w:val="center"/>
            <w:hideMark/>
          </w:tcPr>
          <w:p w14:paraId="397D711B"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Correct direction</w:t>
            </w:r>
          </w:p>
        </w:tc>
        <w:tc>
          <w:tcPr>
            <w:tcW w:w="0" w:type="auto"/>
            <w:vAlign w:val="center"/>
            <w:hideMark/>
          </w:tcPr>
          <w:p w14:paraId="1C68DFC5"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b/>
                <w:bCs/>
                <w:sz w:val="24"/>
                <w:szCs w:val="24"/>
                <w:lang w:eastAsia="en-IN"/>
              </w:rPr>
              <w:t>61.0%</w:t>
            </w:r>
          </w:p>
        </w:tc>
      </w:tr>
      <w:tr w:rsidR="007E15D2" w:rsidRPr="007E15D2" w14:paraId="3D12111B" w14:textId="77777777" w:rsidTr="007E15D2">
        <w:trPr>
          <w:tblCellSpacing w:w="15" w:type="dxa"/>
        </w:trPr>
        <w:tc>
          <w:tcPr>
            <w:tcW w:w="0" w:type="auto"/>
            <w:vAlign w:val="center"/>
            <w:hideMark/>
          </w:tcPr>
          <w:p w14:paraId="59E962C3"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Average bias</w:t>
            </w:r>
          </w:p>
        </w:tc>
        <w:tc>
          <w:tcPr>
            <w:tcW w:w="0" w:type="auto"/>
            <w:vAlign w:val="center"/>
            <w:hideMark/>
          </w:tcPr>
          <w:p w14:paraId="697EB5D1"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b/>
                <w:bCs/>
                <w:sz w:val="24"/>
                <w:szCs w:val="24"/>
                <w:lang w:eastAsia="en-IN"/>
              </w:rPr>
              <w:t>-0.27 pp</w:t>
            </w:r>
          </w:p>
        </w:tc>
      </w:tr>
      <w:tr w:rsidR="007E15D2" w:rsidRPr="007E15D2" w14:paraId="1D9FEDEC" w14:textId="77777777" w:rsidTr="007E15D2">
        <w:trPr>
          <w:tblCellSpacing w:w="15" w:type="dxa"/>
        </w:trPr>
        <w:tc>
          <w:tcPr>
            <w:tcW w:w="0" w:type="auto"/>
            <w:vAlign w:val="center"/>
            <w:hideMark/>
          </w:tcPr>
          <w:p w14:paraId="79270E26"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Forecast/actual correlation</w:t>
            </w:r>
          </w:p>
        </w:tc>
        <w:tc>
          <w:tcPr>
            <w:tcW w:w="0" w:type="auto"/>
            <w:vAlign w:val="center"/>
            <w:hideMark/>
          </w:tcPr>
          <w:p w14:paraId="6A56C3BC"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b/>
                <w:bCs/>
                <w:sz w:val="24"/>
                <w:szCs w:val="24"/>
                <w:lang w:eastAsia="en-IN"/>
              </w:rPr>
              <w:t>0.046</w:t>
            </w:r>
          </w:p>
        </w:tc>
      </w:tr>
    </w:tbl>
    <w:p w14:paraId="1B773C6C"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 encouraging part is the 61% directional accuracy.</w:t>
      </w:r>
    </w:p>
    <w:p w14:paraId="4855ABDD"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 less encouraging part is the correlation.</w:t>
      </w:r>
    </w:p>
    <w:p w14:paraId="19AF12B5"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That combination tells us something very important:</w:t>
      </w:r>
    </w:p>
    <w:p w14:paraId="6C6D5FED" w14:textId="77777777" w:rsidR="007E15D2" w:rsidRPr="007E15D2" w:rsidRDefault="007E15D2" w:rsidP="007E15D2">
      <w:pPr>
        <w:spacing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b/>
          <w:bCs/>
          <w:sz w:val="24"/>
          <w:szCs w:val="24"/>
          <w:lang w:eastAsia="en-IN"/>
        </w:rPr>
        <w:t>The model has some ability to distinguish positive and negative months, but it is not yet good at estimating the size of the move.</w:t>
      </w:r>
    </w:p>
    <w:p w14:paraId="3B05ED73"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That is exactly where I would concentrate the next iteration.</w:t>
      </w:r>
    </w:p>
    <w:p w14:paraId="6D733369"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pict w14:anchorId="386DF96A">
          <v:rect id="_x0000_i1043" style="width:0;height:1.5pt" o:hralign="center" o:hrstd="t" o:hr="t" fillcolor="#a0a0a0" stroked="f"/>
        </w:pict>
      </w:r>
    </w:p>
    <w:p w14:paraId="77882CCA" w14:textId="77777777" w:rsidR="007E15D2" w:rsidRPr="007E15D2" w:rsidRDefault="007E15D2" w:rsidP="007E15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E15D2">
        <w:rPr>
          <w:rFonts w:ascii="Times New Roman" w:eastAsia="Times New Roman" w:hAnsi="Times New Roman" w:cs="Times New Roman"/>
          <w:b/>
          <w:bCs/>
          <w:kern w:val="36"/>
          <w:sz w:val="48"/>
          <w:szCs w:val="48"/>
          <w:lang w:eastAsia="en-IN"/>
        </w:rPr>
        <w:t>The really important comparison</w:t>
      </w:r>
    </w:p>
    <w:p w14:paraId="3E2B4615"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I also forced the system to compete against a very stupid model:</w:t>
      </w:r>
    </w:p>
    <w:p w14:paraId="1D2C617B" w14:textId="77777777" w:rsidR="007E15D2" w:rsidRPr="007E15D2" w:rsidRDefault="007E15D2" w:rsidP="007E15D2">
      <w:pPr>
        <w:spacing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"Next month's return will be approximately the historical seasonal return for that calendar month."</w:t>
      </w:r>
    </w:p>
    <w:p w14:paraId="4AA47AF5"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That baseline produced: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720"/>
        <w:gridCol w:w="754"/>
        <w:gridCol w:w="1035"/>
      </w:tblGrid>
      <w:tr w:rsidR="007E15D2" w:rsidRPr="007E15D2" w14:paraId="307B2041" w14:textId="77777777" w:rsidTr="007E15D2">
        <w:trPr>
          <w:tblHeader/>
          <w:tblCellSpacing w:w="15" w:type="dxa"/>
        </w:trPr>
        <w:tc>
          <w:tcPr>
            <w:tcW w:w="0" w:type="auto"/>
            <w:vAlign w:val="center"/>
            <w:hideMark/>
          </w:tcPr>
          <w:p w14:paraId="230DE997" w14:textId="77777777" w:rsidR="007E15D2" w:rsidRPr="007E15D2" w:rsidRDefault="007E15D2" w:rsidP="007E15D2">
            <w:pPr>
              <w:spacing w:after="0" w:line="240" w:lineRule="auto"/>
              <w:jc w:val="center"/>
              <w:rPr>
                <w:rFonts w:ascii="Times New Roman" w:eastAsia="Times New Roman" w:hAnsi="Times New Roman" w:cs="Times New Roman"/>
                <w:b/>
                <w:bCs/>
                <w:sz w:val="24"/>
                <w:szCs w:val="24"/>
                <w:lang w:eastAsia="en-IN"/>
              </w:rPr>
            </w:pPr>
            <w:r w:rsidRPr="007E15D2">
              <w:rPr>
                <w:rFonts w:ascii="Times New Roman" w:eastAsia="Times New Roman" w:hAnsi="Times New Roman" w:cs="Times New Roman"/>
                <w:b/>
                <w:bCs/>
                <w:sz w:val="24"/>
                <w:szCs w:val="24"/>
                <w:lang w:eastAsia="en-IN"/>
              </w:rPr>
              <w:t>Model</w:t>
            </w:r>
          </w:p>
        </w:tc>
        <w:tc>
          <w:tcPr>
            <w:tcW w:w="0" w:type="auto"/>
            <w:vAlign w:val="center"/>
            <w:hideMark/>
          </w:tcPr>
          <w:p w14:paraId="67C6FE80" w14:textId="77777777" w:rsidR="007E15D2" w:rsidRPr="007E15D2" w:rsidRDefault="007E15D2" w:rsidP="007E15D2">
            <w:pPr>
              <w:spacing w:after="0" w:line="240" w:lineRule="auto"/>
              <w:jc w:val="center"/>
              <w:rPr>
                <w:rFonts w:ascii="Times New Roman" w:eastAsia="Times New Roman" w:hAnsi="Times New Roman" w:cs="Times New Roman"/>
                <w:b/>
                <w:bCs/>
                <w:sz w:val="24"/>
                <w:szCs w:val="24"/>
                <w:lang w:eastAsia="en-IN"/>
              </w:rPr>
            </w:pPr>
            <w:r w:rsidRPr="007E15D2">
              <w:rPr>
                <w:rFonts w:ascii="Times New Roman" w:eastAsia="Times New Roman" w:hAnsi="Times New Roman" w:cs="Times New Roman"/>
                <w:b/>
                <w:bCs/>
                <w:sz w:val="24"/>
                <w:szCs w:val="24"/>
                <w:lang w:eastAsia="en-IN"/>
              </w:rPr>
              <w:t>MAE</w:t>
            </w:r>
          </w:p>
        </w:tc>
        <w:tc>
          <w:tcPr>
            <w:tcW w:w="0" w:type="auto"/>
            <w:vAlign w:val="center"/>
            <w:hideMark/>
          </w:tcPr>
          <w:p w14:paraId="581E5AA0" w14:textId="77777777" w:rsidR="007E15D2" w:rsidRPr="007E15D2" w:rsidRDefault="007E15D2" w:rsidP="007E15D2">
            <w:pPr>
              <w:spacing w:after="0" w:line="240" w:lineRule="auto"/>
              <w:jc w:val="center"/>
              <w:rPr>
                <w:rFonts w:ascii="Times New Roman" w:eastAsia="Times New Roman" w:hAnsi="Times New Roman" w:cs="Times New Roman"/>
                <w:b/>
                <w:bCs/>
                <w:sz w:val="24"/>
                <w:szCs w:val="24"/>
                <w:lang w:eastAsia="en-IN"/>
              </w:rPr>
            </w:pPr>
            <w:r w:rsidRPr="007E15D2">
              <w:rPr>
                <w:rFonts w:ascii="Times New Roman" w:eastAsia="Times New Roman" w:hAnsi="Times New Roman" w:cs="Times New Roman"/>
                <w:b/>
                <w:bCs/>
                <w:sz w:val="24"/>
                <w:szCs w:val="24"/>
                <w:lang w:eastAsia="en-IN"/>
              </w:rPr>
              <w:t>RMSE</w:t>
            </w:r>
          </w:p>
        </w:tc>
        <w:tc>
          <w:tcPr>
            <w:tcW w:w="0" w:type="auto"/>
            <w:vAlign w:val="center"/>
            <w:hideMark/>
          </w:tcPr>
          <w:p w14:paraId="1F879C12" w14:textId="77777777" w:rsidR="007E15D2" w:rsidRPr="007E15D2" w:rsidRDefault="007E15D2" w:rsidP="007E15D2">
            <w:pPr>
              <w:spacing w:after="0" w:line="240" w:lineRule="auto"/>
              <w:jc w:val="center"/>
              <w:rPr>
                <w:rFonts w:ascii="Times New Roman" w:eastAsia="Times New Roman" w:hAnsi="Times New Roman" w:cs="Times New Roman"/>
                <w:b/>
                <w:bCs/>
                <w:sz w:val="24"/>
                <w:szCs w:val="24"/>
                <w:lang w:eastAsia="en-IN"/>
              </w:rPr>
            </w:pPr>
            <w:r w:rsidRPr="007E15D2">
              <w:rPr>
                <w:rFonts w:ascii="Times New Roman" w:eastAsia="Times New Roman" w:hAnsi="Times New Roman" w:cs="Times New Roman"/>
                <w:b/>
                <w:bCs/>
                <w:sz w:val="24"/>
                <w:szCs w:val="24"/>
                <w:lang w:eastAsia="en-IN"/>
              </w:rPr>
              <w:t>Direction</w:t>
            </w:r>
          </w:p>
        </w:tc>
      </w:tr>
      <w:tr w:rsidR="007E15D2" w:rsidRPr="007E15D2" w14:paraId="0D6AA4D3" w14:textId="77777777" w:rsidTr="007E15D2">
        <w:trPr>
          <w:tblCellSpacing w:w="15" w:type="dxa"/>
        </w:trPr>
        <w:tc>
          <w:tcPr>
            <w:tcW w:w="0" w:type="auto"/>
            <w:vAlign w:val="center"/>
            <w:hideMark/>
          </w:tcPr>
          <w:p w14:paraId="7E911C8D"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b/>
                <w:bCs/>
                <w:sz w:val="24"/>
                <w:szCs w:val="24"/>
                <w:lang w:eastAsia="en-IN"/>
              </w:rPr>
              <w:t>Our ensemble</w:t>
            </w:r>
          </w:p>
        </w:tc>
        <w:tc>
          <w:tcPr>
            <w:tcW w:w="0" w:type="auto"/>
            <w:vAlign w:val="center"/>
            <w:hideMark/>
          </w:tcPr>
          <w:p w14:paraId="20013D3E"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b/>
                <w:bCs/>
                <w:sz w:val="24"/>
                <w:szCs w:val="24"/>
                <w:lang w:eastAsia="en-IN"/>
              </w:rPr>
              <w:t>3.04%</w:t>
            </w:r>
          </w:p>
        </w:tc>
        <w:tc>
          <w:tcPr>
            <w:tcW w:w="0" w:type="auto"/>
            <w:vAlign w:val="center"/>
            <w:hideMark/>
          </w:tcPr>
          <w:p w14:paraId="6A973C47"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b/>
                <w:bCs/>
                <w:sz w:val="24"/>
                <w:szCs w:val="24"/>
                <w:lang w:eastAsia="en-IN"/>
              </w:rPr>
              <w:t>3.92%</w:t>
            </w:r>
          </w:p>
        </w:tc>
        <w:tc>
          <w:tcPr>
            <w:tcW w:w="0" w:type="auto"/>
            <w:vAlign w:val="center"/>
            <w:hideMark/>
          </w:tcPr>
          <w:p w14:paraId="46F057F1"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b/>
                <w:bCs/>
                <w:sz w:val="24"/>
                <w:szCs w:val="24"/>
                <w:lang w:eastAsia="en-IN"/>
              </w:rPr>
              <w:t>61.0%</w:t>
            </w:r>
          </w:p>
        </w:tc>
      </w:tr>
      <w:tr w:rsidR="007E15D2" w:rsidRPr="007E15D2" w14:paraId="02C33692" w14:textId="77777777" w:rsidTr="007E15D2">
        <w:trPr>
          <w:tblCellSpacing w:w="15" w:type="dxa"/>
        </w:trPr>
        <w:tc>
          <w:tcPr>
            <w:tcW w:w="0" w:type="auto"/>
            <w:vAlign w:val="center"/>
            <w:hideMark/>
          </w:tcPr>
          <w:p w14:paraId="4F41F82F"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Seasonal baseline</w:t>
            </w:r>
          </w:p>
        </w:tc>
        <w:tc>
          <w:tcPr>
            <w:tcW w:w="0" w:type="auto"/>
            <w:vAlign w:val="center"/>
            <w:hideMark/>
          </w:tcPr>
          <w:p w14:paraId="30DB127E"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3.10%</w:t>
            </w:r>
          </w:p>
        </w:tc>
        <w:tc>
          <w:tcPr>
            <w:tcW w:w="0" w:type="auto"/>
            <w:vAlign w:val="center"/>
            <w:hideMark/>
          </w:tcPr>
          <w:p w14:paraId="5F61496F"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4.01%</w:t>
            </w:r>
          </w:p>
        </w:tc>
        <w:tc>
          <w:tcPr>
            <w:tcW w:w="0" w:type="auto"/>
            <w:vAlign w:val="center"/>
            <w:hideMark/>
          </w:tcPr>
          <w:p w14:paraId="324B031D"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59.3%</w:t>
            </w:r>
          </w:p>
        </w:tc>
      </w:tr>
    </w:tbl>
    <w:p w14:paraId="16113A03"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So the sophisticated model improves MAE by only about:</w:t>
      </w:r>
    </w:p>
    <w:p w14:paraId="2DEB36B2"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lastRenderedPageBreak/>
        <w:t xml:space="preserve">3.10−3.04=0.06 percentage points3.10-3.04=\boxed{0.06\text{ percentage points}} </w:t>
      </w:r>
    </w:p>
    <w:p w14:paraId="339E1E96"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That is tiny.</w:t>
      </w:r>
    </w:p>
    <w:p w14:paraId="540824C0"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This is one of the most valuable findings of the entire experiment.</w:t>
      </w:r>
    </w:p>
    <w:p w14:paraId="5776C5CC"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It means that </w:t>
      </w:r>
      <w:r w:rsidRPr="007E15D2">
        <w:rPr>
          <w:rFonts w:ascii="Times New Roman" w:eastAsia="Times New Roman" w:hAnsi="Times New Roman" w:cs="Times New Roman"/>
          <w:b/>
          <w:bCs/>
          <w:sz w:val="24"/>
          <w:szCs w:val="24"/>
          <w:lang w:eastAsia="en-IN"/>
        </w:rPr>
        <w:t>complexity has not yet translated into a large predictive advantage</w:t>
      </w:r>
      <w:r w:rsidRPr="007E15D2">
        <w:rPr>
          <w:rFonts w:ascii="Times New Roman" w:eastAsia="Times New Roman" w:hAnsi="Times New Roman" w:cs="Times New Roman"/>
          <w:sz w:val="24"/>
          <w:szCs w:val="24"/>
          <w:lang w:eastAsia="en-IN"/>
        </w:rPr>
        <w:t>.</w:t>
      </w:r>
    </w:p>
    <w:p w14:paraId="028EFA1B"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I would not hide this result, because this is precisely how we prevent ourselves from building an impressive-looking model that is actually just overfitting.</w:t>
      </w:r>
    </w:p>
    <w:p w14:paraId="421D8CDD"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pict w14:anchorId="6E0632FE">
          <v:rect id="_x0000_i1044" style="width:0;height:1.5pt" o:hralign="center" o:hrstd="t" o:hr="t" fillcolor="#a0a0a0" stroked="f"/>
        </w:pict>
      </w:r>
    </w:p>
    <w:p w14:paraId="02B1D6D4" w14:textId="77777777" w:rsidR="007E15D2" w:rsidRPr="007E15D2" w:rsidRDefault="007E15D2" w:rsidP="007E15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E15D2">
        <w:rPr>
          <w:rFonts w:ascii="Times New Roman" w:eastAsia="Times New Roman" w:hAnsi="Times New Roman" w:cs="Times New Roman"/>
          <w:b/>
          <w:bCs/>
          <w:kern w:val="36"/>
          <w:sz w:val="48"/>
          <w:szCs w:val="48"/>
          <w:lang w:eastAsia="en-IN"/>
        </w:rPr>
        <w:t>Where is the model going wrong?</w:t>
      </w:r>
    </w:p>
    <w:p w14:paraId="7B8B33A4"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I looked at the errors rather than simply optimizing the average score.</w:t>
      </w:r>
    </w:p>
    <w:p w14:paraId="2649165D"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There are three major failure modes.</w:t>
      </w:r>
    </w:p>
    <w:p w14:paraId="5CEBBB09" w14:textId="77777777" w:rsidR="007E15D2" w:rsidRPr="007E15D2" w:rsidRDefault="007E15D2" w:rsidP="007E15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15D2">
        <w:rPr>
          <w:rFonts w:ascii="Times New Roman" w:eastAsia="Times New Roman" w:hAnsi="Times New Roman" w:cs="Times New Roman"/>
          <w:b/>
          <w:bCs/>
          <w:sz w:val="27"/>
          <w:szCs w:val="27"/>
          <w:lang w:eastAsia="en-IN"/>
        </w:rPr>
        <w:t>1. It cannot anticipate shocks</w:t>
      </w:r>
    </w:p>
    <w:p w14:paraId="5A732C86"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For example, the model badly underestimated some very large monthly moves.</w:t>
      </w:r>
    </w:p>
    <w:p w14:paraId="0F7FEBDF"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One of the largest recent examples is:</w:t>
      </w:r>
    </w:p>
    <w:p w14:paraId="39887FA9"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b/>
          <w:bCs/>
          <w:sz w:val="24"/>
          <w:szCs w:val="24"/>
          <w:lang w:eastAsia="en-IN"/>
        </w:rPr>
        <w:t>February 2026 → March 2026</w:t>
      </w:r>
    </w:p>
    <w:p w14:paraId="44965255"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Actual Nifty return:</w:t>
      </w:r>
    </w:p>
    <w:p w14:paraId="55E15BD9"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−11.3%\boxed{-11.3\%} </w:t>
      </w:r>
    </w:p>
    <w:p w14:paraId="418D6CEC"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Model:</w:t>
      </w:r>
    </w:p>
    <w:p w14:paraId="69987272"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approximately</w:t>
      </w:r>
    </w:p>
    <w:p w14:paraId="186B8204"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−0.3%\boxed{-0.3\%} </w:t>
      </w:r>
    </w:p>
    <w:p w14:paraId="6F679DEE"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The model therefore missed approximately </w:t>
      </w:r>
      <w:r w:rsidRPr="007E15D2">
        <w:rPr>
          <w:rFonts w:ascii="Times New Roman" w:eastAsia="Times New Roman" w:hAnsi="Times New Roman" w:cs="Times New Roman"/>
          <w:b/>
          <w:bCs/>
          <w:sz w:val="24"/>
          <w:szCs w:val="24"/>
          <w:lang w:eastAsia="en-IN"/>
        </w:rPr>
        <w:t>11 percentage points</w:t>
      </w:r>
      <w:r w:rsidRPr="007E15D2">
        <w:rPr>
          <w:rFonts w:ascii="Times New Roman" w:eastAsia="Times New Roman" w:hAnsi="Times New Roman" w:cs="Times New Roman"/>
          <w:sz w:val="24"/>
          <w:szCs w:val="24"/>
          <w:lang w:eastAsia="en-IN"/>
        </w:rPr>
        <w:t>.</w:t>
      </w:r>
    </w:p>
    <w:p w14:paraId="7522A26D"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There is an equivalent problem on the upside. July 2022 produced a very large positive return and the model was far too conservative.</w:t>
      </w:r>
    </w:p>
    <w:p w14:paraId="4CBE3040"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This reveals a structural problem:</w:t>
      </w:r>
    </w:p>
    <w:p w14:paraId="374DDC72"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Prediction distribution is too compressed toward zero\text{Prediction distribution is too compressed toward zero} </w:t>
      </w:r>
    </w:p>
    <w:p w14:paraId="410EC90C"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In plain English:</w:t>
      </w:r>
    </w:p>
    <w:p w14:paraId="6F439DB5"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b/>
          <w:bCs/>
          <w:sz w:val="24"/>
          <w:szCs w:val="24"/>
          <w:lang w:eastAsia="en-IN"/>
        </w:rPr>
        <w:lastRenderedPageBreak/>
        <w:t>the model is too afraid of extreme outcomes.</w:t>
      </w:r>
    </w:p>
    <w:p w14:paraId="10062C7B"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pict w14:anchorId="7EDF3228">
          <v:rect id="_x0000_i1045" style="width:0;height:1.5pt" o:hralign="center" o:hrstd="t" o:hr="t" fillcolor="#a0a0a0" stroked="f"/>
        </w:pict>
      </w:r>
    </w:p>
    <w:p w14:paraId="57E52ABF" w14:textId="77777777" w:rsidR="007E15D2" w:rsidRPr="007E15D2" w:rsidRDefault="007E15D2" w:rsidP="007E15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15D2">
        <w:rPr>
          <w:rFonts w:ascii="Times New Roman" w:eastAsia="Times New Roman" w:hAnsi="Times New Roman" w:cs="Times New Roman"/>
          <w:b/>
          <w:bCs/>
          <w:sz w:val="27"/>
          <w:szCs w:val="27"/>
          <w:lang w:eastAsia="en-IN"/>
        </w:rPr>
        <w:t>2. Negative months are much harder</w:t>
      </w:r>
    </w:p>
    <w:p w14:paraId="0DA5C6D8"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When the preceding month was positive:</w:t>
      </w:r>
    </w:p>
    <w:p w14:paraId="2BC9FDB3"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MAE≈2.38%MAE\approx2.38\% </w:t>
      </w:r>
    </w:p>
    <w:p w14:paraId="7F167C76"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When the preceding month was negative:</w:t>
      </w:r>
    </w:p>
    <w:p w14:paraId="1CB1C32A"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MAE≈3.96%MAE\approx3.96\% </w:t>
      </w:r>
    </w:p>
    <w:p w14:paraId="6A98E551"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That's a large difference.</w:t>
      </w:r>
    </w:p>
    <w:p w14:paraId="06A24413"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So the relationship isn't symmetric.</w:t>
      </w:r>
    </w:p>
    <w:p w14:paraId="1A1A32BE"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 market appears to behave differently after:</w:t>
      </w:r>
    </w:p>
    <w:p w14:paraId="7A197272"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rt&lt;0r_t&lt;0 </w:t>
      </w:r>
    </w:p>
    <w:p w14:paraId="3D486DEF"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than after:</w:t>
      </w:r>
    </w:p>
    <w:p w14:paraId="1EAE40AB"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rt&gt;0r_t&gt;0 </w:t>
      </w:r>
    </w:p>
    <w:p w14:paraId="1DF3A79B"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This is a strong reason to move from a single continuous regression toward a </w:t>
      </w:r>
      <w:r w:rsidRPr="007E15D2">
        <w:rPr>
          <w:rFonts w:ascii="Times New Roman" w:eastAsia="Times New Roman" w:hAnsi="Times New Roman" w:cs="Times New Roman"/>
          <w:b/>
          <w:bCs/>
          <w:sz w:val="24"/>
          <w:szCs w:val="24"/>
          <w:lang w:eastAsia="en-IN"/>
        </w:rPr>
        <w:t>regime/state model</w:t>
      </w:r>
      <w:r w:rsidRPr="007E15D2">
        <w:rPr>
          <w:rFonts w:ascii="Times New Roman" w:eastAsia="Times New Roman" w:hAnsi="Times New Roman" w:cs="Times New Roman"/>
          <w:sz w:val="24"/>
          <w:szCs w:val="24"/>
          <w:lang w:eastAsia="en-IN"/>
        </w:rPr>
        <w:t>.</w:t>
      </w:r>
    </w:p>
    <w:p w14:paraId="2771A3BA"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pict w14:anchorId="53941A59">
          <v:rect id="_x0000_i1046" style="width:0;height:1.5pt" o:hralign="center" o:hrstd="t" o:hr="t" fillcolor="#a0a0a0" stroked="f"/>
        </w:pict>
      </w:r>
    </w:p>
    <w:p w14:paraId="4DA2D5CF" w14:textId="77777777" w:rsidR="007E15D2" w:rsidRPr="007E15D2" w:rsidRDefault="007E15D2" w:rsidP="007E15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15D2">
        <w:rPr>
          <w:rFonts w:ascii="Times New Roman" w:eastAsia="Times New Roman" w:hAnsi="Times New Roman" w:cs="Times New Roman"/>
          <w:b/>
          <w:bCs/>
          <w:sz w:val="27"/>
          <w:szCs w:val="27"/>
          <w:lang w:eastAsia="en-IN"/>
        </w:rPr>
        <w:t>3. International variables are not automatically helpful</w:t>
      </w:r>
    </w:p>
    <w:p w14:paraId="7AF14BB9"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Surprisingly, throwing S&amp;P, oil, gold, USDINR, VIX and China into the machine does </w:t>
      </w:r>
      <w:r w:rsidRPr="007E15D2">
        <w:rPr>
          <w:rFonts w:ascii="Times New Roman" w:eastAsia="Times New Roman" w:hAnsi="Times New Roman" w:cs="Times New Roman"/>
          <w:b/>
          <w:bCs/>
          <w:sz w:val="24"/>
          <w:szCs w:val="24"/>
          <w:lang w:eastAsia="en-IN"/>
        </w:rPr>
        <w:t>not</w:t>
      </w:r>
      <w:r w:rsidRPr="007E15D2">
        <w:rPr>
          <w:rFonts w:ascii="Times New Roman" w:eastAsia="Times New Roman" w:hAnsi="Times New Roman" w:cs="Times New Roman"/>
          <w:sz w:val="24"/>
          <w:szCs w:val="24"/>
          <w:lang w:eastAsia="en-IN"/>
        </w:rPr>
        <w:t xml:space="preserve"> automatically make the forecast better.</w:t>
      </w:r>
    </w:p>
    <w:p w14:paraId="15F2FD22"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A domestic-only version of the ensemble produced roughly:</w:t>
      </w:r>
    </w:p>
    <w:p w14:paraId="25E5BDD2"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MAE=2.96%MAE=2.96\% </w:t>
      </w:r>
    </w:p>
    <w:p w14:paraId="79AFEB2A"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versus</w:t>
      </w:r>
    </w:p>
    <w:p w14:paraId="6CDDAE34"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MAE=3.04%MAE=3.04\% </w:t>
      </w:r>
    </w:p>
    <w:p w14:paraId="0F70FC27"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for the broader international model.</w:t>
      </w:r>
    </w:p>
    <w:p w14:paraId="7C860FFF"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So some external variables are adding information, but others are adding noise.</w:t>
      </w:r>
    </w:p>
    <w:p w14:paraId="3E20B3CE"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lastRenderedPageBreak/>
        <w:t xml:space="preserve">This is another place where a sophisticated model needs to learn </w:t>
      </w:r>
      <w:r w:rsidRPr="007E15D2">
        <w:rPr>
          <w:rFonts w:ascii="Times New Roman" w:eastAsia="Times New Roman" w:hAnsi="Times New Roman" w:cs="Times New Roman"/>
          <w:b/>
          <w:bCs/>
          <w:sz w:val="24"/>
          <w:szCs w:val="24"/>
          <w:lang w:eastAsia="en-IN"/>
        </w:rPr>
        <w:t>when a variable matters</w:t>
      </w:r>
      <w:r w:rsidRPr="007E15D2">
        <w:rPr>
          <w:rFonts w:ascii="Times New Roman" w:eastAsia="Times New Roman" w:hAnsi="Times New Roman" w:cs="Times New Roman"/>
          <w:sz w:val="24"/>
          <w:szCs w:val="24"/>
          <w:lang w:eastAsia="en-IN"/>
        </w:rPr>
        <w:t>, instead of assuming it always matters.</w:t>
      </w:r>
    </w:p>
    <w:p w14:paraId="079EBD95"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pict w14:anchorId="73C39EDF">
          <v:rect id="_x0000_i1047" style="width:0;height:1.5pt" o:hralign="center" o:hrstd="t" o:hr="t" fillcolor="#a0a0a0" stroked="f"/>
        </w:pict>
      </w:r>
    </w:p>
    <w:p w14:paraId="6FDBA523" w14:textId="77777777" w:rsidR="007E15D2" w:rsidRPr="007E15D2" w:rsidRDefault="007E15D2" w:rsidP="007E15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E15D2">
        <w:rPr>
          <w:rFonts w:ascii="Times New Roman" w:eastAsia="Times New Roman" w:hAnsi="Times New Roman" w:cs="Times New Roman"/>
          <w:b/>
          <w:bCs/>
          <w:kern w:val="36"/>
          <w:sz w:val="48"/>
          <w:szCs w:val="48"/>
          <w:lang w:eastAsia="en-IN"/>
        </w:rPr>
        <w:t>The next improvement: model the probability of regimes</w:t>
      </w:r>
    </w:p>
    <w:p w14:paraId="585B2FC4"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This is where I think the research gets considerably more interesting.</w:t>
      </w:r>
    </w:p>
    <w:p w14:paraId="3D445C61"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Instead of asking one equation to predict:</w:t>
      </w:r>
    </w:p>
    <w:p w14:paraId="0298B77B"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Rt+1R_{t+1} </w:t>
      </w:r>
    </w:p>
    <w:p w14:paraId="37C38CAD"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I would make the system hierarchical.</w:t>
      </w:r>
    </w:p>
    <w:p w14:paraId="63F89C05"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First:</w:t>
      </w:r>
    </w:p>
    <w:p w14:paraId="53864E1F"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P(regimet+1</w:t>
      </w:r>
      <w:r w:rsidRPr="007E15D2">
        <w:rPr>
          <w:rFonts w:ascii="Cambria Math" w:eastAsia="Times New Roman" w:hAnsi="Cambria Math" w:cs="Cambria Math"/>
          <w:sz w:val="24"/>
          <w:szCs w:val="24"/>
          <w:lang w:eastAsia="en-IN"/>
        </w:rPr>
        <w:t>∣</w:t>
      </w:r>
      <w:r w:rsidRPr="007E15D2">
        <w:rPr>
          <w:rFonts w:ascii="Times New Roman" w:eastAsia="Times New Roman" w:hAnsi="Times New Roman" w:cs="Times New Roman"/>
          <w:sz w:val="24"/>
          <w:szCs w:val="24"/>
          <w:lang w:eastAsia="en-IN"/>
        </w:rPr>
        <w:t xml:space="preserve">Xt)P(\text{regime}_{t+1}|X_t) </w:t>
      </w:r>
    </w:p>
    <w:p w14:paraId="626FE116"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Then, conditional on the regime:</w:t>
      </w:r>
    </w:p>
    <w:p w14:paraId="791B036C"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E[Rt+1</w:t>
      </w:r>
      <w:r w:rsidRPr="007E15D2">
        <w:rPr>
          <w:rFonts w:ascii="Cambria Math" w:eastAsia="Times New Roman" w:hAnsi="Cambria Math" w:cs="Cambria Math"/>
          <w:sz w:val="24"/>
          <w:szCs w:val="24"/>
          <w:lang w:eastAsia="en-IN"/>
        </w:rPr>
        <w:t>∣</w:t>
      </w:r>
      <w:r w:rsidRPr="007E15D2">
        <w:rPr>
          <w:rFonts w:ascii="Times New Roman" w:eastAsia="Times New Roman" w:hAnsi="Times New Roman" w:cs="Times New Roman"/>
          <w:sz w:val="24"/>
          <w:szCs w:val="24"/>
          <w:lang w:eastAsia="en-IN"/>
        </w:rPr>
        <w:t xml:space="preserve">regime,Xt]E[R_{t+1}|\text{regime},X_t] </w:t>
      </w:r>
    </w:p>
    <w:p w14:paraId="1C5F3ECC"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For example, the hidden state can be something like:</w:t>
      </w:r>
    </w:p>
    <w:p w14:paraId="0CF8D5A1"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St</w:t>
      </w:r>
      <w:r w:rsidRPr="007E15D2">
        <w:rPr>
          <w:rFonts w:ascii="Cambria Math" w:eastAsia="Times New Roman" w:hAnsi="Cambria Math" w:cs="Cambria Math"/>
          <w:sz w:val="24"/>
          <w:szCs w:val="24"/>
          <w:lang w:eastAsia="en-IN"/>
        </w:rPr>
        <w:t>∈</w:t>
      </w:r>
      <w:r w:rsidRPr="007E15D2">
        <w:rPr>
          <w:rFonts w:ascii="Times New Roman" w:eastAsia="Times New Roman" w:hAnsi="Times New Roman" w:cs="Times New Roman"/>
          <w:sz w:val="24"/>
          <w:szCs w:val="24"/>
          <w:lang w:eastAsia="en-IN"/>
        </w:rPr>
        <w:t xml:space="preserve">{trend-up,trend-down,mean-reversion,high-volatility,panic,compression}S_t\in \{ \text{trend-up}, \text{trend-down}, \text{mean-reversion}, \text{high-volatility}, \text{panic}, \text{compression} \} </w:t>
      </w:r>
    </w:p>
    <w:p w14:paraId="412839D6"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 model would not simply say:</w:t>
      </w:r>
    </w:p>
    <w:p w14:paraId="3F3F90FF" w14:textId="77777777" w:rsidR="007E15D2" w:rsidRPr="007E15D2" w:rsidRDefault="007E15D2" w:rsidP="007E15D2">
      <w:pPr>
        <w:spacing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"Nifty should rise 1.3%."</w:t>
      </w:r>
    </w:p>
    <w:p w14:paraId="04AA60B4"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It would say something mathematically closer to:</w:t>
      </w:r>
    </w:p>
    <w:p w14:paraId="174C999B"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P(R&gt;0)=...P(R&gt;0)=... P(R&gt;+3%)=...P(R&gt;+3\%)=... P(R&lt;−3%)=...P(R&lt;-3\%)=... E[R]=...E[R]=... </w:t>
      </w:r>
    </w:p>
    <w:p w14:paraId="70AD9C55"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and separately estimate the probability of an extreme movement.</w:t>
      </w:r>
    </w:p>
    <w:p w14:paraId="4F535E97"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That directly attacks our biggest current weakness.</w:t>
      </w:r>
    </w:p>
    <w:p w14:paraId="4C60AE7B"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pict w14:anchorId="32B2C959">
          <v:rect id="_x0000_i1048" style="width:0;height:1.5pt" o:hralign="center" o:hrstd="t" o:hr="t" fillcolor="#a0a0a0" stroked="f"/>
        </w:pict>
      </w:r>
    </w:p>
    <w:p w14:paraId="3412868A" w14:textId="77777777" w:rsidR="007E15D2" w:rsidRPr="007E15D2" w:rsidRDefault="007E15D2" w:rsidP="007E15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E15D2">
        <w:rPr>
          <w:rFonts w:ascii="Times New Roman" w:eastAsia="Times New Roman" w:hAnsi="Times New Roman" w:cs="Times New Roman"/>
          <w:b/>
          <w:bCs/>
          <w:kern w:val="36"/>
          <w:sz w:val="48"/>
          <w:szCs w:val="48"/>
          <w:lang w:eastAsia="en-IN"/>
        </w:rPr>
        <w:t>Now the blind test for the current market</w:t>
      </w:r>
    </w:p>
    <w:p w14:paraId="45C03E83"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lastRenderedPageBreak/>
        <w:t>There is an important date issue.</w:t>
      </w:r>
    </w:p>
    <w:p w14:paraId="7B2B1462"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Today is </w:t>
      </w:r>
      <w:r w:rsidRPr="007E15D2">
        <w:rPr>
          <w:rFonts w:ascii="Times New Roman" w:eastAsia="Times New Roman" w:hAnsi="Times New Roman" w:cs="Times New Roman"/>
          <w:b/>
          <w:bCs/>
          <w:sz w:val="24"/>
          <w:szCs w:val="24"/>
          <w:lang w:eastAsia="en-IN"/>
        </w:rPr>
        <w:t>29 September 2026</w:t>
      </w:r>
      <w:r w:rsidRPr="007E15D2">
        <w:rPr>
          <w:rFonts w:ascii="Times New Roman" w:eastAsia="Times New Roman" w:hAnsi="Times New Roman" w:cs="Times New Roman"/>
          <w:sz w:val="24"/>
          <w:szCs w:val="24"/>
          <w:lang w:eastAsia="en-IN"/>
        </w:rPr>
        <w:t xml:space="preserve">, but the Indian market has not completed today's session. The latest completed Nifty session is </w:t>
      </w:r>
      <w:r w:rsidRPr="007E15D2">
        <w:rPr>
          <w:rFonts w:ascii="Times New Roman" w:eastAsia="Times New Roman" w:hAnsi="Times New Roman" w:cs="Times New Roman"/>
          <w:b/>
          <w:bCs/>
          <w:sz w:val="24"/>
          <w:szCs w:val="24"/>
          <w:lang w:eastAsia="en-IN"/>
        </w:rPr>
        <w:t>28 September 2026</w:t>
      </w:r>
      <w:r w:rsidRPr="007E15D2">
        <w:rPr>
          <w:rFonts w:ascii="Times New Roman" w:eastAsia="Times New Roman" w:hAnsi="Times New Roman" w:cs="Times New Roman"/>
          <w:sz w:val="24"/>
          <w:szCs w:val="24"/>
          <w:lang w:eastAsia="en-IN"/>
        </w:rPr>
        <w:t>, when Nifty closed at:</w:t>
      </w:r>
    </w:p>
    <w:p w14:paraId="3EB9E9EA"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22,780.25\boxed{22,780.25} </w:t>
      </w:r>
    </w:p>
    <w:p w14:paraId="7D4F88A6"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with India VIX at 13.69. </w:t>
      </w:r>
    </w:p>
    <w:p w14:paraId="6F3A55EB"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I therefore froze the model at the latest completed session rather than contaminating the experiment with an intraday observation.</w:t>
      </w:r>
    </w:p>
    <w:p w14:paraId="2BFEFDE7"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 September monthly move calculated from the August close to the September 28 close is approximately:</w:t>
      </w:r>
    </w:p>
    <w:p w14:paraId="705F3F30"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−5.4%\boxed{-5.4\%} </w:t>
      </w:r>
    </w:p>
    <w:p w14:paraId="1107FE17"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 6-month momentum is approximately:</w:t>
      </w:r>
    </w:p>
    <w:p w14:paraId="7AAB7053"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−3.5%\boxed{-3.5\%} </w:t>
      </w:r>
    </w:p>
    <w:p w14:paraId="1E01144B"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and 12-month momentum approximately:</w:t>
      </w:r>
    </w:p>
    <w:p w14:paraId="2A7449B4"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−9.9%\boxed{-9.9\%} </w:t>
      </w:r>
    </w:p>
    <w:p w14:paraId="4A3C4AAB"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The index is also roughly 13–14% below its recent 52-week high. </w:t>
      </w:r>
    </w:p>
    <w:p w14:paraId="06095884"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So the current mathematical state is:</w:t>
      </w:r>
    </w:p>
    <w:p w14:paraId="2F9583FD" w14:textId="77777777" w:rsidR="007E15D2" w:rsidRPr="007E15D2" w:rsidRDefault="007E15D2" w:rsidP="007E15D2">
      <w:pPr>
        <w:spacing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b/>
          <w:bCs/>
          <w:sz w:val="24"/>
          <w:szCs w:val="24"/>
          <w:lang w:eastAsia="en-IN"/>
        </w:rPr>
        <w:t>negative momentum + meaningful drawdown + elevated volatility + recent weakness</w:t>
      </w:r>
    </w:p>
    <w:p w14:paraId="15F5580E"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That is a very different configuration from October 2025.</w:t>
      </w:r>
    </w:p>
    <w:p w14:paraId="003FCE15"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pict w14:anchorId="0FE32A62">
          <v:rect id="_x0000_i1049" style="width:0;height:1.5pt" o:hralign="center" o:hrstd="t" o:hr="t" fillcolor="#a0a0a0" stroked="f"/>
        </w:pict>
      </w:r>
    </w:p>
    <w:p w14:paraId="2AD1A990" w14:textId="77777777" w:rsidR="007E15D2" w:rsidRPr="007E15D2" w:rsidRDefault="007E15D2" w:rsidP="007E15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E15D2">
        <w:rPr>
          <w:rFonts w:ascii="Times New Roman" w:eastAsia="Times New Roman" w:hAnsi="Times New Roman" w:cs="Times New Roman"/>
          <w:b/>
          <w:bCs/>
          <w:kern w:val="36"/>
          <w:sz w:val="48"/>
          <w:szCs w:val="48"/>
          <w:lang w:eastAsia="en-IN"/>
        </w:rPr>
        <w:t>What does the model predict for October 2026?</w:t>
      </w:r>
    </w:p>
    <w:p w14:paraId="4862BA0D"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 seven model components currently give: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2"/>
        <w:gridCol w:w="2755"/>
      </w:tblGrid>
      <w:tr w:rsidR="007E15D2" w:rsidRPr="007E15D2" w14:paraId="36294A71" w14:textId="77777777" w:rsidTr="007E15D2">
        <w:trPr>
          <w:tblHeader/>
          <w:tblCellSpacing w:w="15" w:type="dxa"/>
        </w:trPr>
        <w:tc>
          <w:tcPr>
            <w:tcW w:w="0" w:type="auto"/>
            <w:vAlign w:val="center"/>
            <w:hideMark/>
          </w:tcPr>
          <w:p w14:paraId="0E886A8E" w14:textId="77777777" w:rsidR="007E15D2" w:rsidRPr="007E15D2" w:rsidRDefault="007E15D2" w:rsidP="007E15D2">
            <w:pPr>
              <w:spacing w:after="0" w:line="240" w:lineRule="auto"/>
              <w:jc w:val="center"/>
              <w:rPr>
                <w:rFonts w:ascii="Times New Roman" w:eastAsia="Times New Roman" w:hAnsi="Times New Roman" w:cs="Times New Roman"/>
                <w:b/>
                <w:bCs/>
                <w:sz w:val="24"/>
                <w:szCs w:val="24"/>
                <w:lang w:eastAsia="en-IN"/>
              </w:rPr>
            </w:pPr>
            <w:r w:rsidRPr="007E15D2">
              <w:rPr>
                <w:rFonts w:ascii="Times New Roman" w:eastAsia="Times New Roman" w:hAnsi="Times New Roman" w:cs="Times New Roman"/>
                <w:b/>
                <w:bCs/>
                <w:sz w:val="24"/>
                <w:szCs w:val="24"/>
                <w:lang w:eastAsia="en-IN"/>
              </w:rPr>
              <w:t>Component</w:t>
            </w:r>
          </w:p>
        </w:tc>
        <w:tc>
          <w:tcPr>
            <w:tcW w:w="0" w:type="auto"/>
            <w:vAlign w:val="center"/>
            <w:hideMark/>
          </w:tcPr>
          <w:p w14:paraId="226C774B" w14:textId="77777777" w:rsidR="007E15D2" w:rsidRPr="007E15D2" w:rsidRDefault="007E15D2" w:rsidP="007E15D2">
            <w:pPr>
              <w:spacing w:after="0" w:line="240" w:lineRule="auto"/>
              <w:jc w:val="center"/>
              <w:rPr>
                <w:rFonts w:ascii="Times New Roman" w:eastAsia="Times New Roman" w:hAnsi="Times New Roman" w:cs="Times New Roman"/>
                <w:b/>
                <w:bCs/>
                <w:sz w:val="24"/>
                <w:szCs w:val="24"/>
                <w:lang w:eastAsia="en-IN"/>
              </w:rPr>
            </w:pPr>
            <w:r w:rsidRPr="007E15D2">
              <w:rPr>
                <w:rFonts w:ascii="Times New Roman" w:eastAsia="Times New Roman" w:hAnsi="Times New Roman" w:cs="Times New Roman"/>
                <w:b/>
                <w:bCs/>
                <w:sz w:val="24"/>
                <w:szCs w:val="24"/>
                <w:lang w:eastAsia="en-IN"/>
              </w:rPr>
              <w:t>October return prediction</w:t>
            </w:r>
          </w:p>
        </w:tc>
      </w:tr>
      <w:tr w:rsidR="007E15D2" w:rsidRPr="007E15D2" w14:paraId="0CD7115A" w14:textId="77777777" w:rsidTr="007E15D2">
        <w:trPr>
          <w:tblCellSpacing w:w="15" w:type="dxa"/>
        </w:trPr>
        <w:tc>
          <w:tcPr>
            <w:tcW w:w="0" w:type="auto"/>
            <w:vAlign w:val="center"/>
            <w:hideMark/>
          </w:tcPr>
          <w:p w14:paraId="6919B4DA"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Seasonal model</w:t>
            </w:r>
          </w:p>
        </w:tc>
        <w:tc>
          <w:tcPr>
            <w:tcW w:w="0" w:type="auto"/>
            <w:vAlign w:val="center"/>
            <w:hideMark/>
          </w:tcPr>
          <w:p w14:paraId="1A3C0D4D"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+1.70%</w:t>
            </w:r>
          </w:p>
        </w:tc>
      </w:tr>
      <w:tr w:rsidR="007E15D2" w:rsidRPr="007E15D2" w14:paraId="2BB75CA4" w14:textId="77777777" w:rsidTr="007E15D2">
        <w:trPr>
          <w:tblCellSpacing w:w="15" w:type="dxa"/>
        </w:trPr>
        <w:tc>
          <w:tcPr>
            <w:tcW w:w="0" w:type="auto"/>
            <w:vAlign w:val="center"/>
            <w:hideMark/>
          </w:tcPr>
          <w:p w14:paraId="31C15D06"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Ridge</w:t>
            </w:r>
          </w:p>
        </w:tc>
        <w:tc>
          <w:tcPr>
            <w:tcW w:w="0" w:type="auto"/>
            <w:vAlign w:val="center"/>
            <w:hideMark/>
          </w:tcPr>
          <w:p w14:paraId="621A72EA"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+0.77%</w:t>
            </w:r>
          </w:p>
        </w:tc>
      </w:tr>
      <w:tr w:rsidR="007E15D2" w:rsidRPr="007E15D2" w14:paraId="5CE700ED" w14:textId="77777777" w:rsidTr="007E15D2">
        <w:trPr>
          <w:tblCellSpacing w:w="15" w:type="dxa"/>
        </w:trPr>
        <w:tc>
          <w:tcPr>
            <w:tcW w:w="0" w:type="auto"/>
            <w:vAlign w:val="center"/>
            <w:hideMark/>
          </w:tcPr>
          <w:p w14:paraId="3469CD0E"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Elastic Net</w:t>
            </w:r>
          </w:p>
        </w:tc>
        <w:tc>
          <w:tcPr>
            <w:tcW w:w="0" w:type="auto"/>
            <w:vAlign w:val="center"/>
            <w:hideMark/>
          </w:tcPr>
          <w:p w14:paraId="59EC64E1"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+1.09%</w:t>
            </w:r>
          </w:p>
        </w:tc>
      </w:tr>
      <w:tr w:rsidR="007E15D2" w:rsidRPr="007E15D2" w14:paraId="66D5B180" w14:textId="77777777" w:rsidTr="007E15D2">
        <w:trPr>
          <w:tblCellSpacing w:w="15" w:type="dxa"/>
        </w:trPr>
        <w:tc>
          <w:tcPr>
            <w:tcW w:w="0" w:type="auto"/>
            <w:vAlign w:val="center"/>
            <w:hideMark/>
          </w:tcPr>
          <w:p w14:paraId="251B613C"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Extra Trees</w:t>
            </w:r>
          </w:p>
        </w:tc>
        <w:tc>
          <w:tcPr>
            <w:tcW w:w="0" w:type="auto"/>
            <w:vAlign w:val="center"/>
            <w:hideMark/>
          </w:tcPr>
          <w:p w14:paraId="266E0C2C"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+0.76%</w:t>
            </w:r>
          </w:p>
        </w:tc>
      </w:tr>
      <w:tr w:rsidR="007E15D2" w:rsidRPr="007E15D2" w14:paraId="0B61AC14" w14:textId="77777777" w:rsidTr="007E15D2">
        <w:trPr>
          <w:tblCellSpacing w:w="15" w:type="dxa"/>
        </w:trPr>
        <w:tc>
          <w:tcPr>
            <w:tcW w:w="0" w:type="auto"/>
            <w:vAlign w:val="center"/>
            <w:hideMark/>
          </w:tcPr>
          <w:p w14:paraId="2F075A36"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Hist. Gradient Boosting</w:t>
            </w:r>
          </w:p>
        </w:tc>
        <w:tc>
          <w:tcPr>
            <w:tcW w:w="0" w:type="auto"/>
            <w:vAlign w:val="center"/>
            <w:hideMark/>
          </w:tcPr>
          <w:p w14:paraId="481C93DF"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+2.38%</w:t>
            </w:r>
          </w:p>
        </w:tc>
      </w:tr>
      <w:tr w:rsidR="007E15D2" w:rsidRPr="007E15D2" w14:paraId="43EAD777" w14:textId="77777777" w:rsidTr="007E15D2">
        <w:trPr>
          <w:tblCellSpacing w:w="15" w:type="dxa"/>
        </w:trPr>
        <w:tc>
          <w:tcPr>
            <w:tcW w:w="0" w:type="auto"/>
            <w:vAlign w:val="center"/>
            <w:hideMark/>
          </w:tcPr>
          <w:p w14:paraId="3D133B7B"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lastRenderedPageBreak/>
              <w:t>XGBoost</w:t>
            </w:r>
          </w:p>
        </w:tc>
        <w:tc>
          <w:tcPr>
            <w:tcW w:w="0" w:type="auto"/>
            <w:vAlign w:val="center"/>
            <w:hideMark/>
          </w:tcPr>
          <w:p w14:paraId="25DDAAB6"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+1.87%</w:t>
            </w:r>
          </w:p>
        </w:tc>
      </w:tr>
      <w:tr w:rsidR="007E15D2" w:rsidRPr="007E15D2" w14:paraId="157E3100" w14:textId="77777777" w:rsidTr="007E15D2">
        <w:trPr>
          <w:tblCellSpacing w:w="15" w:type="dxa"/>
        </w:trPr>
        <w:tc>
          <w:tcPr>
            <w:tcW w:w="0" w:type="auto"/>
            <w:vAlign w:val="center"/>
            <w:hideMark/>
          </w:tcPr>
          <w:p w14:paraId="2358D7C9"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Regime analog</w:t>
            </w:r>
          </w:p>
        </w:tc>
        <w:tc>
          <w:tcPr>
            <w:tcW w:w="0" w:type="auto"/>
            <w:vAlign w:val="center"/>
            <w:hideMark/>
          </w:tcPr>
          <w:p w14:paraId="225AEE8C"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+0.45%</w:t>
            </w:r>
          </w:p>
        </w:tc>
      </w:tr>
    </w:tbl>
    <w:p w14:paraId="252A930F"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The remarkable thing is that </w:t>
      </w:r>
      <w:r w:rsidRPr="007E15D2">
        <w:rPr>
          <w:rFonts w:ascii="Times New Roman" w:eastAsia="Times New Roman" w:hAnsi="Times New Roman" w:cs="Times New Roman"/>
          <w:b/>
          <w:bCs/>
          <w:sz w:val="24"/>
          <w:szCs w:val="24"/>
          <w:lang w:eastAsia="en-IN"/>
        </w:rPr>
        <w:t>the models are fairly tightly clustered</w:t>
      </w:r>
      <w:r w:rsidRPr="007E15D2">
        <w:rPr>
          <w:rFonts w:ascii="Times New Roman" w:eastAsia="Times New Roman" w:hAnsi="Times New Roman" w:cs="Times New Roman"/>
          <w:sz w:val="24"/>
          <w:szCs w:val="24"/>
          <w:lang w:eastAsia="en-IN"/>
        </w:rPr>
        <w:t>.</w:t>
      </w:r>
    </w:p>
    <w:p w14:paraId="6D5879EB"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They aren't saying:</w:t>
      </w:r>
    </w:p>
    <w:p w14:paraId="764A138B" w14:textId="77777777" w:rsidR="007E15D2" w:rsidRPr="007E15D2" w:rsidRDefault="007E15D2" w:rsidP="007E15D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+8% </w:t>
      </w:r>
    </w:p>
    <w:p w14:paraId="12DCC059" w14:textId="77777777" w:rsidR="007E15D2" w:rsidRPr="007E15D2" w:rsidRDefault="007E15D2" w:rsidP="007E15D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-5% </w:t>
      </w:r>
    </w:p>
    <w:p w14:paraId="39CBCBC2" w14:textId="77777777" w:rsidR="007E15D2" w:rsidRPr="007E15D2" w:rsidRDefault="007E15D2" w:rsidP="007E15D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+12% </w:t>
      </w:r>
    </w:p>
    <w:p w14:paraId="5A549882"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They are mostly saying:</w:t>
      </w:r>
    </w:p>
    <w:p w14:paraId="7A6B948E"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+0.5% to +2.4%\boxed{+0.5\%\text{ to }+2.4\%} </w:t>
      </w:r>
    </w:p>
    <w:p w14:paraId="0C2F09EB"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 adaptive ensemble therefore produces:</w:t>
      </w:r>
    </w:p>
    <w:p w14:paraId="039C3971"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E[ROct2026]≈+1.29%\boxed{E[R_{Oct2026}]\approx+1.29\%} </w:t>
      </w:r>
    </w:p>
    <w:p w14:paraId="1B5458F4"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Starting from 22,780.25:</w:t>
      </w:r>
    </w:p>
    <w:p w14:paraId="0DE54543"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22,780.25(1+0.012912)22,780.25(1+0.012912) </w:t>
      </w:r>
    </w:p>
    <w:p w14:paraId="2F9ECCCB"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gives approximately:</w:t>
      </w:r>
    </w:p>
    <w:p w14:paraId="7A235D16"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23,074\boxed{23,074} </w:t>
      </w:r>
    </w:p>
    <w:p w14:paraId="39B710ED"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So the current one-month model prediction is:</w:t>
      </w:r>
    </w:p>
    <w:p w14:paraId="3F11185C" w14:textId="77777777" w:rsidR="007E15D2" w:rsidRPr="007E15D2" w:rsidRDefault="007E15D2" w:rsidP="007E15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E15D2">
        <w:rPr>
          <w:rFonts w:ascii="Times New Roman" w:eastAsia="Times New Roman" w:hAnsi="Times New Roman" w:cs="Times New Roman"/>
          <w:b/>
          <w:bCs/>
          <w:kern w:val="36"/>
          <w:sz w:val="48"/>
          <w:szCs w:val="48"/>
          <w:lang w:eastAsia="en-IN"/>
        </w:rPr>
        <w:t>October 2026 Nifty 50</w:t>
      </w:r>
    </w:p>
    <w:p w14:paraId="0DE0471C"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Predicted return: +1.29%\boxed{\text{Predicted return: }+1.29\%} Predicted month-end level: ≈23,075\boxed{\text{Predicted month-end level: }\approx23,075} </w:t>
      </w:r>
    </w:p>
    <w:p w14:paraId="7014ADCC"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That is the </w:t>
      </w:r>
      <w:r w:rsidRPr="007E15D2">
        <w:rPr>
          <w:rFonts w:ascii="Times New Roman" w:eastAsia="Times New Roman" w:hAnsi="Times New Roman" w:cs="Times New Roman"/>
          <w:b/>
          <w:bCs/>
          <w:sz w:val="24"/>
          <w:szCs w:val="24"/>
          <w:lang w:eastAsia="en-IN"/>
        </w:rPr>
        <w:t>blind forecast</w:t>
      </w:r>
      <w:r w:rsidRPr="007E15D2">
        <w:rPr>
          <w:rFonts w:ascii="Times New Roman" w:eastAsia="Times New Roman" w:hAnsi="Times New Roman" w:cs="Times New Roman"/>
          <w:sz w:val="24"/>
          <w:szCs w:val="24"/>
          <w:lang w:eastAsia="en-IN"/>
        </w:rPr>
        <w:t xml:space="preserve"> I would record today.</w:t>
      </w:r>
    </w:p>
    <w:p w14:paraId="645C66E4"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It should not be interpreted as a guaranteed target. The model's historical one-month RMSE is about 3.92 percentage points, which is considerably larger than its current +1.29% signal.</w:t>
      </w:r>
    </w:p>
    <w:p w14:paraId="47E4155D"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So mathematically, the stronger statement is:</w:t>
      </w:r>
    </w:p>
    <w:p w14:paraId="14147724" w14:textId="77777777" w:rsidR="007E15D2" w:rsidRPr="007E15D2" w:rsidRDefault="007E15D2" w:rsidP="007E15D2">
      <w:pPr>
        <w:spacing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b/>
          <w:bCs/>
          <w:sz w:val="24"/>
          <w:szCs w:val="24"/>
          <w:lang w:eastAsia="en-IN"/>
        </w:rPr>
        <w:t>Central tendency: mildly positive. Confidence in the magnitude: low.</w:t>
      </w:r>
    </w:p>
    <w:p w14:paraId="702B5832"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pict w14:anchorId="18DDBD48">
          <v:rect id="_x0000_i1050" style="width:0;height:1.5pt" o:hralign="center" o:hrstd="t" o:hr="t" fillcolor="#a0a0a0" stroked="f"/>
        </w:pict>
      </w:r>
    </w:p>
    <w:p w14:paraId="49E3783D" w14:textId="77777777" w:rsidR="007E15D2" w:rsidRPr="007E15D2" w:rsidRDefault="007E15D2" w:rsidP="007E15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E15D2">
        <w:rPr>
          <w:rFonts w:ascii="Times New Roman" w:eastAsia="Times New Roman" w:hAnsi="Times New Roman" w:cs="Times New Roman"/>
          <w:b/>
          <w:bCs/>
          <w:kern w:val="36"/>
          <w:sz w:val="48"/>
          <w:szCs w:val="48"/>
          <w:lang w:eastAsia="en-IN"/>
        </w:rPr>
        <w:t>An even more interesting observation</w:t>
      </w:r>
    </w:p>
    <w:p w14:paraId="3688A297"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lastRenderedPageBreak/>
        <w:t>The current regime has two competing mathematical forces.</w:t>
      </w:r>
    </w:p>
    <w:p w14:paraId="32D239F2" w14:textId="77777777" w:rsidR="007E15D2" w:rsidRPr="007E15D2" w:rsidRDefault="007E15D2" w:rsidP="007E15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15D2">
        <w:rPr>
          <w:rFonts w:ascii="Times New Roman" w:eastAsia="Times New Roman" w:hAnsi="Times New Roman" w:cs="Times New Roman"/>
          <w:b/>
          <w:bCs/>
          <w:sz w:val="27"/>
          <w:szCs w:val="27"/>
          <w:lang w:eastAsia="en-IN"/>
        </w:rPr>
        <w:t>Force A — momentum</w:t>
      </w:r>
    </w:p>
    <w:p w14:paraId="4605D081"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12-month return is negative.</w:t>
      </w:r>
    </w:p>
    <w:p w14:paraId="681CCBAA"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That normally argues against blindly extrapolating a strong upward trend.</w:t>
      </w:r>
    </w:p>
    <w:p w14:paraId="33BE1AB1" w14:textId="77777777" w:rsidR="007E15D2" w:rsidRPr="007E15D2" w:rsidRDefault="007E15D2" w:rsidP="007E15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15D2">
        <w:rPr>
          <w:rFonts w:ascii="Times New Roman" w:eastAsia="Times New Roman" w:hAnsi="Times New Roman" w:cs="Times New Roman"/>
          <w:b/>
          <w:bCs/>
          <w:sz w:val="27"/>
          <w:szCs w:val="27"/>
          <w:lang w:eastAsia="en-IN"/>
        </w:rPr>
        <w:t>Force B — mean reversion</w:t>
      </w:r>
    </w:p>
    <w:p w14:paraId="1F12BB4A"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 market has already fallen materially from its recent high.</w:t>
      </w:r>
    </w:p>
    <w:p w14:paraId="2CA7C832"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Historical analogs of:</w:t>
      </w:r>
    </w:p>
    <w:p w14:paraId="3BB7F67D"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large recent decline+large drawdown\text{large recent decline} + \text{large drawdown} </w:t>
      </w:r>
    </w:p>
    <w:p w14:paraId="1B77E876"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show a tendency toward rebound in some periods.</w:t>
      </w:r>
    </w:p>
    <w:p w14:paraId="621DC28B"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But when we add:</w:t>
      </w:r>
    </w:p>
    <w:p w14:paraId="2ABD39DF"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high volatility\text{high volatility} </w:t>
      </w:r>
    </w:p>
    <w:p w14:paraId="3861DEA7"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 rebound effect becomes much less reliable.</w:t>
      </w:r>
    </w:p>
    <w:p w14:paraId="1DA780D1"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Therefore the model is arriving at something near:</w:t>
      </w:r>
    </w:p>
    <w:p w14:paraId="3E0584BA"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+1% rather than +5% or −5%\boxed{+1\%\text{ rather than }+5\%\text{ or }-5\%} </w:t>
      </w:r>
    </w:p>
    <w:p w14:paraId="74C1B340"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because the opposing signals largely cancel.</w:t>
      </w:r>
    </w:p>
    <w:p w14:paraId="46069CBB"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I actually like this property of the model: </w:t>
      </w:r>
      <w:r w:rsidRPr="007E15D2">
        <w:rPr>
          <w:rFonts w:ascii="Times New Roman" w:eastAsia="Times New Roman" w:hAnsi="Times New Roman" w:cs="Times New Roman"/>
          <w:b/>
          <w:bCs/>
          <w:sz w:val="24"/>
          <w:szCs w:val="24"/>
          <w:lang w:eastAsia="en-IN"/>
        </w:rPr>
        <w:t>when the evidence is conflicted, it should forecast close to the center instead of inventing confidence.</w:t>
      </w:r>
    </w:p>
    <w:p w14:paraId="06B77CCA"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pict w14:anchorId="0DB3382B">
          <v:rect id="_x0000_i1051" style="width:0;height:1.5pt" o:hralign="center" o:hrstd="t" o:hr="t" fillcolor="#a0a0a0" stroked="f"/>
        </w:pict>
      </w:r>
    </w:p>
    <w:p w14:paraId="483B1677" w14:textId="77777777" w:rsidR="007E15D2" w:rsidRPr="007E15D2" w:rsidRDefault="007E15D2" w:rsidP="007E15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E15D2">
        <w:rPr>
          <w:rFonts w:ascii="Times New Roman" w:eastAsia="Times New Roman" w:hAnsi="Times New Roman" w:cs="Times New Roman"/>
          <w:b/>
          <w:bCs/>
          <w:kern w:val="36"/>
          <w:sz w:val="48"/>
          <w:szCs w:val="48"/>
          <w:lang w:eastAsia="en-IN"/>
        </w:rPr>
        <w:t>But there is a major flaw we need to fix</w:t>
      </w:r>
    </w:p>
    <w:p w14:paraId="1DD9BF34"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There is an important data limitation in this first version.</w:t>
      </w:r>
    </w:p>
    <w:p w14:paraId="4588FDEA"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The historical model was built from </w:t>
      </w:r>
      <w:r w:rsidRPr="007E15D2">
        <w:rPr>
          <w:rFonts w:ascii="Times New Roman" w:eastAsia="Times New Roman" w:hAnsi="Times New Roman" w:cs="Times New Roman"/>
          <w:b/>
          <w:bCs/>
          <w:sz w:val="24"/>
          <w:szCs w:val="24"/>
          <w:lang w:eastAsia="en-IN"/>
        </w:rPr>
        <w:t>monthly return data</w:t>
      </w:r>
      <w:r w:rsidRPr="007E15D2">
        <w:rPr>
          <w:rFonts w:ascii="Times New Roman" w:eastAsia="Times New Roman" w:hAnsi="Times New Roman" w:cs="Times New Roman"/>
          <w:sz w:val="24"/>
          <w:szCs w:val="24"/>
          <w:lang w:eastAsia="en-IN"/>
        </w:rPr>
        <w:t>, rather than exact daily observations on every 29th.</w:t>
      </w:r>
    </w:p>
    <w:p w14:paraId="3381D38C"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Therefore, although the conceptual experiment starts on 29 October 2021, the historical monthly origins are effectively </w:t>
      </w:r>
      <w:r w:rsidRPr="007E15D2">
        <w:rPr>
          <w:rFonts w:ascii="Times New Roman" w:eastAsia="Times New Roman" w:hAnsi="Times New Roman" w:cs="Times New Roman"/>
          <w:b/>
          <w:bCs/>
          <w:sz w:val="24"/>
          <w:szCs w:val="24"/>
          <w:lang w:eastAsia="en-IN"/>
        </w:rPr>
        <w:t>month-end snapshots</w:t>
      </w:r>
      <w:r w:rsidRPr="007E15D2">
        <w:rPr>
          <w:rFonts w:ascii="Times New Roman" w:eastAsia="Times New Roman" w:hAnsi="Times New Roman" w:cs="Times New Roman"/>
          <w:sz w:val="24"/>
          <w:szCs w:val="24"/>
          <w:lang w:eastAsia="en-IN"/>
        </w:rPr>
        <w:t>.</w:t>
      </w:r>
    </w:p>
    <w:p w14:paraId="169D7E06"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The source series also rounds many monthly returns to one decimal place. The Nifty monthly-return source explicitly reports the monthly series and shows that the current month's value is partial until month-end. </w:t>
      </w:r>
    </w:p>
    <w:p w14:paraId="32F86FB1"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lastRenderedPageBreak/>
        <w:t>For research, that isn't good enough for Generation 4.</w:t>
      </w:r>
    </w:p>
    <w:p w14:paraId="7FE1A606"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We should obtain exact daily Nifty OHLC data and enforce:</w:t>
      </w:r>
    </w:p>
    <w:p w14:paraId="0EAB3463"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cutoff=29th calendar date\text{cutoff}=29\text{th calendar date} </w:t>
      </w:r>
    </w:p>
    <w:p w14:paraId="59056559"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or, if the 29th is a holiday/weekend:</w:t>
      </w:r>
    </w:p>
    <w:p w14:paraId="3F0DE7B1"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cutoff=last completed trading session on/before 29th\text{cutoff}=\text{last completed trading session on/before 29th} </w:t>
      </w:r>
    </w:p>
    <w:p w14:paraId="137E3B68"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Then every single prediction is generated from the exact information set available at that timestamp.</w:t>
      </w:r>
    </w:p>
    <w:p w14:paraId="6CB9D0E8"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That will remove one of the largest sources of measurement error.</w:t>
      </w:r>
    </w:p>
    <w:p w14:paraId="2F90431A"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pict w14:anchorId="2F7E8843">
          <v:rect id="_x0000_i1052" style="width:0;height:1.5pt" o:hralign="center" o:hrstd="t" o:hr="t" fillcolor="#a0a0a0" stroked="f"/>
        </w:pict>
      </w:r>
    </w:p>
    <w:p w14:paraId="4C6B08CC" w14:textId="77777777" w:rsidR="007E15D2" w:rsidRPr="007E15D2" w:rsidRDefault="007E15D2" w:rsidP="007E15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E15D2">
        <w:rPr>
          <w:rFonts w:ascii="Times New Roman" w:eastAsia="Times New Roman" w:hAnsi="Times New Roman" w:cs="Times New Roman"/>
          <w:b/>
          <w:bCs/>
          <w:kern w:val="36"/>
          <w:sz w:val="48"/>
          <w:szCs w:val="48"/>
          <w:lang w:eastAsia="en-IN"/>
        </w:rPr>
        <w:t>I have also preserved the experiment</w:t>
      </w:r>
    </w:p>
    <w:p w14:paraId="413D5778"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I've put the complete walk-forward experiment into a spreadsheet, including the monthly forecast history, actual return, errors, model metrics, current forecast and data sources.</w:t>
      </w:r>
    </w:p>
    <w:p w14:paraId="69517CDE"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b/>
          <w:bCs/>
          <w:sz w:val="24"/>
          <w:szCs w:val="24"/>
          <w:lang w:eastAsia="en-IN"/>
        </w:rPr>
        <w:t>Download the complete Nifty 50 walk-forward model</w:t>
      </w:r>
    </w:p>
    <w:p w14:paraId="76304E86"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The important thing is that this is now becoming a </w:t>
      </w:r>
      <w:r w:rsidRPr="007E15D2">
        <w:rPr>
          <w:rFonts w:ascii="Times New Roman" w:eastAsia="Times New Roman" w:hAnsi="Times New Roman" w:cs="Times New Roman"/>
          <w:b/>
          <w:bCs/>
          <w:sz w:val="24"/>
          <w:szCs w:val="24"/>
          <w:lang w:eastAsia="en-IN"/>
        </w:rPr>
        <w:t>research process</w:t>
      </w:r>
      <w:r w:rsidRPr="007E15D2">
        <w:rPr>
          <w:rFonts w:ascii="Times New Roman" w:eastAsia="Times New Roman" w:hAnsi="Times New Roman" w:cs="Times New Roman"/>
          <w:sz w:val="24"/>
          <w:szCs w:val="24"/>
          <w:lang w:eastAsia="en-IN"/>
        </w:rPr>
        <w:t>, rather than a one-off prediction.</w:t>
      </w:r>
    </w:p>
    <w:p w14:paraId="364170E1"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 progression is:</w:t>
      </w:r>
    </w:p>
    <w:p w14:paraId="07942782"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Model 1→out-of-sample errors→diagnosis→Model 2→new out-of-sample errors→regime correction→Model 3\text{Model 1} \rightarrow \text{out-of-sample errors} \rightarrow \text{diagnosis} \rightarrow \text{Model 2} \rightarrow \text{new out-of-sample errors} \rightarrow \text{regime correction} \rightarrow \text{Model 3} </w:t>
      </w:r>
    </w:p>
    <w:p w14:paraId="59BC4971"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and we keep the historical forecasts frozen rather than rewriting them after seeing what happened.</w:t>
      </w:r>
    </w:p>
    <w:p w14:paraId="275A5C21" w14:textId="77777777" w:rsidR="007E15D2" w:rsidRPr="007E15D2" w:rsidRDefault="007E15D2" w:rsidP="007E15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E15D2">
        <w:rPr>
          <w:rFonts w:ascii="Times New Roman" w:eastAsia="Times New Roman" w:hAnsi="Times New Roman" w:cs="Times New Roman"/>
          <w:b/>
          <w:bCs/>
          <w:sz w:val="36"/>
          <w:szCs w:val="36"/>
          <w:lang w:eastAsia="en-IN"/>
        </w:rPr>
        <w:t>My assessment of the current result</w:t>
      </w:r>
    </w:p>
    <w:p w14:paraId="508D1CED"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 present model's October prediction is:</w:t>
      </w:r>
    </w:p>
    <w:p w14:paraId="509BA01D"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+1.29%\boxed{+1.29\%} </w:t>
      </w:r>
    </w:p>
    <w:p w14:paraId="7D5A6793"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or approximately:</w:t>
      </w:r>
    </w:p>
    <w:p w14:paraId="104479F3"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23,075\boxed{23,075} </w:t>
      </w:r>
    </w:p>
    <w:p w14:paraId="2E072962"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lastRenderedPageBreak/>
        <w:t>for Nifty 50.</w:t>
      </w:r>
    </w:p>
    <w:p w14:paraId="63CB60BA"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But the more significant result is that </w:t>
      </w:r>
      <w:r w:rsidRPr="007E15D2">
        <w:rPr>
          <w:rFonts w:ascii="Times New Roman" w:eastAsia="Times New Roman" w:hAnsi="Times New Roman" w:cs="Times New Roman"/>
          <w:b/>
          <w:bCs/>
          <w:sz w:val="24"/>
          <w:szCs w:val="24"/>
          <w:lang w:eastAsia="en-IN"/>
        </w:rPr>
        <w:t>59 out-of-sample months have not demonstrated a large enough edge to justify high confidence</w:t>
      </w:r>
      <w:r w:rsidRPr="007E15D2">
        <w:rPr>
          <w:rFonts w:ascii="Times New Roman" w:eastAsia="Times New Roman" w:hAnsi="Times New Roman" w:cs="Times New Roman"/>
          <w:sz w:val="24"/>
          <w:szCs w:val="24"/>
          <w:lang w:eastAsia="en-IN"/>
        </w:rPr>
        <w:t>. The system is beating the naive seasonal baseline only marginally on average, even though its recent 36-month directional performance is better.</w:t>
      </w:r>
    </w:p>
    <w:p w14:paraId="0C4AAE65"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The next generation should therefore attack the exact weaknesses we found rather than simply adding more algorithms:</w:t>
      </w:r>
    </w:p>
    <w:p w14:paraId="2810FE9B" w14:textId="77777777" w:rsidR="007E15D2" w:rsidRPr="007E15D2" w:rsidRDefault="007E15D2" w:rsidP="007E15D2">
      <w:pPr>
        <w:spacing w:after="0"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exact daily data+regime detection+shock model+probability distribution+dynamic feature selection+strict walk-forward validation\boxed{ \text{exact daily data} + \text{regime detection} + \text{shock model} + \text{probability distribution} + \text{dynamic feature selection} + \text{strict walk-forward validation} } </w:t>
      </w:r>
    </w:p>
    <w:p w14:paraId="2F0456B4" w14:textId="77777777" w:rsidR="007E15D2" w:rsidRPr="007E15D2" w:rsidRDefault="007E15D2" w:rsidP="007E15D2">
      <w:pPr>
        <w:spacing w:before="100" w:beforeAutospacing="1" w:after="100" w:afterAutospacing="1" w:line="240" w:lineRule="auto"/>
        <w:rPr>
          <w:rFonts w:ascii="Times New Roman" w:eastAsia="Times New Roman" w:hAnsi="Times New Roman" w:cs="Times New Roman"/>
          <w:sz w:val="24"/>
          <w:szCs w:val="24"/>
          <w:lang w:eastAsia="en-IN"/>
        </w:rPr>
      </w:pPr>
      <w:r w:rsidRPr="007E15D2">
        <w:rPr>
          <w:rFonts w:ascii="Times New Roman" w:eastAsia="Times New Roman" w:hAnsi="Times New Roman" w:cs="Times New Roman"/>
          <w:sz w:val="24"/>
          <w:szCs w:val="24"/>
          <w:lang w:eastAsia="en-IN"/>
        </w:rPr>
        <w:t xml:space="preserve">That is the point at which this experiment becomes much more serious: instead of trying to make the average prediction closer, we explicitly model </w:t>
      </w:r>
      <w:r w:rsidRPr="007E15D2">
        <w:rPr>
          <w:rFonts w:ascii="Times New Roman" w:eastAsia="Times New Roman" w:hAnsi="Times New Roman" w:cs="Times New Roman"/>
          <w:b/>
          <w:bCs/>
          <w:sz w:val="24"/>
          <w:szCs w:val="24"/>
          <w:lang w:eastAsia="en-IN"/>
        </w:rPr>
        <w:t>why the prediction fails</w:t>
      </w:r>
      <w:r w:rsidRPr="007E15D2">
        <w:rPr>
          <w:rFonts w:ascii="Times New Roman" w:eastAsia="Times New Roman" w:hAnsi="Times New Roman" w:cs="Times New Roman"/>
          <w:sz w:val="24"/>
          <w:szCs w:val="24"/>
          <w:lang w:eastAsia="en-IN"/>
        </w:rPr>
        <w:t>, particularly the large positive and negative months.</w:t>
      </w:r>
    </w:p>
    <w:p w14:paraId="5BA4200A" w14:textId="77777777" w:rsidR="00684DC8" w:rsidRDefault="007E15D2"/>
    <w:sectPr w:rsidR="00684D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7F02"/>
    <w:multiLevelType w:val="multilevel"/>
    <w:tmpl w:val="853C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46DAE"/>
    <w:multiLevelType w:val="multilevel"/>
    <w:tmpl w:val="D558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0295F"/>
    <w:multiLevelType w:val="multilevel"/>
    <w:tmpl w:val="BBDC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396B60"/>
    <w:multiLevelType w:val="multilevel"/>
    <w:tmpl w:val="FC42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D35751"/>
    <w:multiLevelType w:val="multilevel"/>
    <w:tmpl w:val="0602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183EC8"/>
    <w:multiLevelType w:val="multilevel"/>
    <w:tmpl w:val="98D8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AC2E2A"/>
    <w:multiLevelType w:val="multilevel"/>
    <w:tmpl w:val="59FA4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270940"/>
    <w:multiLevelType w:val="multilevel"/>
    <w:tmpl w:val="1F6C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AA7861"/>
    <w:multiLevelType w:val="multilevel"/>
    <w:tmpl w:val="C498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E16FF5"/>
    <w:multiLevelType w:val="multilevel"/>
    <w:tmpl w:val="C27A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A558C4"/>
    <w:multiLevelType w:val="multilevel"/>
    <w:tmpl w:val="54D6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9"/>
  </w:num>
  <w:num w:numId="3">
    <w:abstractNumId w:val="6"/>
  </w:num>
  <w:num w:numId="4">
    <w:abstractNumId w:val="5"/>
  </w:num>
  <w:num w:numId="5">
    <w:abstractNumId w:val="10"/>
  </w:num>
  <w:num w:numId="6">
    <w:abstractNumId w:val="7"/>
  </w:num>
  <w:num w:numId="7">
    <w:abstractNumId w:val="3"/>
  </w:num>
  <w:num w:numId="8">
    <w:abstractNumId w:val="2"/>
  </w:num>
  <w:num w:numId="9">
    <w:abstractNumId w:val="8"/>
  </w:num>
  <w:num w:numId="10">
    <w:abstractNumId w:val="4"/>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1FC"/>
    <w:rsid w:val="00002C56"/>
    <w:rsid w:val="000E7CC0"/>
    <w:rsid w:val="006A34BD"/>
    <w:rsid w:val="006D11FC"/>
    <w:rsid w:val="007E15D2"/>
    <w:rsid w:val="00FD3E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126038-89A0-496C-8396-985898E22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E15D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E15D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E15D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5D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E15D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E15D2"/>
    <w:rPr>
      <w:rFonts w:ascii="Times New Roman" w:eastAsia="Times New Roman" w:hAnsi="Times New Roman" w:cs="Times New Roman"/>
      <w:b/>
      <w:bCs/>
      <w:sz w:val="27"/>
      <w:szCs w:val="27"/>
      <w:lang w:eastAsia="en-IN"/>
    </w:rPr>
  </w:style>
  <w:style w:type="paragraph" w:customStyle="1" w:styleId="msonormal0">
    <w:name w:val="msonormal"/>
    <w:basedOn w:val="Normal"/>
    <w:rsid w:val="007E15D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E15D2"/>
    <w:rPr>
      <w:b/>
      <w:bCs/>
    </w:rPr>
  </w:style>
  <w:style w:type="paragraph" w:styleId="NormalWeb">
    <w:name w:val="Normal (Web)"/>
    <w:basedOn w:val="Normal"/>
    <w:uiPriority w:val="99"/>
    <w:semiHidden/>
    <w:unhideWhenUsed/>
    <w:rsid w:val="007E15D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atex">
    <w:name w:val="katex"/>
    <w:basedOn w:val="DefaultParagraphFont"/>
    <w:rsid w:val="007E15D2"/>
  </w:style>
  <w:style w:type="character" w:customStyle="1" w:styleId="contents">
    <w:name w:val="contents"/>
    <w:basedOn w:val="DefaultParagraphFont"/>
    <w:rsid w:val="007E15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46566">
      <w:bodyDiv w:val="1"/>
      <w:marLeft w:val="0"/>
      <w:marRight w:val="0"/>
      <w:marTop w:val="0"/>
      <w:marBottom w:val="0"/>
      <w:divBdr>
        <w:top w:val="none" w:sz="0" w:space="0" w:color="auto"/>
        <w:left w:val="none" w:sz="0" w:space="0" w:color="auto"/>
        <w:bottom w:val="none" w:sz="0" w:space="0" w:color="auto"/>
        <w:right w:val="none" w:sz="0" w:space="0" w:color="auto"/>
      </w:divBdr>
      <w:divsChild>
        <w:div w:id="1666936868">
          <w:marLeft w:val="0"/>
          <w:marRight w:val="0"/>
          <w:marTop w:val="0"/>
          <w:marBottom w:val="0"/>
          <w:divBdr>
            <w:top w:val="none" w:sz="0" w:space="0" w:color="auto"/>
            <w:left w:val="none" w:sz="0" w:space="0" w:color="auto"/>
            <w:bottom w:val="none" w:sz="0" w:space="0" w:color="auto"/>
            <w:right w:val="none" w:sz="0" w:space="0" w:color="auto"/>
          </w:divBdr>
          <w:divsChild>
            <w:div w:id="1683120661">
              <w:marLeft w:val="0"/>
              <w:marRight w:val="0"/>
              <w:marTop w:val="0"/>
              <w:marBottom w:val="0"/>
              <w:divBdr>
                <w:top w:val="none" w:sz="0" w:space="0" w:color="auto"/>
                <w:left w:val="none" w:sz="0" w:space="0" w:color="auto"/>
                <w:bottom w:val="none" w:sz="0" w:space="0" w:color="auto"/>
                <w:right w:val="none" w:sz="0" w:space="0" w:color="auto"/>
              </w:divBdr>
              <w:divsChild>
                <w:div w:id="848569916">
                  <w:marLeft w:val="0"/>
                  <w:marRight w:val="0"/>
                  <w:marTop w:val="0"/>
                  <w:marBottom w:val="0"/>
                  <w:divBdr>
                    <w:top w:val="none" w:sz="0" w:space="0" w:color="auto"/>
                    <w:left w:val="none" w:sz="0" w:space="0" w:color="auto"/>
                    <w:bottom w:val="none" w:sz="0" w:space="0" w:color="auto"/>
                    <w:right w:val="none" w:sz="0" w:space="0" w:color="auto"/>
                  </w:divBdr>
                  <w:divsChild>
                    <w:div w:id="1114247691">
                      <w:marLeft w:val="0"/>
                      <w:marRight w:val="0"/>
                      <w:marTop w:val="0"/>
                      <w:marBottom w:val="0"/>
                      <w:divBdr>
                        <w:top w:val="none" w:sz="0" w:space="0" w:color="auto"/>
                        <w:left w:val="none" w:sz="0" w:space="0" w:color="auto"/>
                        <w:bottom w:val="none" w:sz="0" w:space="0" w:color="auto"/>
                        <w:right w:val="none" w:sz="0" w:space="0" w:color="auto"/>
                      </w:divBdr>
                      <w:divsChild>
                        <w:div w:id="614144534">
                          <w:marLeft w:val="0"/>
                          <w:marRight w:val="0"/>
                          <w:marTop w:val="0"/>
                          <w:marBottom w:val="0"/>
                          <w:divBdr>
                            <w:top w:val="none" w:sz="0" w:space="0" w:color="auto"/>
                            <w:left w:val="none" w:sz="0" w:space="0" w:color="auto"/>
                            <w:bottom w:val="none" w:sz="0" w:space="0" w:color="auto"/>
                            <w:right w:val="none" w:sz="0" w:space="0" w:color="auto"/>
                          </w:divBdr>
                          <w:divsChild>
                            <w:div w:id="2022586446">
                              <w:marLeft w:val="0"/>
                              <w:marRight w:val="0"/>
                              <w:marTop w:val="0"/>
                              <w:marBottom w:val="0"/>
                              <w:divBdr>
                                <w:top w:val="none" w:sz="0" w:space="0" w:color="auto"/>
                                <w:left w:val="none" w:sz="0" w:space="0" w:color="auto"/>
                                <w:bottom w:val="none" w:sz="0" w:space="0" w:color="auto"/>
                                <w:right w:val="none" w:sz="0" w:space="0" w:color="auto"/>
                              </w:divBdr>
                              <w:divsChild>
                                <w:div w:id="1378550620">
                                  <w:marLeft w:val="0"/>
                                  <w:marRight w:val="0"/>
                                  <w:marTop w:val="0"/>
                                  <w:marBottom w:val="0"/>
                                  <w:divBdr>
                                    <w:top w:val="none" w:sz="0" w:space="0" w:color="auto"/>
                                    <w:left w:val="none" w:sz="0" w:space="0" w:color="auto"/>
                                    <w:bottom w:val="none" w:sz="0" w:space="0" w:color="auto"/>
                                    <w:right w:val="none" w:sz="0" w:space="0" w:color="auto"/>
                                  </w:divBdr>
                                  <w:divsChild>
                                    <w:div w:id="331494433">
                                      <w:marLeft w:val="0"/>
                                      <w:marRight w:val="0"/>
                                      <w:marTop w:val="0"/>
                                      <w:marBottom w:val="0"/>
                                      <w:divBdr>
                                        <w:top w:val="none" w:sz="0" w:space="0" w:color="auto"/>
                                        <w:left w:val="none" w:sz="0" w:space="0" w:color="auto"/>
                                        <w:bottom w:val="none" w:sz="0" w:space="0" w:color="auto"/>
                                        <w:right w:val="none" w:sz="0" w:space="0" w:color="auto"/>
                                      </w:divBdr>
                                      <w:divsChild>
                                        <w:div w:id="247424134">
                                          <w:marLeft w:val="0"/>
                                          <w:marRight w:val="0"/>
                                          <w:marTop w:val="0"/>
                                          <w:marBottom w:val="0"/>
                                          <w:divBdr>
                                            <w:top w:val="none" w:sz="0" w:space="0" w:color="auto"/>
                                            <w:left w:val="none" w:sz="0" w:space="0" w:color="auto"/>
                                            <w:bottom w:val="none" w:sz="0" w:space="0" w:color="auto"/>
                                            <w:right w:val="none" w:sz="0" w:space="0" w:color="auto"/>
                                          </w:divBdr>
                                        </w:div>
                                      </w:divsChild>
                                    </w:div>
                                    <w:div w:id="1933313216">
                                      <w:blockQuote w:val="1"/>
                                      <w:marLeft w:val="720"/>
                                      <w:marRight w:val="720"/>
                                      <w:marTop w:val="100"/>
                                      <w:marBottom w:val="100"/>
                                      <w:divBdr>
                                        <w:top w:val="none" w:sz="0" w:space="0" w:color="auto"/>
                                        <w:left w:val="none" w:sz="0" w:space="0" w:color="auto"/>
                                        <w:bottom w:val="none" w:sz="0" w:space="0" w:color="auto"/>
                                        <w:right w:val="none" w:sz="0" w:space="0" w:color="auto"/>
                                      </w:divBdr>
                                    </w:div>
                                    <w:div w:id="240600891">
                                      <w:marLeft w:val="0"/>
                                      <w:marRight w:val="0"/>
                                      <w:marTop w:val="0"/>
                                      <w:marBottom w:val="0"/>
                                      <w:divBdr>
                                        <w:top w:val="none" w:sz="0" w:space="0" w:color="auto"/>
                                        <w:left w:val="none" w:sz="0" w:space="0" w:color="auto"/>
                                        <w:bottom w:val="none" w:sz="0" w:space="0" w:color="auto"/>
                                        <w:right w:val="none" w:sz="0" w:space="0" w:color="auto"/>
                                      </w:divBdr>
                                      <w:divsChild>
                                        <w:div w:id="965235781">
                                          <w:marLeft w:val="0"/>
                                          <w:marRight w:val="0"/>
                                          <w:marTop w:val="0"/>
                                          <w:marBottom w:val="0"/>
                                          <w:divBdr>
                                            <w:top w:val="none" w:sz="0" w:space="0" w:color="auto"/>
                                            <w:left w:val="none" w:sz="0" w:space="0" w:color="auto"/>
                                            <w:bottom w:val="none" w:sz="0" w:space="0" w:color="auto"/>
                                            <w:right w:val="none" w:sz="0" w:space="0" w:color="auto"/>
                                          </w:divBdr>
                                        </w:div>
                                      </w:divsChild>
                                    </w:div>
                                    <w:div w:id="96369103">
                                      <w:marLeft w:val="0"/>
                                      <w:marRight w:val="0"/>
                                      <w:marTop w:val="0"/>
                                      <w:marBottom w:val="0"/>
                                      <w:divBdr>
                                        <w:top w:val="none" w:sz="0" w:space="0" w:color="auto"/>
                                        <w:left w:val="none" w:sz="0" w:space="0" w:color="auto"/>
                                        <w:bottom w:val="none" w:sz="0" w:space="0" w:color="auto"/>
                                        <w:right w:val="none" w:sz="0" w:space="0" w:color="auto"/>
                                      </w:divBdr>
                                      <w:divsChild>
                                        <w:div w:id="1000355964">
                                          <w:marLeft w:val="0"/>
                                          <w:marRight w:val="0"/>
                                          <w:marTop w:val="0"/>
                                          <w:marBottom w:val="0"/>
                                          <w:divBdr>
                                            <w:top w:val="none" w:sz="0" w:space="0" w:color="auto"/>
                                            <w:left w:val="none" w:sz="0" w:space="0" w:color="auto"/>
                                            <w:bottom w:val="none" w:sz="0" w:space="0" w:color="auto"/>
                                            <w:right w:val="none" w:sz="0" w:space="0" w:color="auto"/>
                                          </w:divBdr>
                                        </w:div>
                                      </w:divsChild>
                                    </w:div>
                                    <w:div w:id="488524609">
                                      <w:blockQuote w:val="1"/>
                                      <w:marLeft w:val="720"/>
                                      <w:marRight w:val="720"/>
                                      <w:marTop w:val="100"/>
                                      <w:marBottom w:val="100"/>
                                      <w:divBdr>
                                        <w:top w:val="none" w:sz="0" w:space="0" w:color="auto"/>
                                        <w:left w:val="none" w:sz="0" w:space="0" w:color="auto"/>
                                        <w:bottom w:val="none" w:sz="0" w:space="0" w:color="auto"/>
                                        <w:right w:val="none" w:sz="0" w:space="0" w:color="auto"/>
                                      </w:divBdr>
                                    </w:div>
                                    <w:div w:id="1023439865">
                                      <w:marLeft w:val="0"/>
                                      <w:marRight w:val="0"/>
                                      <w:marTop w:val="0"/>
                                      <w:marBottom w:val="0"/>
                                      <w:divBdr>
                                        <w:top w:val="none" w:sz="0" w:space="0" w:color="auto"/>
                                        <w:left w:val="none" w:sz="0" w:space="0" w:color="auto"/>
                                        <w:bottom w:val="none" w:sz="0" w:space="0" w:color="auto"/>
                                        <w:right w:val="none" w:sz="0" w:space="0" w:color="auto"/>
                                      </w:divBdr>
                                      <w:divsChild>
                                        <w:div w:id="292255293">
                                          <w:marLeft w:val="0"/>
                                          <w:marRight w:val="0"/>
                                          <w:marTop w:val="0"/>
                                          <w:marBottom w:val="0"/>
                                          <w:divBdr>
                                            <w:top w:val="none" w:sz="0" w:space="0" w:color="auto"/>
                                            <w:left w:val="none" w:sz="0" w:space="0" w:color="auto"/>
                                            <w:bottom w:val="none" w:sz="0" w:space="0" w:color="auto"/>
                                            <w:right w:val="none" w:sz="0" w:space="0" w:color="auto"/>
                                          </w:divBdr>
                                        </w:div>
                                      </w:divsChild>
                                    </w:div>
                                    <w:div w:id="354384033">
                                      <w:marLeft w:val="0"/>
                                      <w:marRight w:val="0"/>
                                      <w:marTop w:val="0"/>
                                      <w:marBottom w:val="0"/>
                                      <w:divBdr>
                                        <w:top w:val="none" w:sz="0" w:space="0" w:color="auto"/>
                                        <w:left w:val="none" w:sz="0" w:space="0" w:color="auto"/>
                                        <w:bottom w:val="none" w:sz="0" w:space="0" w:color="auto"/>
                                        <w:right w:val="none" w:sz="0" w:space="0" w:color="auto"/>
                                      </w:divBdr>
                                      <w:divsChild>
                                        <w:div w:id="16275563">
                                          <w:marLeft w:val="0"/>
                                          <w:marRight w:val="0"/>
                                          <w:marTop w:val="0"/>
                                          <w:marBottom w:val="0"/>
                                          <w:divBdr>
                                            <w:top w:val="none" w:sz="0" w:space="0" w:color="auto"/>
                                            <w:left w:val="none" w:sz="0" w:space="0" w:color="auto"/>
                                            <w:bottom w:val="none" w:sz="0" w:space="0" w:color="auto"/>
                                            <w:right w:val="none" w:sz="0" w:space="0" w:color="auto"/>
                                          </w:divBdr>
                                        </w:div>
                                      </w:divsChild>
                                    </w:div>
                                    <w:div w:id="2012366767">
                                      <w:marLeft w:val="0"/>
                                      <w:marRight w:val="0"/>
                                      <w:marTop w:val="0"/>
                                      <w:marBottom w:val="0"/>
                                      <w:divBdr>
                                        <w:top w:val="none" w:sz="0" w:space="0" w:color="auto"/>
                                        <w:left w:val="none" w:sz="0" w:space="0" w:color="auto"/>
                                        <w:bottom w:val="none" w:sz="0" w:space="0" w:color="auto"/>
                                        <w:right w:val="none" w:sz="0" w:space="0" w:color="auto"/>
                                      </w:divBdr>
                                      <w:divsChild>
                                        <w:div w:id="1362587812">
                                          <w:marLeft w:val="0"/>
                                          <w:marRight w:val="0"/>
                                          <w:marTop w:val="0"/>
                                          <w:marBottom w:val="0"/>
                                          <w:divBdr>
                                            <w:top w:val="none" w:sz="0" w:space="0" w:color="auto"/>
                                            <w:left w:val="none" w:sz="0" w:space="0" w:color="auto"/>
                                            <w:bottom w:val="none" w:sz="0" w:space="0" w:color="auto"/>
                                            <w:right w:val="none" w:sz="0" w:space="0" w:color="auto"/>
                                          </w:divBdr>
                                        </w:div>
                                      </w:divsChild>
                                    </w:div>
                                    <w:div w:id="125265925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5260628">
                                      <w:blockQuote w:val="1"/>
                                      <w:marLeft w:val="720"/>
                                      <w:marRight w:val="720"/>
                                      <w:marTop w:val="100"/>
                                      <w:marBottom w:val="100"/>
                                      <w:divBdr>
                                        <w:top w:val="none" w:sz="0" w:space="0" w:color="auto"/>
                                        <w:left w:val="none" w:sz="0" w:space="0" w:color="auto"/>
                                        <w:bottom w:val="none" w:sz="0" w:space="0" w:color="auto"/>
                                        <w:right w:val="none" w:sz="0" w:space="0" w:color="auto"/>
                                      </w:divBdr>
                                    </w:div>
                                    <w:div w:id="60178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4617757">
          <w:marLeft w:val="0"/>
          <w:marRight w:val="0"/>
          <w:marTop w:val="0"/>
          <w:marBottom w:val="0"/>
          <w:divBdr>
            <w:top w:val="none" w:sz="0" w:space="0" w:color="auto"/>
            <w:left w:val="none" w:sz="0" w:space="0" w:color="auto"/>
            <w:bottom w:val="none" w:sz="0" w:space="0" w:color="auto"/>
            <w:right w:val="none" w:sz="0" w:space="0" w:color="auto"/>
          </w:divBdr>
          <w:divsChild>
            <w:div w:id="1889489543">
              <w:marLeft w:val="0"/>
              <w:marRight w:val="0"/>
              <w:marTop w:val="0"/>
              <w:marBottom w:val="0"/>
              <w:divBdr>
                <w:top w:val="none" w:sz="0" w:space="0" w:color="auto"/>
                <w:left w:val="none" w:sz="0" w:space="0" w:color="auto"/>
                <w:bottom w:val="none" w:sz="0" w:space="0" w:color="auto"/>
                <w:right w:val="none" w:sz="0" w:space="0" w:color="auto"/>
              </w:divBdr>
              <w:divsChild>
                <w:div w:id="1179463025">
                  <w:marLeft w:val="0"/>
                  <w:marRight w:val="0"/>
                  <w:marTop w:val="0"/>
                  <w:marBottom w:val="0"/>
                  <w:divBdr>
                    <w:top w:val="none" w:sz="0" w:space="0" w:color="auto"/>
                    <w:left w:val="none" w:sz="0" w:space="0" w:color="auto"/>
                    <w:bottom w:val="none" w:sz="0" w:space="0" w:color="auto"/>
                    <w:right w:val="none" w:sz="0" w:space="0" w:color="auto"/>
                  </w:divBdr>
                  <w:divsChild>
                    <w:div w:id="531916505">
                      <w:marLeft w:val="0"/>
                      <w:marRight w:val="0"/>
                      <w:marTop w:val="0"/>
                      <w:marBottom w:val="0"/>
                      <w:divBdr>
                        <w:top w:val="none" w:sz="0" w:space="0" w:color="auto"/>
                        <w:left w:val="none" w:sz="0" w:space="0" w:color="auto"/>
                        <w:bottom w:val="none" w:sz="0" w:space="0" w:color="auto"/>
                        <w:right w:val="none" w:sz="0" w:space="0" w:color="auto"/>
                      </w:divBdr>
                      <w:divsChild>
                        <w:div w:id="1198809512">
                          <w:marLeft w:val="0"/>
                          <w:marRight w:val="0"/>
                          <w:marTop w:val="0"/>
                          <w:marBottom w:val="0"/>
                          <w:divBdr>
                            <w:top w:val="none" w:sz="0" w:space="0" w:color="auto"/>
                            <w:left w:val="none" w:sz="0" w:space="0" w:color="auto"/>
                            <w:bottom w:val="none" w:sz="0" w:space="0" w:color="auto"/>
                            <w:right w:val="none" w:sz="0" w:space="0" w:color="auto"/>
                          </w:divBdr>
                          <w:divsChild>
                            <w:div w:id="688143399">
                              <w:marLeft w:val="0"/>
                              <w:marRight w:val="0"/>
                              <w:marTop w:val="0"/>
                              <w:marBottom w:val="0"/>
                              <w:divBdr>
                                <w:top w:val="none" w:sz="0" w:space="0" w:color="auto"/>
                                <w:left w:val="none" w:sz="0" w:space="0" w:color="auto"/>
                                <w:bottom w:val="none" w:sz="0" w:space="0" w:color="auto"/>
                                <w:right w:val="none" w:sz="0" w:space="0" w:color="auto"/>
                              </w:divBdr>
                              <w:divsChild>
                                <w:div w:id="1172796979">
                                  <w:marLeft w:val="0"/>
                                  <w:marRight w:val="0"/>
                                  <w:marTop w:val="0"/>
                                  <w:marBottom w:val="0"/>
                                  <w:divBdr>
                                    <w:top w:val="none" w:sz="0" w:space="0" w:color="auto"/>
                                    <w:left w:val="none" w:sz="0" w:space="0" w:color="auto"/>
                                    <w:bottom w:val="none" w:sz="0" w:space="0" w:color="auto"/>
                                    <w:right w:val="none" w:sz="0" w:space="0" w:color="auto"/>
                                  </w:divBdr>
                                  <w:divsChild>
                                    <w:div w:id="1037586239">
                                      <w:marLeft w:val="0"/>
                                      <w:marRight w:val="0"/>
                                      <w:marTop w:val="0"/>
                                      <w:marBottom w:val="0"/>
                                      <w:divBdr>
                                        <w:top w:val="none" w:sz="0" w:space="0" w:color="auto"/>
                                        <w:left w:val="none" w:sz="0" w:space="0" w:color="auto"/>
                                        <w:bottom w:val="none" w:sz="0" w:space="0" w:color="auto"/>
                                        <w:right w:val="none" w:sz="0" w:space="0" w:color="auto"/>
                                      </w:divBdr>
                                      <w:divsChild>
                                        <w:div w:id="82123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7284368">
          <w:marLeft w:val="0"/>
          <w:marRight w:val="0"/>
          <w:marTop w:val="0"/>
          <w:marBottom w:val="0"/>
          <w:divBdr>
            <w:top w:val="none" w:sz="0" w:space="0" w:color="auto"/>
            <w:left w:val="none" w:sz="0" w:space="0" w:color="auto"/>
            <w:bottom w:val="none" w:sz="0" w:space="0" w:color="auto"/>
            <w:right w:val="none" w:sz="0" w:space="0" w:color="auto"/>
          </w:divBdr>
          <w:divsChild>
            <w:div w:id="1917931798">
              <w:marLeft w:val="0"/>
              <w:marRight w:val="0"/>
              <w:marTop w:val="0"/>
              <w:marBottom w:val="0"/>
              <w:divBdr>
                <w:top w:val="none" w:sz="0" w:space="0" w:color="auto"/>
                <w:left w:val="none" w:sz="0" w:space="0" w:color="auto"/>
                <w:bottom w:val="none" w:sz="0" w:space="0" w:color="auto"/>
                <w:right w:val="none" w:sz="0" w:space="0" w:color="auto"/>
              </w:divBdr>
              <w:divsChild>
                <w:div w:id="60489948">
                  <w:marLeft w:val="0"/>
                  <w:marRight w:val="0"/>
                  <w:marTop w:val="0"/>
                  <w:marBottom w:val="0"/>
                  <w:divBdr>
                    <w:top w:val="none" w:sz="0" w:space="0" w:color="auto"/>
                    <w:left w:val="none" w:sz="0" w:space="0" w:color="auto"/>
                    <w:bottom w:val="none" w:sz="0" w:space="0" w:color="auto"/>
                    <w:right w:val="none" w:sz="0" w:space="0" w:color="auto"/>
                  </w:divBdr>
                  <w:divsChild>
                    <w:div w:id="714045532">
                      <w:marLeft w:val="0"/>
                      <w:marRight w:val="0"/>
                      <w:marTop w:val="0"/>
                      <w:marBottom w:val="0"/>
                      <w:divBdr>
                        <w:top w:val="none" w:sz="0" w:space="0" w:color="auto"/>
                        <w:left w:val="none" w:sz="0" w:space="0" w:color="auto"/>
                        <w:bottom w:val="none" w:sz="0" w:space="0" w:color="auto"/>
                        <w:right w:val="none" w:sz="0" w:space="0" w:color="auto"/>
                      </w:divBdr>
                      <w:divsChild>
                        <w:div w:id="345253658">
                          <w:marLeft w:val="0"/>
                          <w:marRight w:val="0"/>
                          <w:marTop w:val="0"/>
                          <w:marBottom w:val="0"/>
                          <w:divBdr>
                            <w:top w:val="none" w:sz="0" w:space="0" w:color="auto"/>
                            <w:left w:val="none" w:sz="0" w:space="0" w:color="auto"/>
                            <w:bottom w:val="none" w:sz="0" w:space="0" w:color="auto"/>
                            <w:right w:val="none" w:sz="0" w:space="0" w:color="auto"/>
                          </w:divBdr>
                          <w:divsChild>
                            <w:div w:id="148442453">
                              <w:marLeft w:val="0"/>
                              <w:marRight w:val="0"/>
                              <w:marTop w:val="0"/>
                              <w:marBottom w:val="0"/>
                              <w:divBdr>
                                <w:top w:val="none" w:sz="0" w:space="0" w:color="auto"/>
                                <w:left w:val="none" w:sz="0" w:space="0" w:color="auto"/>
                                <w:bottom w:val="none" w:sz="0" w:space="0" w:color="auto"/>
                                <w:right w:val="none" w:sz="0" w:space="0" w:color="auto"/>
                              </w:divBdr>
                              <w:divsChild>
                                <w:div w:id="1537936365">
                                  <w:marLeft w:val="0"/>
                                  <w:marRight w:val="0"/>
                                  <w:marTop w:val="0"/>
                                  <w:marBottom w:val="0"/>
                                  <w:divBdr>
                                    <w:top w:val="none" w:sz="0" w:space="0" w:color="auto"/>
                                    <w:left w:val="none" w:sz="0" w:space="0" w:color="auto"/>
                                    <w:bottom w:val="none" w:sz="0" w:space="0" w:color="auto"/>
                                    <w:right w:val="none" w:sz="0" w:space="0" w:color="auto"/>
                                  </w:divBdr>
                                  <w:divsChild>
                                    <w:div w:id="1326127936">
                                      <w:marLeft w:val="0"/>
                                      <w:marRight w:val="0"/>
                                      <w:marTop w:val="0"/>
                                      <w:marBottom w:val="0"/>
                                      <w:divBdr>
                                        <w:top w:val="none" w:sz="0" w:space="0" w:color="auto"/>
                                        <w:left w:val="none" w:sz="0" w:space="0" w:color="auto"/>
                                        <w:bottom w:val="none" w:sz="0" w:space="0" w:color="auto"/>
                                        <w:right w:val="none" w:sz="0" w:space="0" w:color="auto"/>
                                      </w:divBdr>
                                      <w:divsChild>
                                        <w:div w:id="931160867">
                                          <w:marLeft w:val="0"/>
                                          <w:marRight w:val="0"/>
                                          <w:marTop w:val="0"/>
                                          <w:marBottom w:val="0"/>
                                          <w:divBdr>
                                            <w:top w:val="none" w:sz="0" w:space="0" w:color="auto"/>
                                            <w:left w:val="none" w:sz="0" w:space="0" w:color="auto"/>
                                            <w:bottom w:val="none" w:sz="0" w:space="0" w:color="auto"/>
                                            <w:right w:val="none" w:sz="0" w:space="0" w:color="auto"/>
                                          </w:divBdr>
                                        </w:div>
                                      </w:divsChild>
                                    </w:div>
                                    <w:div w:id="30225759">
                                      <w:blockQuote w:val="1"/>
                                      <w:marLeft w:val="720"/>
                                      <w:marRight w:val="720"/>
                                      <w:marTop w:val="100"/>
                                      <w:marBottom w:val="100"/>
                                      <w:divBdr>
                                        <w:top w:val="none" w:sz="0" w:space="0" w:color="auto"/>
                                        <w:left w:val="none" w:sz="0" w:space="0" w:color="auto"/>
                                        <w:bottom w:val="none" w:sz="0" w:space="0" w:color="auto"/>
                                        <w:right w:val="none" w:sz="0" w:space="0" w:color="auto"/>
                                      </w:divBdr>
                                    </w:div>
                                    <w:div w:id="551963556">
                                      <w:blockQuote w:val="1"/>
                                      <w:marLeft w:val="720"/>
                                      <w:marRight w:val="720"/>
                                      <w:marTop w:val="100"/>
                                      <w:marBottom w:val="100"/>
                                      <w:divBdr>
                                        <w:top w:val="none" w:sz="0" w:space="0" w:color="auto"/>
                                        <w:left w:val="none" w:sz="0" w:space="0" w:color="auto"/>
                                        <w:bottom w:val="none" w:sz="0" w:space="0" w:color="auto"/>
                                        <w:right w:val="none" w:sz="0" w:space="0" w:color="auto"/>
                                      </w:divBdr>
                                    </w:div>
                                    <w:div w:id="950164586">
                                      <w:marLeft w:val="0"/>
                                      <w:marRight w:val="0"/>
                                      <w:marTop w:val="0"/>
                                      <w:marBottom w:val="0"/>
                                      <w:divBdr>
                                        <w:top w:val="none" w:sz="0" w:space="0" w:color="auto"/>
                                        <w:left w:val="none" w:sz="0" w:space="0" w:color="auto"/>
                                        <w:bottom w:val="none" w:sz="0" w:space="0" w:color="auto"/>
                                        <w:right w:val="none" w:sz="0" w:space="0" w:color="auto"/>
                                      </w:divBdr>
                                      <w:divsChild>
                                        <w:div w:id="199712039">
                                          <w:marLeft w:val="0"/>
                                          <w:marRight w:val="0"/>
                                          <w:marTop w:val="0"/>
                                          <w:marBottom w:val="0"/>
                                          <w:divBdr>
                                            <w:top w:val="none" w:sz="0" w:space="0" w:color="auto"/>
                                            <w:left w:val="none" w:sz="0" w:space="0" w:color="auto"/>
                                            <w:bottom w:val="none" w:sz="0" w:space="0" w:color="auto"/>
                                            <w:right w:val="none" w:sz="0" w:space="0" w:color="auto"/>
                                          </w:divBdr>
                                        </w:div>
                                      </w:divsChild>
                                    </w:div>
                                    <w:div w:id="2108035343">
                                      <w:blockQuote w:val="1"/>
                                      <w:marLeft w:val="720"/>
                                      <w:marRight w:val="720"/>
                                      <w:marTop w:val="100"/>
                                      <w:marBottom w:val="100"/>
                                      <w:divBdr>
                                        <w:top w:val="none" w:sz="0" w:space="0" w:color="auto"/>
                                        <w:left w:val="none" w:sz="0" w:space="0" w:color="auto"/>
                                        <w:bottom w:val="none" w:sz="0" w:space="0" w:color="auto"/>
                                        <w:right w:val="none" w:sz="0" w:space="0" w:color="auto"/>
                                      </w:divBdr>
                                    </w:div>
                                    <w:div w:id="1988629119">
                                      <w:blockQuote w:val="1"/>
                                      <w:marLeft w:val="720"/>
                                      <w:marRight w:val="720"/>
                                      <w:marTop w:val="100"/>
                                      <w:marBottom w:val="100"/>
                                      <w:divBdr>
                                        <w:top w:val="none" w:sz="0" w:space="0" w:color="auto"/>
                                        <w:left w:val="none" w:sz="0" w:space="0" w:color="auto"/>
                                        <w:bottom w:val="none" w:sz="0" w:space="0" w:color="auto"/>
                                        <w:right w:val="none" w:sz="0" w:space="0" w:color="auto"/>
                                      </w:divBdr>
                                    </w:div>
                                    <w:div w:id="490948760">
                                      <w:marLeft w:val="0"/>
                                      <w:marRight w:val="0"/>
                                      <w:marTop w:val="0"/>
                                      <w:marBottom w:val="0"/>
                                      <w:divBdr>
                                        <w:top w:val="none" w:sz="0" w:space="0" w:color="auto"/>
                                        <w:left w:val="none" w:sz="0" w:space="0" w:color="auto"/>
                                        <w:bottom w:val="none" w:sz="0" w:space="0" w:color="auto"/>
                                        <w:right w:val="none" w:sz="0" w:space="0" w:color="auto"/>
                                      </w:divBdr>
                                      <w:divsChild>
                                        <w:div w:id="539901126">
                                          <w:marLeft w:val="0"/>
                                          <w:marRight w:val="0"/>
                                          <w:marTop w:val="0"/>
                                          <w:marBottom w:val="0"/>
                                          <w:divBdr>
                                            <w:top w:val="none" w:sz="0" w:space="0" w:color="auto"/>
                                            <w:left w:val="none" w:sz="0" w:space="0" w:color="auto"/>
                                            <w:bottom w:val="none" w:sz="0" w:space="0" w:color="auto"/>
                                            <w:right w:val="none" w:sz="0" w:space="0" w:color="auto"/>
                                          </w:divBdr>
                                        </w:div>
                                      </w:divsChild>
                                    </w:div>
                                    <w:div w:id="1718551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4387</Words>
  <Characters>25010</Characters>
  <Application>Microsoft Office Word</Application>
  <DocSecurity>0</DocSecurity>
  <Lines>208</Lines>
  <Paragraphs>58</Paragraphs>
  <ScaleCrop>false</ScaleCrop>
  <Company/>
  <LinksUpToDate>false</LinksUpToDate>
  <CharactersWithSpaces>29339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2026-09-29T05:24:00Z</dcterms:created>
  <dcterms:modified xsi:type="dcterms:W3CDTF">2026-09-29T05:24:00Z</dcterms:modified>
</cp:coreProperties>
</file>