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1ED7C5" w14:textId="77777777" w:rsidR="00F91419" w:rsidRPr="00F91419" w:rsidRDefault="00F91419" w:rsidP="00F91419">
      <w:pPr>
        <w:spacing w:before="100" w:beforeAutospacing="1" w:after="100" w:afterAutospacing="1"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sz w:val="24"/>
          <w:szCs w:val="24"/>
          <w:lang w:eastAsia="en-IN"/>
        </w:rPr>
        <w:t>This is a big task, so I'll start by checking whether I can get real Nifty data. Everything else depends on that.</w:t>
      </w:r>
    </w:p>
    <w:p w14:paraId="62488E56" w14:textId="77777777" w:rsidR="00F91419" w:rsidRPr="00F91419" w:rsidRDefault="00F91419" w:rsidP="00F91419">
      <w:pPr>
        <w:spacing w:before="100" w:beforeAutospacing="1" w:after="100" w:afterAutospacing="1"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sz w:val="24"/>
          <w:szCs w:val="24"/>
          <w:lang w:eastAsia="en-IN"/>
        </w:rPr>
        <w:t xml:space="preserve">The </w:t>
      </w:r>
      <w:r w:rsidRPr="00F91419">
        <w:rPr>
          <w:rFonts w:ascii="Courier New" w:eastAsia="Times New Roman" w:hAnsi="Courier New" w:cs="Courier New"/>
          <w:sz w:val="20"/>
          <w:szCs w:val="20"/>
          <w:lang w:eastAsia="en-IN"/>
        </w:rPr>
        <w:t>technovusin/nifty50-historical-data</w:t>
      </w:r>
      <w:r w:rsidRPr="00F91419">
        <w:rPr>
          <w:rFonts w:ascii="Times New Roman" w:eastAsia="Times New Roman" w:hAnsi="Times New Roman" w:cs="Times New Roman"/>
          <w:sz w:val="24"/>
          <w:szCs w:val="24"/>
          <w:lang w:eastAsia="en-IN"/>
        </w:rPr>
        <w:t xml:space="preserve"> repo looks promising. It has minute data from 2017 to 2026, and it's on GitHub, which the sandbox can reach. I'll check its structure.</w:t>
      </w:r>
    </w:p>
    <w:p w14:paraId="1489570E" w14:textId="77777777" w:rsidR="00F91419" w:rsidRPr="00F91419" w:rsidRDefault="00F91419" w:rsidP="00F91419">
      <w:pPr>
        <w:spacing w:before="100" w:beforeAutospacing="1" w:after="100" w:afterAutospacing="1"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sz w:val="24"/>
          <w:szCs w:val="24"/>
          <w:lang w:eastAsia="en-IN"/>
        </w:rPr>
        <w:t>For the six months from 29 Oct 2026, the model's median is a Nifty of about 24,020 on 29 Apr 2027 (+5.4% from 22,780), with an 80% range of roughly 21,160 to 27,190. The +4.5% median rise is a starting assumption, not a call. In both backtests the market finished below the model's median, and the model has no directional skill beyond the historical base rate. What it does well is size the range, and that is the part to rely on.</w:t>
      </w:r>
    </w:p>
    <w:p w14:paraId="73DD7772" w14:textId="77777777" w:rsidR="00F91419" w:rsidRPr="00F91419" w:rsidRDefault="00F91419" w:rsidP="00F9141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1419">
        <w:rPr>
          <w:rFonts w:ascii="Times New Roman" w:eastAsia="Times New Roman" w:hAnsi="Times New Roman" w:cs="Times New Roman"/>
          <w:b/>
          <w:bCs/>
          <w:sz w:val="27"/>
          <w:szCs w:val="27"/>
          <w:lang w:eastAsia="en-IN"/>
        </w:rPr>
        <w:t>What I did and how it differs from your brief</w:t>
      </w:r>
    </w:p>
    <w:p w14:paraId="123C3592" w14:textId="77777777" w:rsidR="00F91419" w:rsidRPr="00F91419" w:rsidRDefault="00F91419" w:rsidP="00F9141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b/>
          <w:bCs/>
          <w:sz w:val="24"/>
          <w:szCs w:val="24"/>
          <w:lang w:eastAsia="en-IN"/>
        </w:rPr>
        <w:t>Data:</w:t>
      </w:r>
      <w:r w:rsidRPr="00F91419">
        <w:rPr>
          <w:rFonts w:ascii="Times New Roman" w:eastAsia="Times New Roman" w:hAnsi="Times New Roman" w:cs="Times New Roman"/>
          <w:sz w:val="24"/>
          <w:szCs w:val="24"/>
          <w:lang w:eastAsia="en-IN"/>
        </w:rPr>
        <w:t xml:space="preserve"> real Nifty 50 daily data from 1-minute index data (Apr 2017 to 28 Sep 2026). Closes are last-minute prints and can differ slightly from official closes.</w:t>
      </w:r>
    </w:p>
    <w:p w14:paraId="2ADFDDE9" w14:textId="77777777" w:rsidR="00F91419" w:rsidRPr="00F91419" w:rsidRDefault="00F91419" w:rsidP="00F9141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b/>
          <w:bCs/>
          <w:sz w:val="24"/>
          <w:szCs w:val="24"/>
          <w:lang w:eastAsia="en-IN"/>
        </w:rPr>
        <w:t>Dates:</w:t>
      </w:r>
      <w:r w:rsidRPr="00F91419">
        <w:rPr>
          <w:rFonts w:ascii="Times New Roman" w:eastAsia="Times New Roman" w:hAnsi="Times New Roman" w:cs="Times New Roman"/>
          <w:sz w:val="24"/>
          <w:szCs w:val="24"/>
          <w:lang w:eastAsia="en-IN"/>
        </w:rPr>
        <w:t xml:space="preserve"> today is 29 Sep 2026, so 29/10/2026 hasn't happened yet. I forecast from the last close (22,780 on 28 Sep) through 29 Apr 2027 and show both the 29 Oct level and the window itself.</w:t>
      </w:r>
    </w:p>
    <w:p w14:paraId="6950EC23" w14:textId="77777777" w:rsidR="00F91419" w:rsidRPr="00F91419" w:rsidRDefault="00F91419" w:rsidP="00F9141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b/>
          <w:bCs/>
          <w:sz w:val="24"/>
          <w:szCs w:val="24"/>
          <w:lang w:eastAsia="en-IN"/>
        </w:rPr>
        <w:t>3-year lookback:</w:t>
      </w:r>
      <w:r w:rsidRPr="00F91419">
        <w:rPr>
          <w:rFonts w:ascii="Times New Roman" w:eastAsia="Times New Roman" w:hAnsi="Times New Roman" w:cs="Times New Roman"/>
          <w:sz w:val="24"/>
          <w:szCs w:val="24"/>
          <w:lang w:eastAsia="en-IN"/>
        </w:rPr>
        <w:t xml:space="preserve"> volatility and market state are measured on the trailing 3 years. I used older data only to backtest rules, because 3 years holds about 6 independent 6-month periods.</w:t>
      </w:r>
    </w:p>
    <w:p w14:paraId="607FF944" w14:textId="77777777" w:rsidR="00F91419" w:rsidRPr="00F91419" w:rsidRDefault="00F91419" w:rsidP="00F9141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b/>
          <w:bCs/>
          <w:sz w:val="24"/>
          <w:szCs w:val="24"/>
          <w:lang w:eastAsia="en-IN"/>
        </w:rPr>
        <w:t>I can't truly forget:</w:t>
      </w:r>
      <w:r w:rsidRPr="00F91419">
        <w:rPr>
          <w:rFonts w:ascii="Times New Roman" w:eastAsia="Times New Roman" w:hAnsi="Times New Roman" w:cs="Times New Roman"/>
          <w:sz w:val="24"/>
          <w:szCs w:val="24"/>
          <w:lang w:eastAsia="en-IN"/>
        </w:rPr>
        <w:t xml:space="preserve"> my training includes part of the Window 1 and 2 periods. To limit this, the forecasts are mechanical code that only receives pre-cutoff data, and v1 was frozen before I scored anything. Window 3 is genuinely unseen by me.</w:t>
      </w:r>
    </w:p>
    <w:p w14:paraId="288A9DE4" w14:textId="77777777" w:rsidR="00F91419" w:rsidRPr="00F91419" w:rsidRDefault="00F91419" w:rsidP="00F9141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b/>
          <w:bCs/>
          <w:sz w:val="24"/>
          <w:szCs w:val="24"/>
          <w:lang w:eastAsia="en-IN"/>
        </w:rPr>
        <w:t>Price-only:</w:t>
      </w:r>
      <w:r w:rsidRPr="00F91419">
        <w:rPr>
          <w:rFonts w:ascii="Times New Roman" w:eastAsia="Times New Roman" w:hAnsi="Times New Roman" w:cs="Times New Roman"/>
          <w:sz w:val="24"/>
          <w:szCs w:val="24"/>
          <w:lang w:eastAsia="en-IN"/>
        </w:rPr>
        <w:t xml:space="preserve"> there are no flows, VIX, earnings, rates or crude in this model. It forecasts a probability distribution, not a price target.</w:t>
      </w:r>
    </w:p>
    <w:p w14:paraId="68D7F4CA" w14:textId="77777777" w:rsidR="00F91419" w:rsidRPr="00F91419" w:rsidRDefault="00F91419" w:rsidP="00F9141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1419">
        <w:rPr>
          <w:rFonts w:ascii="Times New Roman" w:eastAsia="Times New Roman" w:hAnsi="Times New Roman" w:cs="Times New Roman"/>
          <w:b/>
          <w:bCs/>
          <w:sz w:val="27"/>
          <w:szCs w:val="27"/>
          <w:lang w:eastAsia="en-IN"/>
        </w:rPr>
        <w:t>The model</w:t>
      </w:r>
    </w:p>
    <w:p w14:paraId="3FD6D5BB" w14:textId="77777777" w:rsidR="00F91419" w:rsidRPr="00F91419" w:rsidRDefault="00F91419" w:rsidP="00F9141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b/>
          <w:bCs/>
          <w:sz w:val="24"/>
          <w:szCs w:val="24"/>
          <w:lang w:eastAsia="en-IN"/>
        </w:rPr>
        <w:t>Drift:</w:t>
      </w:r>
      <w:r w:rsidRPr="00F91419">
        <w:rPr>
          <w:rFonts w:ascii="Times New Roman" w:eastAsia="Times New Roman" w:hAnsi="Times New Roman" w:cs="Times New Roman"/>
          <w:sz w:val="24"/>
          <w:szCs w:val="24"/>
          <w:lang w:eastAsia="en-IN"/>
        </w:rPr>
        <w:t xml:space="preserve"> a 9%-a-year prior (about +4.4% per 6 months), plus a small tilt from momentum, trend and drawdown.</w:t>
      </w:r>
    </w:p>
    <w:p w14:paraId="2FD23370" w14:textId="77777777" w:rsidR="00F91419" w:rsidRPr="00F91419" w:rsidRDefault="00F91419" w:rsidP="00F9141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b/>
          <w:bCs/>
          <w:sz w:val="24"/>
          <w:szCs w:val="24"/>
          <w:lang w:eastAsia="en-IN"/>
        </w:rPr>
        <w:t>Volatility:</w:t>
      </w:r>
      <w:r w:rsidRPr="00F91419">
        <w:rPr>
          <w:rFonts w:ascii="Times New Roman" w:eastAsia="Times New Roman" w:hAnsi="Times New Roman" w:cs="Times New Roman"/>
          <w:sz w:val="24"/>
          <w:szCs w:val="24"/>
          <w:lang w:eastAsia="en-IN"/>
        </w:rPr>
        <w:t xml:space="preserve"> GARCH(1,1) fitted on the last 3 years.</w:t>
      </w:r>
    </w:p>
    <w:p w14:paraId="2E0C149F" w14:textId="77777777" w:rsidR="00F91419" w:rsidRPr="00F91419" w:rsidRDefault="00F91419" w:rsidP="00F9141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b/>
          <w:bCs/>
          <w:sz w:val="24"/>
          <w:szCs w:val="24"/>
          <w:lang w:eastAsia="en-IN"/>
        </w:rPr>
        <w:t>Shocks:</w:t>
      </w:r>
      <w:r w:rsidRPr="00F91419">
        <w:rPr>
          <w:rFonts w:ascii="Times New Roman" w:eastAsia="Times New Roman" w:hAnsi="Times New Roman" w:cs="Times New Roman"/>
          <w:sz w:val="24"/>
          <w:szCs w:val="24"/>
          <w:lang w:eastAsia="en-IN"/>
        </w:rPr>
        <w:t xml:space="preserve"> bootstrapped from the actual fat-tailed residuals, over 20,000 simulated paths.</w:t>
      </w:r>
    </w:p>
    <w:p w14:paraId="207FF5CD" w14:textId="77777777" w:rsidR="00F91419" w:rsidRPr="00F91419" w:rsidRDefault="00F91419" w:rsidP="00F91419">
      <w:pPr>
        <w:spacing w:before="100" w:beforeAutospacing="1" w:after="100" w:afterAutospacing="1"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sz w:val="24"/>
          <w:szCs w:val="24"/>
          <w:lang w:eastAsia="en-IN"/>
        </w:rPr>
        <w:t>Hypotheses tested on data before 28 Oct 2024:</w:t>
      </w:r>
    </w:p>
    <w:p w14:paraId="68056B5F" w14:textId="77777777" w:rsidR="00F91419" w:rsidRPr="00F91419" w:rsidRDefault="00F91419" w:rsidP="00F9141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b/>
          <w:bCs/>
          <w:sz w:val="24"/>
          <w:szCs w:val="24"/>
          <w:lang w:eastAsia="en-IN"/>
        </w:rPr>
        <w:t>Volatility clustering</w:t>
      </w:r>
      <w:r w:rsidRPr="00F91419">
        <w:rPr>
          <w:rFonts w:ascii="Times New Roman" w:eastAsia="Times New Roman" w:hAnsi="Times New Roman" w:cs="Times New Roman"/>
          <w:sz w:val="24"/>
          <w:szCs w:val="24"/>
          <w:lang w:eastAsia="en-IN"/>
        </w:rPr>
        <w:t xml:space="preserve"> is strongly confirmed (autocorrelation of squared returns 0.22 at 1 day, 0.34 at 5 days).</w:t>
      </w:r>
    </w:p>
    <w:p w14:paraId="32F51AAB" w14:textId="77777777" w:rsidR="00F91419" w:rsidRPr="00F91419" w:rsidRDefault="00F91419" w:rsidP="00F9141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b/>
          <w:bCs/>
          <w:sz w:val="24"/>
          <w:szCs w:val="24"/>
          <w:lang w:eastAsia="en-IN"/>
        </w:rPr>
        <w:t>Momentum, trend and drawdown vs next 6-month return</w:t>
      </w:r>
      <w:r w:rsidRPr="00F91419">
        <w:rPr>
          <w:rFonts w:ascii="Times New Roman" w:eastAsia="Times New Roman" w:hAnsi="Times New Roman" w:cs="Times New Roman"/>
          <w:sz w:val="24"/>
          <w:szCs w:val="24"/>
          <w:lang w:eastAsia="en-IN"/>
        </w:rPr>
        <w:t xml:space="preserve"> had correlations of −0.18, −0.22 and −0.27. With about 12 independent windows, a correlation of about 0.58 is needed, so these are noise.</w:t>
      </w:r>
    </w:p>
    <w:p w14:paraId="000CCEF8" w14:textId="77777777" w:rsidR="00F91419" w:rsidRPr="00F91419" w:rsidRDefault="00F91419" w:rsidP="00F9141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1419">
        <w:rPr>
          <w:rFonts w:ascii="Times New Roman" w:eastAsia="Times New Roman" w:hAnsi="Times New Roman" w:cs="Times New Roman"/>
          <w:b/>
          <w:bCs/>
          <w:sz w:val="27"/>
          <w:szCs w:val="27"/>
          <w:lang w:eastAsia="en-IN"/>
        </w:rPr>
        <w:t>Backtests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4"/>
        <w:gridCol w:w="2468"/>
        <w:gridCol w:w="2377"/>
      </w:tblGrid>
      <w:tr w:rsidR="00F91419" w:rsidRPr="00F91419" w14:paraId="64773929" w14:textId="77777777" w:rsidTr="00F91419">
        <w:trPr>
          <w:tblHeader/>
          <w:tblCellSpacing w:w="15" w:type="dxa"/>
        </w:trPr>
        <w:tc>
          <w:tcPr>
            <w:tcW w:w="0" w:type="auto"/>
            <w:vAlign w:val="center"/>
            <w:hideMark/>
          </w:tcPr>
          <w:p w14:paraId="066CA018" w14:textId="77777777" w:rsidR="00F91419" w:rsidRPr="00F91419" w:rsidRDefault="00F91419" w:rsidP="00F91419">
            <w:pPr>
              <w:spacing w:after="0" w:line="240" w:lineRule="auto"/>
              <w:rPr>
                <w:rFonts w:ascii="Times New Roman" w:eastAsia="Times New Roman" w:hAnsi="Times New Roman" w:cs="Times New Roman"/>
                <w:sz w:val="24"/>
                <w:szCs w:val="24"/>
                <w:lang w:eastAsia="en-IN"/>
              </w:rPr>
            </w:pPr>
          </w:p>
        </w:tc>
        <w:tc>
          <w:tcPr>
            <w:tcW w:w="0" w:type="auto"/>
            <w:vAlign w:val="center"/>
            <w:hideMark/>
          </w:tcPr>
          <w:p w14:paraId="10465B57" w14:textId="77777777" w:rsidR="00F91419" w:rsidRPr="00F91419" w:rsidRDefault="00F91419" w:rsidP="00F91419">
            <w:pPr>
              <w:spacing w:after="0" w:line="240" w:lineRule="auto"/>
              <w:jc w:val="center"/>
              <w:rPr>
                <w:rFonts w:ascii="Times New Roman" w:eastAsia="Times New Roman" w:hAnsi="Times New Roman" w:cs="Times New Roman"/>
                <w:b/>
                <w:bCs/>
                <w:sz w:val="24"/>
                <w:szCs w:val="24"/>
                <w:lang w:eastAsia="en-IN"/>
              </w:rPr>
            </w:pPr>
            <w:r w:rsidRPr="00F91419">
              <w:rPr>
                <w:rFonts w:ascii="Times New Roman" w:eastAsia="Times New Roman" w:hAnsi="Times New Roman" w:cs="Times New Roman"/>
                <w:b/>
                <w:bCs/>
                <w:sz w:val="24"/>
                <w:szCs w:val="24"/>
                <w:lang w:eastAsia="en-IN"/>
              </w:rPr>
              <w:t>Window 1 (v1)</w:t>
            </w:r>
          </w:p>
        </w:tc>
        <w:tc>
          <w:tcPr>
            <w:tcW w:w="0" w:type="auto"/>
            <w:vAlign w:val="center"/>
            <w:hideMark/>
          </w:tcPr>
          <w:p w14:paraId="762AD696" w14:textId="77777777" w:rsidR="00F91419" w:rsidRPr="00F91419" w:rsidRDefault="00F91419" w:rsidP="00F91419">
            <w:pPr>
              <w:spacing w:after="0" w:line="240" w:lineRule="auto"/>
              <w:jc w:val="center"/>
              <w:rPr>
                <w:rFonts w:ascii="Times New Roman" w:eastAsia="Times New Roman" w:hAnsi="Times New Roman" w:cs="Times New Roman"/>
                <w:b/>
                <w:bCs/>
                <w:sz w:val="24"/>
                <w:szCs w:val="24"/>
                <w:lang w:eastAsia="en-IN"/>
              </w:rPr>
            </w:pPr>
            <w:r w:rsidRPr="00F91419">
              <w:rPr>
                <w:rFonts w:ascii="Times New Roman" w:eastAsia="Times New Roman" w:hAnsi="Times New Roman" w:cs="Times New Roman"/>
                <w:b/>
                <w:bCs/>
                <w:sz w:val="24"/>
                <w:szCs w:val="24"/>
                <w:lang w:eastAsia="en-IN"/>
              </w:rPr>
              <w:t>Window 2 (v2)</w:t>
            </w:r>
          </w:p>
        </w:tc>
      </w:tr>
      <w:tr w:rsidR="00F91419" w:rsidRPr="00F91419" w14:paraId="0BEC046F" w14:textId="77777777" w:rsidTr="00F91419">
        <w:trPr>
          <w:tblCellSpacing w:w="15" w:type="dxa"/>
        </w:trPr>
        <w:tc>
          <w:tcPr>
            <w:tcW w:w="0" w:type="auto"/>
            <w:vAlign w:val="center"/>
            <w:hideMark/>
          </w:tcPr>
          <w:p w14:paraId="4CD8CDA9" w14:textId="77777777" w:rsidR="00F91419" w:rsidRPr="00F91419" w:rsidRDefault="00F91419" w:rsidP="00F91419">
            <w:pPr>
              <w:spacing w:after="0"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sz w:val="24"/>
                <w:szCs w:val="24"/>
                <w:lang w:eastAsia="en-IN"/>
              </w:rPr>
              <w:t>Nifty, start → end</w:t>
            </w:r>
          </w:p>
        </w:tc>
        <w:tc>
          <w:tcPr>
            <w:tcW w:w="0" w:type="auto"/>
            <w:vAlign w:val="center"/>
            <w:hideMark/>
          </w:tcPr>
          <w:p w14:paraId="34569839" w14:textId="77777777" w:rsidR="00F91419" w:rsidRPr="00F91419" w:rsidRDefault="00F91419" w:rsidP="00F91419">
            <w:pPr>
              <w:spacing w:after="0"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sz w:val="24"/>
                <w:szCs w:val="24"/>
                <w:lang w:eastAsia="en-IN"/>
              </w:rPr>
              <w:t>24,368 → 24,325</w:t>
            </w:r>
          </w:p>
        </w:tc>
        <w:tc>
          <w:tcPr>
            <w:tcW w:w="0" w:type="auto"/>
            <w:vAlign w:val="center"/>
            <w:hideMark/>
          </w:tcPr>
          <w:p w14:paraId="791A95A6" w14:textId="77777777" w:rsidR="00F91419" w:rsidRPr="00F91419" w:rsidRDefault="00F91419" w:rsidP="00F91419">
            <w:pPr>
              <w:spacing w:after="0"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sz w:val="24"/>
                <w:szCs w:val="24"/>
                <w:lang w:eastAsia="en-IN"/>
              </w:rPr>
              <w:t>25,965 → 24,164</w:t>
            </w:r>
          </w:p>
        </w:tc>
      </w:tr>
      <w:tr w:rsidR="00F91419" w:rsidRPr="00F91419" w14:paraId="7AFC075D" w14:textId="77777777" w:rsidTr="00F91419">
        <w:trPr>
          <w:tblCellSpacing w:w="15" w:type="dxa"/>
        </w:trPr>
        <w:tc>
          <w:tcPr>
            <w:tcW w:w="0" w:type="auto"/>
            <w:vAlign w:val="center"/>
            <w:hideMark/>
          </w:tcPr>
          <w:p w14:paraId="7872C500" w14:textId="77777777" w:rsidR="00F91419" w:rsidRPr="00F91419" w:rsidRDefault="00F91419" w:rsidP="00F91419">
            <w:pPr>
              <w:spacing w:after="0"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sz w:val="24"/>
                <w:szCs w:val="24"/>
                <w:lang w:eastAsia="en-IN"/>
              </w:rPr>
              <w:t>Model median</w:t>
            </w:r>
          </w:p>
        </w:tc>
        <w:tc>
          <w:tcPr>
            <w:tcW w:w="0" w:type="auto"/>
            <w:vAlign w:val="center"/>
            <w:hideMark/>
          </w:tcPr>
          <w:p w14:paraId="65FC976B" w14:textId="77777777" w:rsidR="00F91419" w:rsidRPr="00F91419" w:rsidRDefault="00F91419" w:rsidP="00F91419">
            <w:pPr>
              <w:spacing w:after="0"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sz w:val="24"/>
                <w:szCs w:val="24"/>
                <w:lang w:eastAsia="en-IN"/>
              </w:rPr>
              <w:t>+4.7%</w:t>
            </w:r>
          </w:p>
        </w:tc>
        <w:tc>
          <w:tcPr>
            <w:tcW w:w="0" w:type="auto"/>
            <w:vAlign w:val="center"/>
            <w:hideMark/>
          </w:tcPr>
          <w:p w14:paraId="2649DEFB" w14:textId="77777777" w:rsidR="00F91419" w:rsidRPr="00F91419" w:rsidRDefault="00F91419" w:rsidP="00F91419">
            <w:pPr>
              <w:spacing w:after="0"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sz w:val="24"/>
                <w:szCs w:val="24"/>
                <w:lang w:eastAsia="en-IN"/>
              </w:rPr>
              <w:t>+4.5%</w:t>
            </w:r>
          </w:p>
        </w:tc>
      </w:tr>
      <w:tr w:rsidR="00F91419" w:rsidRPr="00F91419" w14:paraId="1E48B2D9" w14:textId="77777777" w:rsidTr="00F91419">
        <w:trPr>
          <w:tblCellSpacing w:w="15" w:type="dxa"/>
        </w:trPr>
        <w:tc>
          <w:tcPr>
            <w:tcW w:w="0" w:type="auto"/>
            <w:vAlign w:val="center"/>
            <w:hideMark/>
          </w:tcPr>
          <w:p w14:paraId="31B3863A" w14:textId="77777777" w:rsidR="00F91419" w:rsidRPr="00F91419" w:rsidRDefault="00F91419" w:rsidP="00F91419">
            <w:pPr>
              <w:spacing w:after="0"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sz w:val="24"/>
                <w:szCs w:val="24"/>
                <w:lang w:eastAsia="en-IN"/>
              </w:rPr>
              <w:lastRenderedPageBreak/>
              <w:t>Actual</w:t>
            </w:r>
          </w:p>
        </w:tc>
        <w:tc>
          <w:tcPr>
            <w:tcW w:w="0" w:type="auto"/>
            <w:vAlign w:val="center"/>
            <w:hideMark/>
          </w:tcPr>
          <w:p w14:paraId="4F313A42" w14:textId="77777777" w:rsidR="00F91419" w:rsidRPr="00F91419" w:rsidRDefault="00F91419" w:rsidP="00F91419">
            <w:pPr>
              <w:spacing w:after="0"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sz w:val="24"/>
                <w:szCs w:val="24"/>
                <w:lang w:eastAsia="en-IN"/>
              </w:rPr>
              <w:t>−0.2%</w:t>
            </w:r>
          </w:p>
        </w:tc>
        <w:tc>
          <w:tcPr>
            <w:tcW w:w="0" w:type="auto"/>
            <w:vAlign w:val="center"/>
            <w:hideMark/>
          </w:tcPr>
          <w:p w14:paraId="2E94D1FD" w14:textId="77777777" w:rsidR="00F91419" w:rsidRPr="00F91419" w:rsidRDefault="00F91419" w:rsidP="00F91419">
            <w:pPr>
              <w:spacing w:after="0"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sz w:val="24"/>
                <w:szCs w:val="24"/>
                <w:lang w:eastAsia="en-IN"/>
              </w:rPr>
              <w:t>−6.9%</w:t>
            </w:r>
          </w:p>
        </w:tc>
      </w:tr>
      <w:tr w:rsidR="00F91419" w:rsidRPr="00F91419" w14:paraId="4A6169C8" w14:textId="77777777" w:rsidTr="00F91419">
        <w:trPr>
          <w:tblCellSpacing w:w="15" w:type="dxa"/>
        </w:trPr>
        <w:tc>
          <w:tcPr>
            <w:tcW w:w="0" w:type="auto"/>
            <w:vAlign w:val="center"/>
            <w:hideMark/>
          </w:tcPr>
          <w:p w14:paraId="660203CC" w14:textId="77777777" w:rsidR="00F91419" w:rsidRPr="00F91419" w:rsidRDefault="00F91419" w:rsidP="00F91419">
            <w:pPr>
              <w:spacing w:after="0"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sz w:val="24"/>
                <w:szCs w:val="24"/>
                <w:lang w:eastAsia="en-IN"/>
              </w:rPr>
              <w:t>Where actual fell in forecast</w:t>
            </w:r>
          </w:p>
        </w:tc>
        <w:tc>
          <w:tcPr>
            <w:tcW w:w="0" w:type="auto"/>
            <w:vAlign w:val="center"/>
            <w:hideMark/>
          </w:tcPr>
          <w:p w14:paraId="7658A88F" w14:textId="77777777" w:rsidR="00F91419" w:rsidRPr="00F91419" w:rsidRDefault="00F91419" w:rsidP="00F91419">
            <w:pPr>
              <w:spacing w:after="0"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sz w:val="24"/>
                <w:szCs w:val="24"/>
                <w:lang w:eastAsia="en-IN"/>
              </w:rPr>
              <w:t>29th percentile</w:t>
            </w:r>
          </w:p>
        </w:tc>
        <w:tc>
          <w:tcPr>
            <w:tcW w:w="0" w:type="auto"/>
            <w:vAlign w:val="center"/>
            <w:hideMark/>
          </w:tcPr>
          <w:p w14:paraId="42477507" w14:textId="77777777" w:rsidR="00F91419" w:rsidRPr="00F91419" w:rsidRDefault="00F91419" w:rsidP="00F91419">
            <w:pPr>
              <w:spacing w:after="0"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sz w:val="24"/>
                <w:szCs w:val="24"/>
                <w:lang w:eastAsia="en-IN"/>
              </w:rPr>
              <w:t>8th percentile</w:t>
            </w:r>
          </w:p>
        </w:tc>
      </w:tr>
      <w:tr w:rsidR="00F91419" w:rsidRPr="00F91419" w14:paraId="2BCD0F84" w14:textId="77777777" w:rsidTr="00F91419">
        <w:trPr>
          <w:tblCellSpacing w:w="15" w:type="dxa"/>
        </w:trPr>
        <w:tc>
          <w:tcPr>
            <w:tcW w:w="0" w:type="auto"/>
            <w:vAlign w:val="center"/>
            <w:hideMark/>
          </w:tcPr>
          <w:p w14:paraId="1623E823" w14:textId="77777777" w:rsidR="00F91419" w:rsidRPr="00F91419" w:rsidRDefault="00F91419" w:rsidP="00F91419">
            <w:pPr>
              <w:spacing w:after="0"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sz w:val="24"/>
                <w:szCs w:val="24"/>
                <w:lang w:eastAsia="en-IN"/>
              </w:rPr>
              <w:t>Inside 50 / 80 / 90% band</w:t>
            </w:r>
          </w:p>
        </w:tc>
        <w:tc>
          <w:tcPr>
            <w:tcW w:w="0" w:type="auto"/>
            <w:vAlign w:val="center"/>
            <w:hideMark/>
          </w:tcPr>
          <w:p w14:paraId="7A8D4F51" w14:textId="77777777" w:rsidR="00F91419" w:rsidRPr="00F91419" w:rsidRDefault="00F91419" w:rsidP="00F91419">
            <w:pPr>
              <w:spacing w:after="0"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sz w:val="24"/>
                <w:szCs w:val="24"/>
                <w:lang w:eastAsia="en-IN"/>
              </w:rPr>
              <w:t>yes / yes / yes</w:t>
            </w:r>
          </w:p>
        </w:tc>
        <w:tc>
          <w:tcPr>
            <w:tcW w:w="0" w:type="auto"/>
            <w:vAlign w:val="center"/>
            <w:hideMark/>
          </w:tcPr>
          <w:p w14:paraId="1A28D701" w14:textId="77777777" w:rsidR="00F91419" w:rsidRPr="00F91419" w:rsidRDefault="00F91419" w:rsidP="00F91419">
            <w:pPr>
              <w:spacing w:after="0"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sz w:val="24"/>
                <w:szCs w:val="24"/>
                <w:lang w:eastAsia="en-IN"/>
              </w:rPr>
              <w:t>no / no / yes</w:t>
            </w:r>
          </w:p>
        </w:tc>
      </w:tr>
      <w:tr w:rsidR="00F91419" w:rsidRPr="00F91419" w14:paraId="3F391275" w14:textId="77777777" w:rsidTr="00F91419">
        <w:trPr>
          <w:tblCellSpacing w:w="15" w:type="dxa"/>
        </w:trPr>
        <w:tc>
          <w:tcPr>
            <w:tcW w:w="0" w:type="auto"/>
            <w:vAlign w:val="center"/>
            <w:hideMark/>
          </w:tcPr>
          <w:p w14:paraId="74D8FFBC" w14:textId="77777777" w:rsidR="00F91419" w:rsidRPr="00F91419" w:rsidRDefault="00F91419" w:rsidP="00F91419">
            <w:pPr>
              <w:spacing w:after="0"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sz w:val="24"/>
                <w:szCs w:val="24"/>
                <w:lang w:eastAsia="en-IN"/>
              </w:rPr>
              <w:t>Volatility, forecast vs actual</w:t>
            </w:r>
          </w:p>
        </w:tc>
        <w:tc>
          <w:tcPr>
            <w:tcW w:w="0" w:type="auto"/>
            <w:vAlign w:val="center"/>
            <w:hideMark/>
          </w:tcPr>
          <w:p w14:paraId="43D7C5C2" w14:textId="77777777" w:rsidR="00F91419" w:rsidRPr="00F91419" w:rsidRDefault="00F91419" w:rsidP="00F91419">
            <w:pPr>
              <w:spacing w:after="0"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sz w:val="24"/>
                <w:szCs w:val="24"/>
                <w:lang w:eastAsia="en-IN"/>
              </w:rPr>
              <w:t>13.7% vs 14.0%</w:t>
            </w:r>
          </w:p>
        </w:tc>
        <w:tc>
          <w:tcPr>
            <w:tcW w:w="0" w:type="auto"/>
            <w:vAlign w:val="center"/>
            <w:hideMark/>
          </w:tcPr>
          <w:p w14:paraId="47CA840F" w14:textId="77777777" w:rsidR="00F91419" w:rsidRPr="00F91419" w:rsidRDefault="00F91419" w:rsidP="00F91419">
            <w:pPr>
              <w:spacing w:after="0"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sz w:val="24"/>
                <w:szCs w:val="24"/>
                <w:lang w:eastAsia="en-IN"/>
              </w:rPr>
              <w:t>11.8% vs 15.4%</w:t>
            </w:r>
          </w:p>
        </w:tc>
      </w:tr>
      <w:tr w:rsidR="00F91419" w:rsidRPr="00F91419" w14:paraId="39DAFA93" w14:textId="77777777" w:rsidTr="00F91419">
        <w:trPr>
          <w:tblCellSpacing w:w="15" w:type="dxa"/>
        </w:trPr>
        <w:tc>
          <w:tcPr>
            <w:tcW w:w="0" w:type="auto"/>
            <w:vAlign w:val="center"/>
            <w:hideMark/>
          </w:tcPr>
          <w:p w14:paraId="0B85F8A2" w14:textId="77777777" w:rsidR="00F91419" w:rsidRPr="00F91419" w:rsidRDefault="00F91419" w:rsidP="00F91419">
            <w:pPr>
              <w:spacing w:after="0"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sz w:val="24"/>
                <w:szCs w:val="24"/>
                <w:lang w:eastAsia="en-IN"/>
              </w:rPr>
              <w:t>Worst drawdown</w:t>
            </w:r>
          </w:p>
        </w:tc>
        <w:tc>
          <w:tcPr>
            <w:tcW w:w="0" w:type="auto"/>
            <w:vAlign w:val="center"/>
            <w:hideMark/>
          </w:tcPr>
          <w:p w14:paraId="2DA0286F" w14:textId="77777777" w:rsidR="00F91419" w:rsidRPr="00F91419" w:rsidRDefault="00F91419" w:rsidP="00F91419">
            <w:pPr>
              <w:spacing w:after="0"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sz w:val="24"/>
                <w:szCs w:val="24"/>
                <w:lang w:eastAsia="en-IN"/>
              </w:rPr>
              <w:t>−10.9% (24th percentile)</w:t>
            </w:r>
          </w:p>
        </w:tc>
        <w:tc>
          <w:tcPr>
            <w:tcW w:w="0" w:type="auto"/>
            <w:vAlign w:val="center"/>
            <w:hideMark/>
          </w:tcPr>
          <w:p w14:paraId="743BEC09" w14:textId="77777777" w:rsidR="00F91419" w:rsidRPr="00F91419" w:rsidRDefault="00F91419" w:rsidP="00F91419">
            <w:pPr>
              <w:spacing w:after="0"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sz w:val="24"/>
                <w:szCs w:val="24"/>
                <w:lang w:eastAsia="en-IN"/>
              </w:rPr>
              <w:t>−15.0% (3rd percentile)</w:t>
            </w:r>
          </w:p>
        </w:tc>
      </w:tr>
      <w:tr w:rsidR="00F91419" w:rsidRPr="00F91419" w14:paraId="79E68003" w14:textId="77777777" w:rsidTr="00F91419">
        <w:trPr>
          <w:tblCellSpacing w:w="15" w:type="dxa"/>
        </w:trPr>
        <w:tc>
          <w:tcPr>
            <w:tcW w:w="0" w:type="auto"/>
            <w:vAlign w:val="center"/>
            <w:hideMark/>
          </w:tcPr>
          <w:p w14:paraId="20CBA30F" w14:textId="77777777" w:rsidR="00F91419" w:rsidRPr="00F91419" w:rsidRDefault="00F91419" w:rsidP="00F91419">
            <w:pPr>
              <w:spacing w:after="0"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sz w:val="24"/>
                <w:szCs w:val="24"/>
                <w:lang w:eastAsia="en-IN"/>
              </w:rPr>
              <w:t>Direction call (~70% up)</w:t>
            </w:r>
          </w:p>
        </w:tc>
        <w:tc>
          <w:tcPr>
            <w:tcW w:w="0" w:type="auto"/>
            <w:vAlign w:val="center"/>
            <w:hideMark/>
          </w:tcPr>
          <w:p w14:paraId="3F3B3F21" w14:textId="77777777" w:rsidR="00F91419" w:rsidRPr="00F91419" w:rsidRDefault="00F91419" w:rsidP="00F91419">
            <w:pPr>
              <w:spacing w:after="0"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sz w:val="24"/>
                <w:szCs w:val="24"/>
                <w:lang w:eastAsia="en-IN"/>
              </w:rPr>
              <w:t>wrong</w:t>
            </w:r>
          </w:p>
        </w:tc>
        <w:tc>
          <w:tcPr>
            <w:tcW w:w="0" w:type="auto"/>
            <w:vAlign w:val="center"/>
            <w:hideMark/>
          </w:tcPr>
          <w:p w14:paraId="5EF1B62B" w14:textId="77777777" w:rsidR="00F91419" w:rsidRPr="00F91419" w:rsidRDefault="00F91419" w:rsidP="00F91419">
            <w:pPr>
              <w:spacing w:after="0"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sz w:val="24"/>
                <w:szCs w:val="24"/>
                <w:lang w:eastAsia="en-IN"/>
              </w:rPr>
              <w:t>wrong</w:t>
            </w:r>
          </w:p>
        </w:tc>
      </w:tr>
    </w:tbl>
    <w:p w14:paraId="1AC9DE9D" w14:textId="77777777" w:rsidR="00F91419" w:rsidRPr="00F91419" w:rsidRDefault="00F91419" w:rsidP="00F9141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b/>
          <w:bCs/>
          <w:sz w:val="24"/>
          <w:szCs w:val="24"/>
          <w:lang w:eastAsia="en-IN"/>
        </w:rPr>
        <w:t>Window 1:</w:t>
      </w:r>
      <w:r w:rsidRPr="00F91419">
        <w:rPr>
          <w:rFonts w:ascii="Times New Roman" w:eastAsia="Times New Roman" w:hAnsi="Times New Roman" w:cs="Times New Roman"/>
          <w:sz w:val="24"/>
          <w:szCs w:val="24"/>
          <w:lang w:eastAsia="en-IN"/>
        </w:rPr>
        <w:t xml:space="preserve"> the miss was ordinary uncertainty, and the volatility forecast was almost exact.</w:t>
      </w:r>
    </w:p>
    <w:p w14:paraId="4D6DF9B0" w14:textId="77777777" w:rsidR="00F91419" w:rsidRPr="00F91419" w:rsidRDefault="00F91419" w:rsidP="00F9141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b/>
          <w:bCs/>
          <w:sz w:val="24"/>
          <w:szCs w:val="24"/>
          <w:lang w:eastAsia="en-IN"/>
        </w:rPr>
        <w:t>Window 2:</w:t>
      </w:r>
      <w:r w:rsidRPr="00F91419">
        <w:rPr>
          <w:rFonts w:ascii="Times New Roman" w:eastAsia="Times New Roman" w:hAnsi="Times New Roman" w:cs="Times New Roman"/>
          <w:sz w:val="24"/>
          <w:szCs w:val="24"/>
          <w:lang w:eastAsia="en-IN"/>
        </w:rPr>
        <w:t xml:space="preserve"> a real failure. The model trusted an unusually calm start (63-day volatility of 8.4%), and volatility then jumped.</w:t>
      </w:r>
    </w:p>
    <w:p w14:paraId="0F10A7D0" w14:textId="77777777" w:rsidR="00F91419" w:rsidRPr="00F91419" w:rsidRDefault="00F91419" w:rsidP="00F9141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b/>
          <w:bCs/>
          <w:sz w:val="24"/>
          <w:szCs w:val="24"/>
          <w:lang w:eastAsia="en-IN"/>
        </w:rPr>
        <w:t>Against naive baselines:</w:t>
      </w:r>
      <w:r w:rsidRPr="00F91419">
        <w:rPr>
          <w:rFonts w:ascii="Times New Roman" w:eastAsia="Times New Roman" w:hAnsi="Times New Roman" w:cs="Times New Roman"/>
          <w:sz w:val="24"/>
          <w:szCs w:val="24"/>
          <w:lang w:eastAsia="en-IN"/>
        </w:rPr>
        <w:t xml:space="preserve"> in both windows the model lost to a "no drift" random walk.</w:t>
      </w:r>
    </w:p>
    <w:p w14:paraId="0D0285FF" w14:textId="77777777" w:rsidR="00F91419" w:rsidRPr="00F91419" w:rsidRDefault="00F91419" w:rsidP="00F9141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b/>
          <w:bCs/>
          <w:sz w:val="24"/>
          <w:szCs w:val="24"/>
          <w:lang w:eastAsia="en-IN"/>
        </w:rPr>
        <w:t>Over 70 rolling monthly origins (about 12 independent windows):</w:t>
      </w:r>
      <w:r w:rsidRPr="00F91419">
        <w:rPr>
          <w:rFonts w:ascii="Times New Roman" w:eastAsia="Times New Roman" w:hAnsi="Times New Roman" w:cs="Times New Roman"/>
          <w:sz w:val="24"/>
          <w:szCs w:val="24"/>
          <w:lang w:eastAsia="en-IN"/>
        </w:rPr>
        <w:t xml:space="preserve"> the model beats the no-drift random walk by 14% and a constant-volatility model by 3%, with well-calibrated bands (47/81/90% coverage against 50/80/90 nominal).</w:t>
      </w:r>
    </w:p>
    <w:p w14:paraId="34DB3A4A" w14:textId="77777777" w:rsidR="00F91419" w:rsidRPr="00F91419" w:rsidRDefault="00F91419" w:rsidP="00F9141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1419">
        <w:rPr>
          <w:rFonts w:ascii="Times New Roman" w:eastAsia="Times New Roman" w:hAnsi="Times New Roman" w:cs="Times New Roman"/>
          <w:b/>
          <w:bCs/>
          <w:sz w:val="27"/>
          <w:szCs w:val="27"/>
          <w:lang w:eastAsia="en-IN"/>
        </w:rPr>
        <w:t>Corrections</w:t>
      </w:r>
    </w:p>
    <w:p w14:paraId="5957FAA1" w14:textId="77777777" w:rsidR="00F91419" w:rsidRPr="00F91419" w:rsidRDefault="00F91419" w:rsidP="00F91419">
      <w:pPr>
        <w:spacing w:before="100" w:beforeAutospacing="1" w:after="100" w:afterAutospacing="1"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sz w:val="24"/>
          <w:szCs w:val="24"/>
          <w:lang w:eastAsia="en-IN"/>
        </w:rPr>
        <w:t>Corrections were chosen by a fixed rule on the rolling backtests, not fitted to the exam windows.</w:t>
      </w:r>
    </w:p>
    <w:p w14:paraId="1F36D2D9" w14:textId="77777777" w:rsidR="00F91419" w:rsidRPr="00F91419" w:rsidRDefault="00F91419" w:rsidP="00F9141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b/>
          <w:bCs/>
          <w:sz w:val="24"/>
          <w:szCs w:val="24"/>
          <w:lang w:eastAsia="en-IN"/>
        </w:rPr>
        <w:t>After Window 1:</w:t>
      </w:r>
      <w:r w:rsidRPr="00F91419">
        <w:rPr>
          <w:rFonts w:ascii="Times New Roman" w:eastAsia="Times New Roman" w:hAnsi="Times New Roman" w:cs="Times New Roman"/>
          <w:sz w:val="24"/>
          <w:szCs w:val="24"/>
          <w:lang w:eastAsia="en-IN"/>
        </w:rPr>
        <w:t xml:space="preserve"> the momentum/trend/drawdown tilt was dropped. This is v2, which uses the drift prior only.</w:t>
      </w:r>
    </w:p>
    <w:p w14:paraId="154398F0" w14:textId="77777777" w:rsidR="00F91419" w:rsidRPr="00F91419" w:rsidRDefault="00F91419" w:rsidP="00F9141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b/>
          <w:bCs/>
          <w:sz w:val="24"/>
          <w:szCs w:val="24"/>
          <w:lang w:eastAsia="en-IN"/>
        </w:rPr>
        <w:t>After Window 2:</w:t>
      </w:r>
      <w:r w:rsidRPr="00F91419">
        <w:rPr>
          <w:rFonts w:ascii="Times New Roman" w:eastAsia="Times New Roman" w:hAnsi="Times New Roman" w:cs="Times New Roman"/>
          <w:sz w:val="24"/>
          <w:szCs w:val="24"/>
          <w:lang w:eastAsia="en-IN"/>
        </w:rPr>
        <w:t xml:space="preserve"> nothing passed the rule of a gain above 2% and better in 2 of 3 sub-periods, so v3 equals v2. Widening the bands after one miss would hurt calibration in the other windows.</w:t>
      </w:r>
    </w:p>
    <w:p w14:paraId="5D4EFB50" w14:textId="77777777" w:rsidR="00F91419" w:rsidRPr="00F91419" w:rsidRDefault="00F91419" w:rsidP="00F9141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b/>
          <w:bCs/>
          <w:sz w:val="24"/>
          <w:szCs w:val="24"/>
          <w:lang w:eastAsia="en-IN"/>
        </w:rPr>
        <w:t>Final refresh:</w:t>
      </w:r>
      <w:r w:rsidRPr="00F91419">
        <w:rPr>
          <w:rFonts w:ascii="Times New Roman" w:eastAsia="Times New Roman" w:hAnsi="Times New Roman" w:cs="Times New Roman"/>
          <w:sz w:val="24"/>
          <w:szCs w:val="24"/>
          <w:lang w:eastAsia="en-IN"/>
        </w:rPr>
        <w:t xml:space="preserve"> I re-ran everything on all data through 28 Sep 2026, adding two post-hoc candidates aimed at the Window 2 failure (random volatility level, and Bayesian-shrunk drift). Neither passed, so v4 equals v3. A shorter lookback came close, at +1.8%.</w:t>
      </w:r>
    </w:p>
    <w:p w14:paraId="3A0C1AE2" w14:textId="77777777" w:rsidR="00F91419" w:rsidRPr="00F91419" w:rsidRDefault="00F91419" w:rsidP="00F91419">
      <w:pPr>
        <w:spacing w:before="100" w:beforeAutospacing="1" w:after="100" w:afterAutospacing="1"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sz w:val="24"/>
          <w:szCs w:val="24"/>
          <w:lang w:eastAsia="en-IN"/>
        </w:rPr>
        <w:t>So the only correction that survived was deleting a signal. If I had instead forced the model to hit these two outcomes, I would have been fitting two data points.</w:t>
      </w:r>
    </w:p>
    <w:p w14:paraId="7D701C60" w14:textId="77777777" w:rsidR="00F91419" w:rsidRPr="00F91419" w:rsidRDefault="00F91419" w:rsidP="00F9141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91419">
        <w:rPr>
          <w:rFonts w:ascii="Times New Roman" w:eastAsia="Times New Roman" w:hAnsi="Times New Roman" w:cs="Times New Roman"/>
          <w:b/>
          <w:bCs/>
          <w:sz w:val="27"/>
          <w:szCs w:val="27"/>
          <w:lang w:eastAsia="en-IN"/>
        </w:rPr>
        <w:t>Prediction for 29 Oct 2026 to 29 Apr 2027 (model v4)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850"/>
        <w:gridCol w:w="3982"/>
      </w:tblGrid>
      <w:tr w:rsidR="00F91419" w:rsidRPr="00F91419" w14:paraId="36F4A78E" w14:textId="77777777" w:rsidTr="00F91419">
        <w:trPr>
          <w:tblHeader/>
          <w:tblCellSpacing w:w="15" w:type="dxa"/>
        </w:trPr>
        <w:tc>
          <w:tcPr>
            <w:tcW w:w="0" w:type="auto"/>
            <w:vAlign w:val="center"/>
            <w:hideMark/>
          </w:tcPr>
          <w:p w14:paraId="50FD8BA1" w14:textId="77777777" w:rsidR="00F91419" w:rsidRPr="00F91419" w:rsidRDefault="00F91419" w:rsidP="00F91419">
            <w:pPr>
              <w:spacing w:after="0" w:line="240" w:lineRule="auto"/>
              <w:rPr>
                <w:rFonts w:ascii="Times New Roman" w:eastAsia="Times New Roman" w:hAnsi="Times New Roman" w:cs="Times New Roman"/>
                <w:sz w:val="24"/>
                <w:szCs w:val="24"/>
                <w:lang w:eastAsia="en-IN"/>
              </w:rPr>
            </w:pPr>
          </w:p>
        </w:tc>
        <w:tc>
          <w:tcPr>
            <w:tcW w:w="0" w:type="auto"/>
            <w:vAlign w:val="center"/>
            <w:hideMark/>
          </w:tcPr>
          <w:p w14:paraId="29E289F7" w14:textId="77777777" w:rsidR="00F91419" w:rsidRPr="00F91419" w:rsidRDefault="00F91419" w:rsidP="00F91419">
            <w:pPr>
              <w:spacing w:after="0" w:line="240" w:lineRule="auto"/>
              <w:jc w:val="center"/>
              <w:rPr>
                <w:rFonts w:ascii="Times New Roman" w:eastAsia="Times New Roman" w:hAnsi="Times New Roman" w:cs="Times New Roman"/>
                <w:b/>
                <w:bCs/>
                <w:sz w:val="24"/>
                <w:szCs w:val="24"/>
                <w:lang w:eastAsia="en-IN"/>
              </w:rPr>
            </w:pPr>
            <w:r w:rsidRPr="00F91419">
              <w:rPr>
                <w:rFonts w:ascii="Times New Roman" w:eastAsia="Times New Roman" w:hAnsi="Times New Roman" w:cs="Times New Roman"/>
                <w:b/>
                <w:bCs/>
                <w:sz w:val="24"/>
                <w:szCs w:val="24"/>
                <w:lang w:eastAsia="en-IN"/>
              </w:rPr>
              <w:t>Median</w:t>
            </w:r>
          </w:p>
        </w:tc>
        <w:tc>
          <w:tcPr>
            <w:tcW w:w="0" w:type="auto"/>
            <w:vAlign w:val="center"/>
            <w:hideMark/>
          </w:tcPr>
          <w:p w14:paraId="72D38079" w14:textId="77777777" w:rsidR="00F91419" w:rsidRPr="00F91419" w:rsidRDefault="00F91419" w:rsidP="00F91419">
            <w:pPr>
              <w:spacing w:after="0" w:line="240" w:lineRule="auto"/>
              <w:jc w:val="center"/>
              <w:rPr>
                <w:rFonts w:ascii="Times New Roman" w:eastAsia="Times New Roman" w:hAnsi="Times New Roman" w:cs="Times New Roman"/>
                <w:b/>
                <w:bCs/>
                <w:sz w:val="24"/>
                <w:szCs w:val="24"/>
                <w:lang w:eastAsia="en-IN"/>
              </w:rPr>
            </w:pPr>
            <w:r w:rsidRPr="00F91419">
              <w:rPr>
                <w:rFonts w:ascii="Times New Roman" w:eastAsia="Times New Roman" w:hAnsi="Times New Roman" w:cs="Times New Roman"/>
                <w:b/>
                <w:bCs/>
                <w:sz w:val="24"/>
                <w:szCs w:val="24"/>
                <w:lang w:eastAsia="en-IN"/>
              </w:rPr>
              <w:t>80% range</w:t>
            </w:r>
          </w:p>
        </w:tc>
      </w:tr>
      <w:tr w:rsidR="00F91419" w:rsidRPr="00F91419" w14:paraId="7D7413F0" w14:textId="77777777" w:rsidTr="00F91419">
        <w:trPr>
          <w:tblCellSpacing w:w="15" w:type="dxa"/>
        </w:trPr>
        <w:tc>
          <w:tcPr>
            <w:tcW w:w="0" w:type="auto"/>
            <w:vAlign w:val="center"/>
            <w:hideMark/>
          </w:tcPr>
          <w:p w14:paraId="62CCC754" w14:textId="77777777" w:rsidR="00F91419" w:rsidRPr="00F91419" w:rsidRDefault="00F91419" w:rsidP="00F91419">
            <w:pPr>
              <w:spacing w:after="0"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sz w:val="24"/>
                <w:szCs w:val="24"/>
                <w:lang w:eastAsia="en-IN"/>
              </w:rPr>
              <w:t>Nifty on 29 Oct 2026</w:t>
            </w:r>
          </w:p>
        </w:tc>
        <w:tc>
          <w:tcPr>
            <w:tcW w:w="0" w:type="auto"/>
            <w:vAlign w:val="center"/>
            <w:hideMark/>
          </w:tcPr>
          <w:p w14:paraId="6507CC10" w14:textId="77777777" w:rsidR="00F91419" w:rsidRPr="00F91419" w:rsidRDefault="00F91419" w:rsidP="00F91419">
            <w:pPr>
              <w:spacing w:after="0"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sz w:val="24"/>
                <w:szCs w:val="24"/>
                <w:lang w:eastAsia="en-IN"/>
              </w:rPr>
              <w:t>~22,960</w:t>
            </w:r>
          </w:p>
        </w:tc>
        <w:tc>
          <w:tcPr>
            <w:tcW w:w="0" w:type="auto"/>
            <w:vAlign w:val="center"/>
            <w:hideMark/>
          </w:tcPr>
          <w:p w14:paraId="772C66E3" w14:textId="77777777" w:rsidR="00F91419" w:rsidRPr="00F91419" w:rsidRDefault="00F91419" w:rsidP="00F91419">
            <w:pPr>
              <w:spacing w:after="0"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sz w:val="24"/>
                <w:szCs w:val="24"/>
                <w:lang w:eastAsia="en-IN"/>
              </w:rPr>
              <w:t>21,860 – 24,120</w:t>
            </w:r>
          </w:p>
        </w:tc>
      </w:tr>
      <w:tr w:rsidR="00F91419" w:rsidRPr="00F91419" w14:paraId="516F1077" w14:textId="77777777" w:rsidTr="00F91419">
        <w:trPr>
          <w:tblCellSpacing w:w="15" w:type="dxa"/>
        </w:trPr>
        <w:tc>
          <w:tcPr>
            <w:tcW w:w="0" w:type="auto"/>
            <w:vAlign w:val="center"/>
            <w:hideMark/>
          </w:tcPr>
          <w:p w14:paraId="692DD998" w14:textId="77777777" w:rsidR="00F91419" w:rsidRPr="00F91419" w:rsidRDefault="00F91419" w:rsidP="00F91419">
            <w:pPr>
              <w:spacing w:after="0"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sz w:val="24"/>
                <w:szCs w:val="24"/>
                <w:lang w:eastAsia="en-IN"/>
              </w:rPr>
              <w:t>Nifty on 29 Apr 2027</w:t>
            </w:r>
          </w:p>
        </w:tc>
        <w:tc>
          <w:tcPr>
            <w:tcW w:w="0" w:type="auto"/>
            <w:vAlign w:val="center"/>
            <w:hideMark/>
          </w:tcPr>
          <w:p w14:paraId="1F017C5B" w14:textId="77777777" w:rsidR="00F91419" w:rsidRPr="00F91419" w:rsidRDefault="00F91419" w:rsidP="00F91419">
            <w:pPr>
              <w:spacing w:after="0"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sz w:val="24"/>
                <w:szCs w:val="24"/>
                <w:lang w:eastAsia="en-IN"/>
              </w:rPr>
              <w:t>~24,020</w:t>
            </w:r>
          </w:p>
        </w:tc>
        <w:tc>
          <w:tcPr>
            <w:tcW w:w="0" w:type="auto"/>
            <w:vAlign w:val="center"/>
            <w:hideMark/>
          </w:tcPr>
          <w:p w14:paraId="170C6443" w14:textId="77777777" w:rsidR="00F91419" w:rsidRPr="00F91419" w:rsidRDefault="00F91419" w:rsidP="00F91419">
            <w:pPr>
              <w:spacing w:after="0"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sz w:val="24"/>
                <w:szCs w:val="24"/>
                <w:lang w:eastAsia="en-IN"/>
              </w:rPr>
              <w:t>21,160 – 27,190 (90%: 20,400 – 28,200)</w:t>
            </w:r>
          </w:p>
        </w:tc>
      </w:tr>
      <w:tr w:rsidR="00F91419" w:rsidRPr="00F91419" w14:paraId="0F7DCCB0" w14:textId="77777777" w:rsidTr="00F91419">
        <w:trPr>
          <w:tblCellSpacing w:w="15" w:type="dxa"/>
        </w:trPr>
        <w:tc>
          <w:tcPr>
            <w:tcW w:w="0" w:type="auto"/>
            <w:vAlign w:val="center"/>
            <w:hideMark/>
          </w:tcPr>
          <w:p w14:paraId="2CD792ED" w14:textId="77777777" w:rsidR="00F91419" w:rsidRPr="00F91419" w:rsidRDefault="00F91419" w:rsidP="00F91419">
            <w:pPr>
              <w:spacing w:after="0"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sz w:val="24"/>
                <w:szCs w:val="24"/>
                <w:lang w:eastAsia="en-IN"/>
              </w:rPr>
              <w:t>Return over the window</w:t>
            </w:r>
          </w:p>
        </w:tc>
        <w:tc>
          <w:tcPr>
            <w:tcW w:w="0" w:type="auto"/>
            <w:vAlign w:val="center"/>
            <w:hideMark/>
          </w:tcPr>
          <w:p w14:paraId="652C64F0" w14:textId="77777777" w:rsidR="00F91419" w:rsidRPr="00F91419" w:rsidRDefault="00F91419" w:rsidP="00F91419">
            <w:pPr>
              <w:spacing w:after="0"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sz w:val="24"/>
                <w:szCs w:val="24"/>
                <w:lang w:eastAsia="en-IN"/>
              </w:rPr>
              <w:t>+4.5%</w:t>
            </w:r>
          </w:p>
        </w:tc>
        <w:tc>
          <w:tcPr>
            <w:tcW w:w="0" w:type="auto"/>
            <w:vAlign w:val="center"/>
            <w:hideMark/>
          </w:tcPr>
          <w:p w14:paraId="73293908" w14:textId="77777777" w:rsidR="00F91419" w:rsidRPr="00F91419" w:rsidRDefault="00F91419" w:rsidP="00F91419">
            <w:pPr>
              <w:spacing w:after="0"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sz w:val="24"/>
                <w:szCs w:val="24"/>
                <w:lang w:eastAsia="en-IN"/>
              </w:rPr>
              <w:t>−6.8% to +17.2%</w:t>
            </w:r>
          </w:p>
        </w:tc>
      </w:tr>
    </w:tbl>
    <w:p w14:paraId="68223B40" w14:textId="77777777" w:rsidR="00F91419" w:rsidRPr="00F91419" w:rsidRDefault="00F91419" w:rsidP="00F9141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b/>
          <w:bCs/>
          <w:sz w:val="24"/>
          <w:szCs w:val="24"/>
          <w:lang w:eastAsia="en-IN"/>
        </w:rPr>
        <w:t>Probability of a rise:</w:t>
      </w:r>
      <w:r w:rsidRPr="00F91419">
        <w:rPr>
          <w:rFonts w:ascii="Times New Roman" w:eastAsia="Times New Roman" w:hAnsi="Times New Roman" w:cs="Times New Roman"/>
          <w:sz w:val="24"/>
          <w:szCs w:val="24"/>
          <w:lang w:eastAsia="en-IN"/>
        </w:rPr>
        <w:t xml:space="preserve"> 69%.</w:t>
      </w:r>
    </w:p>
    <w:p w14:paraId="0447F2C0" w14:textId="77777777" w:rsidR="00F91419" w:rsidRPr="00F91419" w:rsidRDefault="00F91419" w:rsidP="00F9141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b/>
          <w:bCs/>
          <w:sz w:val="24"/>
          <w:szCs w:val="24"/>
          <w:lang w:eastAsia="en-IN"/>
        </w:rPr>
        <w:t>Probability of a move of 10% or more:</w:t>
      </w:r>
      <w:r w:rsidRPr="00F91419">
        <w:rPr>
          <w:rFonts w:ascii="Times New Roman" w:eastAsia="Times New Roman" w:hAnsi="Times New Roman" w:cs="Times New Roman"/>
          <w:sz w:val="24"/>
          <w:szCs w:val="24"/>
          <w:lang w:eastAsia="en-IN"/>
        </w:rPr>
        <w:t xml:space="preserve"> above +10% is 28%, below −10% is 5%.</w:t>
      </w:r>
    </w:p>
    <w:p w14:paraId="573863D3" w14:textId="77777777" w:rsidR="00F91419" w:rsidRPr="00F91419" w:rsidRDefault="00F91419" w:rsidP="00F9141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b/>
          <w:bCs/>
          <w:sz w:val="24"/>
          <w:szCs w:val="24"/>
          <w:lang w:eastAsia="en-IN"/>
        </w:rPr>
        <w:t>Drawdown along the way:</w:t>
      </w:r>
      <w:r w:rsidRPr="00F91419">
        <w:rPr>
          <w:rFonts w:ascii="Times New Roman" w:eastAsia="Times New Roman" w:hAnsi="Times New Roman" w:cs="Times New Roman"/>
          <w:sz w:val="24"/>
          <w:szCs w:val="24"/>
          <w:lang w:eastAsia="en-IN"/>
        </w:rPr>
        <w:t xml:space="preserve"> 36% chance of touching 5% below the window start, and 11% chance of touching 10% below.</w:t>
      </w:r>
    </w:p>
    <w:p w14:paraId="295A78B6" w14:textId="77777777" w:rsidR="00F91419" w:rsidRPr="00F91419" w:rsidRDefault="00F91419" w:rsidP="00F9141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b/>
          <w:bCs/>
          <w:sz w:val="24"/>
          <w:szCs w:val="24"/>
          <w:lang w:eastAsia="en-IN"/>
        </w:rPr>
        <w:lastRenderedPageBreak/>
        <w:t>Key levels for 29 Apr 2027:</w:t>
      </w:r>
      <w:r w:rsidRPr="00F91419">
        <w:rPr>
          <w:rFonts w:ascii="Times New Roman" w:eastAsia="Times New Roman" w:hAnsi="Times New Roman" w:cs="Times New Roman"/>
          <w:sz w:val="24"/>
          <w:szCs w:val="24"/>
          <w:lang w:eastAsia="en-IN"/>
        </w:rPr>
        <w:t xml:space="preserve"> 17% chance it is above the 1-year high of 26,336, and 19% chance it is below 22,000.</w:t>
      </w:r>
    </w:p>
    <w:p w14:paraId="0ED5968B" w14:textId="77777777" w:rsidR="00F91419" w:rsidRPr="00F91419" w:rsidRDefault="00F91419" w:rsidP="00F91419">
      <w:pPr>
        <w:spacing w:before="100" w:beforeAutospacing="1" w:after="100" w:afterAutospacing="1"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b/>
          <w:bCs/>
          <w:sz w:val="24"/>
          <w:szCs w:val="24"/>
          <w:lang w:eastAsia="en-IN"/>
        </w:rPr>
        <w:t>Sensitivity:</w:t>
      </w:r>
    </w:p>
    <w:p w14:paraId="32FCFD5B" w14:textId="77777777" w:rsidR="00F91419" w:rsidRPr="00F91419" w:rsidRDefault="00F91419" w:rsidP="00F9141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b/>
          <w:bCs/>
          <w:sz w:val="24"/>
          <w:szCs w:val="24"/>
          <w:lang w:eastAsia="en-IN"/>
        </w:rPr>
        <w:t>Zero drift:</w:t>
      </w:r>
      <w:r w:rsidRPr="00F91419">
        <w:rPr>
          <w:rFonts w:ascii="Times New Roman" w:eastAsia="Times New Roman" w:hAnsi="Times New Roman" w:cs="Times New Roman"/>
          <w:sz w:val="24"/>
          <w:szCs w:val="24"/>
          <w:lang w:eastAsia="en-IN"/>
        </w:rPr>
        <w:t xml:space="preserve"> the median goes flat at ~22,800 and P(up) drops to 50%.</w:t>
      </w:r>
    </w:p>
    <w:p w14:paraId="2E906201" w14:textId="77777777" w:rsidR="00F91419" w:rsidRPr="00F91419" w:rsidRDefault="00F91419" w:rsidP="00F9141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b/>
          <w:bCs/>
          <w:sz w:val="24"/>
          <w:szCs w:val="24"/>
          <w:lang w:eastAsia="en-IN"/>
        </w:rPr>
        <w:t>Volatility anchored to longer history (16% instead of 13%):</w:t>
      </w:r>
      <w:r w:rsidRPr="00F91419">
        <w:rPr>
          <w:rFonts w:ascii="Times New Roman" w:eastAsia="Times New Roman" w:hAnsi="Times New Roman" w:cs="Times New Roman"/>
          <w:sz w:val="24"/>
          <w:szCs w:val="24"/>
          <w:lang w:eastAsia="en-IN"/>
        </w:rPr>
        <w:t xml:space="preserve"> the chance of touching −10% doubles to 21%.</w:t>
      </w:r>
    </w:p>
    <w:p w14:paraId="740C80F3" w14:textId="77777777" w:rsidR="00F91419" w:rsidRPr="00F91419" w:rsidRDefault="00F91419" w:rsidP="00F91419">
      <w:pPr>
        <w:spacing w:before="100" w:beforeAutospacing="1" w:after="100" w:afterAutospacing="1"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b/>
          <w:bCs/>
          <w:sz w:val="24"/>
          <w:szCs w:val="24"/>
          <w:lang w:eastAsia="en-IN"/>
        </w:rPr>
        <w:t>My own read, not model output:</w:t>
      </w:r>
      <w:r w:rsidRPr="00F91419">
        <w:rPr>
          <w:rFonts w:ascii="Times New Roman" w:eastAsia="Times New Roman" w:hAnsi="Times New Roman" w:cs="Times New Roman"/>
          <w:sz w:val="24"/>
          <w:szCs w:val="24"/>
          <w:lang w:eastAsia="en-IN"/>
        </w:rPr>
        <w:t xml:space="preserve"> today's volatility is again below its 3-year average while the market slides (13.5% below its high and 6.7% below its 200-day average). That is the same calm-state pattern that preceded the Window 2 miss. I'd lean toward the wider-volatility version for risk planning.</w:t>
      </w:r>
    </w:p>
    <w:p w14:paraId="1EBBDA26" w14:textId="77777777" w:rsidR="00F91419" w:rsidRPr="00F91419" w:rsidRDefault="00F91419" w:rsidP="00F91419">
      <w:pPr>
        <w:spacing w:before="100" w:beforeAutospacing="1" w:after="100" w:afterAutospacing="1"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sz w:val="24"/>
          <w:szCs w:val="24"/>
          <w:lang w:eastAsia="en-IN"/>
        </w:rPr>
        <w:t>The two backtests can't statistically validate anything on their own. The most likely way to improve this is adding non-price data (flows, VIX, earnings revisions, currency, crude), which I can help build.</w:t>
      </w:r>
    </w:p>
    <w:p w14:paraId="27AC9EA0" w14:textId="77777777" w:rsidR="00F91419" w:rsidRPr="00F91419" w:rsidRDefault="00F91419" w:rsidP="00F91419">
      <w:pPr>
        <w:spacing w:before="100" w:beforeAutospacing="1" w:after="100" w:afterAutospacing="1" w:line="240" w:lineRule="auto"/>
        <w:rPr>
          <w:rFonts w:ascii="Times New Roman" w:eastAsia="Times New Roman" w:hAnsi="Times New Roman" w:cs="Times New Roman"/>
          <w:sz w:val="24"/>
          <w:szCs w:val="24"/>
          <w:lang w:eastAsia="en-IN"/>
        </w:rPr>
      </w:pPr>
      <w:r w:rsidRPr="00F91419">
        <w:rPr>
          <w:rFonts w:ascii="Times New Roman" w:eastAsia="Times New Roman" w:hAnsi="Times New Roman" w:cs="Times New Roman"/>
          <w:sz w:val="24"/>
          <w:szCs w:val="24"/>
          <w:lang w:eastAsia="en-IN"/>
        </w:rPr>
        <w:t>Files are in the cards below: the two charts, the model code, a run script, and the cleaned daily data (</w:t>
      </w:r>
      <w:r w:rsidRPr="00F91419">
        <w:rPr>
          <w:rFonts w:ascii="Courier New" w:eastAsia="Times New Roman" w:hAnsi="Courier New" w:cs="Courier New"/>
          <w:sz w:val="20"/>
          <w:szCs w:val="20"/>
          <w:lang w:eastAsia="en-IN"/>
        </w:rPr>
        <w:t>run_final.py</w:t>
      </w:r>
      <w:r w:rsidRPr="00F91419">
        <w:rPr>
          <w:rFonts w:ascii="Times New Roman" w:eastAsia="Times New Roman" w:hAnsi="Times New Roman" w:cs="Times New Roman"/>
          <w:sz w:val="24"/>
          <w:szCs w:val="24"/>
          <w:lang w:eastAsia="en-IN"/>
        </w:rPr>
        <w:t xml:space="preserve"> reruns the whole chain).</w:t>
      </w:r>
    </w:p>
    <w:p w14:paraId="7C8A8005" w14:textId="77777777" w:rsidR="00684DC8" w:rsidRDefault="00F91419"/>
    <w:sectPr w:rsidR="00684D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D20A4"/>
    <w:multiLevelType w:val="multilevel"/>
    <w:tmpl w:val="C2D2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037753"/>
    <w:multiLevelType w:val="multilevel"/>
    <w:tmpl w:val="DAC2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375706"/>
    <w:multiLevelType w:val="multilevel"/>
    <w:tmpl w:val="B558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3033D9"/>
    <w:multiLevelType w:val="multilevel"/>
    <w:tmpl w:val="B910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F721AE"/>
    <w:multiLevelType w:val="multilevel"/>
    <w:tmpl w:val="9162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2B4926"/>
    <w:multiLevelType w:val="multilevel"/>
    <w:tmpl w:val="0344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6302FA"/>
    <w:multiLevelType w:val="multilevel"/>
    <w:tmpl w:val="E1EA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3"/>
  </w:num>
  <w:num w:numId="4">
    <w:abstractNumId w:val="6"/>
  </w:num>
  <w:num w:numId="5">
    <w:abstractNumId w:val="0"/>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368"/>
    <w:rsid w:val="00002C56"/>
    <w:rsid w:val="000E7CC0"/>
    <w:rsid w:val="005D0368"/>
    <w:rsid w:val="006A34BD"/>
    <w:rsid w:val="00F91419"/>
    <w:rsid w:val="00FD3E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B50B53-78AB-478B-88F4-F2B3C8AEA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9141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9141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9141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F91419"/>
    <w:rPr>
      <w:rFonts w:ascii="Courier New" w:eastAsia="Times New Roman" w:hAnsi="Courier New" w:cs="Courier New"/>
      <w:sz w:val="20"/>
      <w:szCs w:val="20"/>
    </w:rPr>
  </w:style>
  <w:style w:type="character" w:styleId="Strong">
    <w:name w:val="Strong"/>
    <w:basedOn w:val="DefaultParagraphFont"/>
    <w:uiPriority w:val="22"/>
    <w:qFormat/>
    <w:rsid w:val="00F914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7956053">
      <w:bodyDiv w:val="1"/>
      <w:marLeft w:val="0"/>
      <w:marRight w:val="0"/>
      <w:marTop w:val="0"/>
      <w:marBottom w:val="0"/>
      <w:divBdr>
        <w:top w:val="none" w:sz="0" w:space="0" w:color="auto"/>
        <w:left w:val="none" w:sz="0" w:space="0" w:color="auto"/>
        <w:bottom w:val="none" w:sz="0" w:space="0" w:color="auto"/>
        <w:right w:val="none" w:sz="0" w:space="0" w:color="auto"/>
      </w:divBdr>
      <w:divsChild>
        <w:div w:id="613488030">
          <w:marLeft w:val="0"/>
          <w:marRight w:val="0"/>
          <w:marTop w:val="0"/>
          <w:marBottom w:val="0"/>
          <w:divBdr>
            <w:top w:val="none" w:sz="0" w:space="0" w:color="auto"/>
            <w:left w:val="none" w:sz="0" w:space="0" w:color="auto"/>
            <w:bottom w:val="none" w:sz="0" w:space="0" w:color="auto"/>
            <w:right w:val="none" w:sz="0" w:space="0" w:color="auto"/>
          </w:divBdr>
          <w:divsChild>
            <w:div w:id="1950043292">
              <w:marLeft w:val="0"/>
              <w:marRight w:val="0"/>
              <w:marTop w:val="0"/>
              <w:marBottom w:val="0"/>
              <w:divBdr>
                <w:top w:val="none" w:sz="0" w:space="0" w:color="auto"/>
                <w:left w:val="none" w:sz="0" w:space="0" w:color="auto"/>
                <w:bottom w:val="none" w:sz="0" w:space="0" w:color="auto"/>
                <w:right w:val="none" w:sz="0" w:space="0" w:color="auto"/>
              </w:divBdr>
              <w:divsChild>
                <w:div w:id="352806979">
                  <w:marLeft w:val="0"/>
                  <w:marRight w:val="0"/>
                  <w:marTop w:val="0"/>
                  <w:marBottom w:val="0"/>
                  <w:divBdr>
                    <w:top w:val="none" w:sz="0" w:space="0" w:color="auto"/>
                    <w:left w:val="none" w:sz="0" w:space="0" w:color="auto"/>
                    <w:bottom w:val="none" w:sz="0" w:space="0" w:color="auto"/>
                    <w:right w:val="none" w:sz="0" w:space="0" w:color="auto"/>
                  </w:divBdr>
                  <w:divsChild>
                    <w:div w:id="129792242">
                      <w:marLeft w:val="0"/>
                      <w:marRight w:val="0"/>
                      <w:marTop w:val="0"/>
                      <w:marBottom w:val="0"/>
                      <w:divBdr>
                        <w:top w:val="none" w:sz="0" w:space="0" w:color="auto"/>
                        <w:left w:val="none" w:sz="0" w:space="0" w:color="auto"/>
                        <w:bottom w:val="none" w:sz="0" w:space="0" w:color="auto"/>
                        <w:right w:val="none" w:sz="0" w:space="0" w:color="auto"/>
                      </w:divBdr>
                      <w:divsChild>
                        <w:div w:id="2029986708">
                          <w:marLeft w:val="0"/>
                          <w:marRight w:val="0"/>
                          <w:marTop w:val="0"/>
                          <w:marBottom w:val="0"/>
                          <w:divBdr>
                            <w:top w:val="none" w:sz="0" w:space="0" w:color="auto"/>
                            <w:left w:val="none" w:sz="0" w:space="0" w:color="auto"/>
                            <w:bottom w:val="none" w:sz="0" w:space="0" w:color="auto"/>
                            <w:right w:val="none" w:sz="0" w:space="0" w:color="auto"/>
                          </w:divBdr>
                          <w:divsChild>
                            <w:div w:id="576288633">
                              <w:marLeft w:val="0"/>
                              <w:marRight w:val="0"/>
                              <w:marTop w:val="0"/>
                              <w:marBottom w:val="0"/>
                              <w:divBdr>
                                <w:top w:val="none" w:sz="0" w:space="0" w:color="auto"/>
                                <w:left w:val="none" w:sz="0" w:space="0" w:color="auto"/>
                                <w:bottom w:val="none" w:sz="0" w:space="0" w:color="auto"/>
                                <w:right w:val="none" w:sz="0" w:space="0" w:color="auto"/>
                              </w:divBdr>
                              <w:divsChild>
                                <w:div w:id="116529895">
                                  <w:marLeft w:val="0"/>
                                  <w:marRight w:val="0"/>
                                  <w:marTop w:val="0"/>
                                  <w:marBottom w:val="0"/>
                                  <w:divBdr>
                                    <w:top w:val="none" w:sz="0" w:space="0" w:color="auto"/>
                                    <w:left w:val="none" w:sz="0" w:space="0" w:color="auto"/>
                                    <w:bottom w:val="none" w:sz="0" w:space="0" w:color="auto"/>
                                    <w:right w:val="none" w:sz="0" w:space="0" w:color="auto"/>
                                  </w:divBdr>
                                  <w:divsChild>
                                    <w:div w:id="140229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4194845">
          <w:marLeft w:val="0"/>
          <w:marRight w:val="0"/>
          <w:marTop w:val="0"/>
          <w:marBottom w:val="0"/>
          <w:divBdr>
            <w:top w:val="none" w:sz="0" w:space="0" w:color="auto"/>
            <w:left w:val="none" w:sz="0" w:space="0" w:color="auto"/>
            <w:bottom w:val="none" w:sz="0" w:space="0" w:color="auto"/>
            <w:right w:val="none" w:sz="0" w:space="0" w:color="auto"/>
          </w:divBdr>
          <w:divsChild>
            <w:div w:id="358505451">
              <w:marLeft w:val="0"/>
              <w:marRight w:val="0"/>
              <w:marTop w:val="0"/>
              <w:marBottom w:val="0"/>
              <w:divBdr>
                <w:top w:val="none" w:sz="0" w:space="0" w:color="auto"/>
                <w:left w:val="none" w:sz="0" w:space="0" w:color="auto"/>
                <w:bottom w:val="none" w:sz="0" w:space="0" w:color="auto"/>
                <w:right w:val="none" w:sz="0" w:space="0" w:color="auto"/>
              </w:divBdr>
              <w:divsChild>
                <w:div w:id="1240403913">
                  <w:marLeft w:val="0"/>
                  <w:marRight w:val="0"/>
                  <w:marTop w:val="0"/>
                  <w:marBottom w:val="0"/>
                  <w:divBdr>
                    <w:top w:val="none" w:sz="0" w:space="0" w:color="auto"/>
                    <w:left w:val="none" w:sz="0" w:space="0" w:color="auto"/>
                    <w:bottom w:val="none" w:sz="0" w:space="0" w:color="auto"/>
                    <w:right w:val="none" w:sz="0" w:space="0" w:color="auto"/>
                  </w:divBdr>
                  <w:divsChild>
                    <w:div w:id="201402836">
                      <w:marLeft w:val="0"/>
                      <w:marRight w:val="0"/>
                      <w:marTop w:val="0"/>
                      <w:marBottom w:val="0"/>
                      <w:divBdr>
                        <w:top w:val="none" w:sz="0" w:space="0" w:color="auto"/>
                        <w:left w:val="none" w:sz="0" w:space="0" w:color="auto"/>
                        <w:bottom w:val="none" w:sz="0" w:space="0" w:color="auto"/>
                        <w:right w:val="none" w:sz="0" w:space="0" w:color="auto"/>
                      </w:divBdr>
                      <w:divsChild>
                        <w:div w:id="1842816817">
                          <w:marLeft w:val="0"/>
                          <w:marRight w:val="0"/>
                          <w:marTop w:val="0"/>
                          <w:marBottom w:val="0"/>
                          <w:divBdr>
                            <w:top w:val="none" w:sz="0" w:space="0" w:color="auto"/>
                            <w:left w:val="none" w:sz="0" w:space="0" w:color="auto"/>
                            <w:bottom w:val="none" w:sz="0" w:space="0" w:color="auto"/>
                            <w:right w:val="none" w:sz="0" w:space="0" w:color="auto"/>
                          </w:divBdr>
                          <w:divsChild>
                            <w:div w:id="1124426782">
                              <w:marLeft w:val="0"/>
                              <w:marRight w:val="0"/>
                              <w:marTop w:val="0"/>
                              <w:marBottom w:val="0"/>
                              <w:divBdr>
                                <w:top w:val="none" w:sz="0" w:space="0" w:color="auto"/>
                                <w:left w:val="none" w:sz="0" w:space="0" w:color="auto"/>
                                <w:bottom w:val="none" w:sz="0" w:space="0" w:color="auto"/>
                                <w:right w:val="none" w:sz="0" w:space="0" w:color="auto"/>
                              </w:divBdr>
                              <w:divsChild>
                                <w:div w:id="148958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7968878">
          <w:marLeft w:val="0"/>
          <w:marRight w:val="0"/>
          <w:marTop w:val="0"/>
          <w:marBottom w:val="0"/>
          <w:divBdr>
            <w:top w:val="none" w:sz="0" w:space="0" w:color="auto"/>
            <w:left w:val="none" w:sz="0" w:space="0" w:color="auto"/>
            <w:bottom w:val="none" w:sz="0" w:space="0" w:color="auto"/>
            <w:right w:val="none" w:sz="0" w:space="0" w:color="auto"/>
          </w:divBdr>
          <w:divsChild>
            <w:div w:id="1244070369">
              <w:marLeft w:val="0"/>
              <w:marRight w:val="0"/>
              <w:marTop w:val="0"/>
              <w:marBottom w:val="0"/>
              <w:divBdr>
                <w:top w:val="none" w:sz="0" w:space="0" w:color="auto"/>
                <w:left w:val="none" w:sz="0" w:space="0" w:color="auto"/>
                <w:bottom w:val="none" w:sz="0" w:space="0" w:color="auto"/>
                <w:right w:val="none" w:sz="0" w:space="0" w:color="auto"/>
              </w:divBdr>
              <w:divsChild>
                <w:div w:id="625282738">
                  <w:marLeft w:val="0"/>
                  <w:marRight w:val="0"/>
                  <w:marTop w:val="0"/>
                  <w:marBottom w:val="0"/>
                  <w:divBdr>
                    <w:top w:val="none" w:sz="0" w:space="0" w:color="auto"/>
                    <w:left w:val="none" w:sz="0" w:space="0" w:color="auto"/>
                    <w:bottom w:val="none" w:sz="0" w:space="0" w:color="auto"/>
                    <w:right w:val="none" w:sz="0" w:space="0" w:color="auto"/>
                  </w:divBdr>
                  <w:divsChild>
                    <w:div w:id="859856637">
                      <w:marLeft w:val="0"/>
                      <w:marRight w:val="0"/>
                      <w:marTop w:val="0"/>
                      <w:marBottom w:val="0"/>
                      <w:divBdr>
                        <w:top w:val="none" w:sz="0" w:space="0" w:color="auto"/>
                        <w:left w:val="none" w:sz="0" w:space="0" w:color="auto"/>
                        <w:bottom w:val="none" w:sz="0" w:space="0" w:color="auto"/>
                        <w:right w:val="none" w:sz="0" w:space="0" w:color="auto"/>
                      </w:divBdr>
                      <w:divsChild>
                        <w:div w:id="1654260063">
                          <w:marLeft w:val="0"/>
                          <w:marRight w:val="0"/>
                          <w:marTop w:val="0"/>
                          <w:marBottom w:val="0"/>
                          <w:divBdr>
                            <w:top w:val="none" w:sz="0" w:space="0" w:color="auto"/>
                            <w:left w:val="none" w:sz="0" w:space="0" w:color="auto"/>
                            <w:bottom w:val="none" w:sz="0" w:space="0" w:color="auto"/>
                            <w:right w:val="none" w:sz="0" w:space="0" w:color="auto"/>
                          </w:divBdr>
                          <w:divsChild>
                            <w:div w:id="289871085">
                              <w:marLeft w:val="0"/>
                              <w:marRight w:val="0"/>
                              <w:marTop w:val="0"/>
                              <w:marBottom w:val="0"/>
                              <w:divBdr>
                                <w:top w:val="none" w:sz="0" w:space="0" w:color="auto"/>
                                <w:left w:val="none" w:sz="0" w:space="0" w:color="auto"/>
                                <w:bottom w:val="none" w:sz="0" w:space="0" w:color="auto"/>
                                <w:right w:val="none" w:sz="0" w:space="0" w:color="auto"/>
                              </w:divBdr>
                              <w:divsChild>
                                <w:div w:id="885722974">
                                  <w:marLeft w:val="0"/>
                                  <w:marRight w:val="0"/>
                                  <w:marTop w:val="0"/>
                                  <w:marBottom w:val="0"/>
                                  <w:divBdr>
                                    <w:top w:val="none" w:sz="0" w:space="0" w:color="auto"/>
                                    <w:left w:val="none" w:sz="0" w:space="0" w:color="auto"/>
                                    <w:bottom w:val="none" w:sz="0" w:space="0" w:color="auto"/>
                                    <w:right w:val="none" w:sz="0" w:space="0" w:color="auto"/>
                                  </w:divBdr>
                                  <w:divsChild>
                                    <w:div w:id="561866939">
                                      <w:marLeft w:val="0"/>
                                      <w:marRight w:val="0"/>
                                      <w:marTop w:val="0"/>
                                      <w:marBottom w:val="0"/>
                                      <w:divBdr>
                                        <w:top w:val="none" w:sz="0" w:space="0" w:color="auto"/>
                                        <w:left w:val="none" w:sz="0" w:space="0" w:color="auto"/>
                                        <w:bottom w:val="none" w:sz="0" w:space="0" w:color="auto"/>
                                        <w:right w:val="none" w:sz="0" w:space="0" w:color="auto"/>
                                      </w:divBdr>
                                    </w:div>
                                    <w:div w:id="125266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813</Words>
  <Characters>4640</Characters>
  <Application>Microsoft Office Word</Application>
  <DocSecurity>0</DocSecurity>
  <Lines>38</Lines>
  <Paragraphs>10</Paragraphs>
  <ScaleCrop>false</ScaleCrop>
  <Company/>
  <LinksUpToDate>false</LinksUpToDate>
  <CharactersWithSpaces>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2026-09-29T05:16:00Z</dcterms:created>
  <dcterms:modified xsi:type="dcterms:W3CDTF">2026-09-29T05:17:00Z</dcterms:modified>
</cp:coreProperties>
</file>