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5fn62sx6jbm" w:id="0"/>
      <w:bookmarkEnd w:id="0"/>
      <w:r w:rsidDel="00000000" w:rsidR="00000000" w:rsidRPr="00000000">
        <w:rPr>
          <w:rtl w:val="0"/>
        </w:rPr>
        <w:t xml:space="preserve">Indian Equity Market Predictive Modeling Framework (2021-2026)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16b9yo9px3tr" w:id="1"/>
      <w:bookmarkEnd w:id="1"/>
      <w:r w:rsidDel="00000000" w:rsidR="00000000" w:rsidRPr="00000000">
        <w:rPr>
          <w:rtl w:val="0"/>
        </w:rPr>
        <w:t xml:space="preserve">Part 1: The Core Algorithm (Model 1.0) - NIFTY 50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foundational algorithm calculates the expected 6-month forward return (R_t+6) based on the interplay of valuation, yield spreads, and momentum.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Variables: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E_y: Forward Earnings Yield (1 / Forward P/E)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B_y: 10-Year Indian Government Bond Yield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S_t: Equity Risk Premium or Spread (E_y - B_y)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M_120: 120-Day Price Momentum (Z-score of current price vs. 120-day moving average)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Base Equation (Model 1.0):</w:t>
        <w:br w:type="textWrapping"/>
        <w:t xml:space="preserve">R_{t+6} = α + β1(S_t) + β2(M_120) + ε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Phase 1: Anchor Date - October 29, 2024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Prediction: The mathematical spread signals severe overvaluation relative to fixed income. The algorithm dictates a defensive posture, projecting a flat to negative return over the next 6 months to compress the P/E multiple. Target for April 29, 2025: -2.0% (Nifty ~23,976).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Reality Check: Actual NIFTY 50 on April 29, 2025 was 24,335 (-0.53%).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Correction: Introduced D_f (Domestic Liquidity Flow Index) to act as a counter-weight to negative valuation spreads.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Phase 2: Anchor Date - October 29, 2025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Prediction (Using Model 1.1): The math sees a clash. Liquidity (D_f) is pushing prices up, but structural valuation (S_t) and extreme momentum (M_120) trigger a strict statistical "blow-off top" warning. Target for April 29, 2026: -7.0% (Nifty ~24,244).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Reality Check: Actual NIFTY 50 on April 29, 2026 was 24,177 (-7.2%).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Correction: Model 1.1 was exceptionally accurate. No structural changes to the equation are needed.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Phase 3: Current Anchor - October 2026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Prediction (Using Model 1.1): The algorithm registers a rare structural "Value Reversal" signal. The quantitative model projects an aggressive mean-reversion to the upside over the next two quarters. Target Level for April 2027: 25,000 — 25,300 (+10.5% to +12.0%).</w:t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c1e0ppmg8s0j" w:id="2"/>
      <w:bookmarkEnd w:id="2"/>
      <w:r w:rsidDel="00000000" w:rsidR="00000000" w:rsidRPr="00000000">
        <w:rPr>
          <w:rtl w:val="0"/>
        </w:rPr>
        <w:t xml:space="preserve">Part 2: The Multi-Index Algorithm (Model 2.1)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Equation:</w:t>
        <w:br w:type="textWrapping"/>
        <w:t xml:space="preserve">R_{i, t+6} = α + [β1(S_i) × C_{m,i}] + β2(M_120,i) + β3(D_f × λ_i) + β5(M_b,i)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Final Prediction (October 2026 to April 2027):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Nifty Bank: Extreme positive valuation spread + expanding margin cycle. Expected to Outperform (+12% to +15%).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Nifty Midcap 100: Valuation reset + renewed liquidity flow. Target: ~65,000 - 66,500 (+8% to +11%).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Nifty IT: Neutral valuation + negative global macro beta. Expected to Underperform / Flat (-2% to +2%).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Nifty FMCG: Deeply negative valuation spread. Capital rotation out. Target: Underperform (-4% to -7%).</w:t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5yjvs8eat78o" w:id="3"/>
      <w:bookmarkEnd w:id="3"/>
      <w:r w:rsidDel="00000000" w:rsidR="00000000" w:rsidRPr="00000000">
        <w:rPr>
          <w:rtl w:val="0"/>
        </w:rPr>
        <w:t xml:space="preserve">Part 3: Advanced AI Predictive Modeling (2021-2026)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Epoch 1: The Linear Factor Constraints (Oct 2021 – Feb 2022)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Model v1.0: Multi-factor linear regression.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Outcome: Failed in macro-shocks (e.g., Ukraine invasion in Feb 2022). Required non-linear geopolitical and commodity vectors.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Epoch 2: Non-Linear Gradient Boosting (Mar 2022 – Mar 2023)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Model v2.0: XGBoost tree ensemble introducing external macro vectors (Crude, DXY, Fed Rate).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Outcome: Failed to price in the asymmetric defense mechanism of domestic retail SIPs.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Epoch 3: Recurrent Sequence Modeling (Apr 2023 – Jun 2024)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Model v3.0: LSTM neural network to track cumulative domestic liquidity.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Outcome: Suffered from "valuation anchoring" post-election.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Epoch 4: Self-Attention &amp; Regime Detection (Jul 2024 – Sep 2026)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Model v4.0: Transformer-based architecture using Self-Attention.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Outcome: Highly accurate. Realized India underwent "financialization of savings," lowering the cost of equity capital structurally.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Final Test: Predicting Next Month (October 2026)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Prediction: The model projects a "Volatility Expansion Event"—a sudden, sharp mean-reversion drop, followed by aggressive buying at lower levels by domestic funds. Target Level for Oct 31, 2026: 26,850 – 27,050 (-3.2% net monthly return). Capital will rotate into large-cap Private Banks and IT.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en"/>
      </w:rPr>
    </w:rPrDefault>
    <w:pPrDefault>
      <w:pPr>
        <w:spacing w:line="324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334155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64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