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107C3"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To build a pure mathematical and logical forecasting engine for the Indian equity market (NIFTY 50), we must rely on a multi-factor quantitative framework that strips away narrative and relies strictly on data. We will use a walk-forward backtesting method to train, test, and correct the model over the specified timeline.</w:t>
      </w:r>
    </w:p>
    <w:p w14:paraId="59E3B282"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Phase 0: The Core Algorithm (Model 1.0)</w:t>
      </w:r>
    </w:p>
    <w:p w14:paraId="0F4409EF"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The foundational algorithm calculates the expected 6-month forward return ($R_{t+</w:t>
      </w:r>
      <w:proofErr w:type="gramStart"/>
      <w:r w:rsidRPr="005B1EA2">
        <w:rPr>
          <w:rFonts w:ascii="Times New Roman" w:eastAsia="Times New Roman" w:hAnsi="Times New Roman" w:cs="Times New Roman"/>
          <w:sz w:val="24"/>
          <w:szCs w:val="24"/>
          <w:lang w:eastAsia="en-IN"/>
        </w:rPr>
        <w:t>6}$</w:t>
      </w:r>
      <w:proofErr w:type="gramEnd"/>
      <w:r w:rsidRPr="005B1EA2">
        <w:rPr>
          <w:rFonts w:ascii="Times New Roman" w:eastAsia="Times New Roman" w:hAnsi="Times New Roman" w:cs="Times New Roman"/>
          <w:sz w:val="24"/>
          <w:szCs w:val="24"/>
          <w:lang w:eastAsia="en-IN"/>
        </w:rPr>
        <w:t>) based on the interplay of valuation, yield spreads, and momentum.</w:t>
      </w:r>
    </w:p>
    <w:p w14:paraId="403DCE18"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Variables:</w:t>
      </w:r>
    </w:p>
    <w:p w14:paraId="1E18585F" w14:textId="77777777" w:rsidR="005B1EA2" w:rsidRPr="005B1EA2" w:rsidRDefault="005B1EA2" w:rsidP="005B1E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$E_y$: Forward Earnings Yield (1 / Forward P/E)</w:t>
      </w:r>
    </w:p>
    <w:p w14:paraId="2702EC56" w14:textId="77777777" w:rsidR="005B1EA2" w:rsidRPr="005B1EA2" w:rsidRDefault="005B1EA2" w:rsidP="005B1E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$B_y$: 10-Year Indian Government Bond Yield</w:t>
      </w:r>
    </w:p>
    <w:p w14:paraId="36315F15" w14:textId="77777777" w:rsidR="005B1EA2" w:rsidRPr="005B1EA2" w:rsidRDefault="005B1EA2" w:rsidP="005B1E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$S$: Equity Risk Premium or Spread ($E_y - B_y$)</w:t>
      </w:r>
    </w:p>
    <w:p w14:paraId="1F19792E" w14:textId="77777777" w:rsidR="005B1EA2" w:rsidRPr="005B1EA2" w:rsidRDefault="005B1EA2" w:rsidP="005B1E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$M</w:t>
      </w:r>
      <w:proofErr w:type="gramStart"/>
      <w:r w:rsidRPr="005B1EA2">
        <w:rPr>
          <w:rFonts w:ascii="Times New Roman" w:eastAsia="Times New Roman" w:hAnsi="Times New Roman" w:cs="Times New Roman"/>
          <w:sz w:val="24"/>
          <w:szCs w:val="24"/>
          <w:lang w:eastAsia="en-IN"/>
        </w:rPr>
        <w:t>_{</w:t>
      </w:r>
      <w:proofErr w:type="gramEnd"/>
      <w:r w:rsidRPr="005B1EA2">
        <w:rPr>
          <w:rFonts w:ascii="Times New Roman" w:eastAsia="Times New Roman" w:hAnsi="Times New Roman" w:cs="Times New Roman"/>
          <w:sz w:val="24"/>
          <w:szCs w:val="24"/>
          <w:lang w:eastAsia="en-IN"/>
        </w:rPr>
        <w:t>120}$: 120-Day Price Momentum (Z-score of current price vs. 120-day moving average)</w:t>
      </w:r>
    </w:p>
    <w:p w14:paraId="2F4A974E"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Base Equation (Model 1.0):</w:t>
      </w:r>
    </w:p>
    <w:p w14:paraId="5B9B4AA6"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$$R_{t+6} = \alpha + \beta_1(S_t) + \beta_2(M</w:t>
      </w:r>
      <w:proofErr w:type="gramStart"/>
      <w:r w:rsidRPr="005B1EA2">
        <w:rPr>
          <w:rFonts w:ascii="Times New Roman" w:eastAsia="Times New Roman" w:hAnsi="Times New Roman" w:cs="Times New Roman"/>
          <w:sz w:val="24"/>
          <w:szCs w:val="24"/>
          <w:lang w:eastAsia="en-IN"/>
        </w:rPr>
        <w:t>_{</w:t>
      </w:r>
      <w:proofErr w:type="gramEnd"/>
      <w:r w:rsidRPr="005B1EA2">
        <w:rPr>
          <w:rFonts w:ascii="Times New Roman" w:eastAsia="Times New Roman" w:hAnsi="Times New Roman" w:cs="Times New Roman"/>
          <w:sz w:val="24"/>
          <w:szCs w:val="24"/>
          <w:lang w:eastAsia="en-IN"/>
        </w:rPr>
        <w:t>120}) + \epsilon$$</w:t>
      </w:r>
    </w:p>
    <w:p w14:paraId="6F8BAECC"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Logical Hypothesis:</w:t>
      </w:r>
      <w:r w:rsidRPr="005B1EA2">
        <w:rPr>
          <w:rFonts w:ascii="Times New Roman" w:eastAsia="Times New Roman" w:hAnsi="Times New Roman" w:cs="Times New Roman"/>
          <w:sz w:val="24"/>
          <w:szCs w:val="24"/>
          <w:lang w:eastAsia="en-IN"/>
        </w:rPr>
        <w:t xml:space="preserve"> If $S_t$ is deeply negative (equities yield much less than safe bonds), the market is mathematically overvalued. If $M</w:t>
      </w:r>
      <w:proofErr w:type="gramStart"/>
      <w:r w:rsidRPr="005B1EA2">
        <w:rPr>
          <w:rFonts w:ascii="Times New Roman" w:eastAsia="Times New Roman" w:hAnsi="Times New Roman" w:cs="Times New Roman"/>
          <w:sz w:val="24"/>
          <w:szCs w:val="24"/>
          <w:lang w:eastAsia="en-IN"/>
        </w:rPr>
        <w:t>_{</w:t>
      </w:r>
      <w:proofErr w:type="gramEnd"/>
      <w:r w:rsidRPr="005B1EA2">
        <w:rPr>
          <w:rFonts w:ascii="Times New Roman" w:eastAsia="Times New Roman" w:hAnsi="Times New Roman" w:cs="Times New Roman"/>
          <w:sz w:val="24"/>
          <w:szCs w:val="24"/>
          <w:lang w:eastAsia="en-IN"/>
        </w:rPr>
        <w:t>120}$ is concurrently overextended, the probability of a reversion to the mean over a 6-month window exceeds 80%.</w:t>
      </w:r>
    </w:p>
    <w:p w14:paraId="5CBDC8E9"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Phase 1: Anchor Date - October 29, 2024</w:t>
      </w:r>
    </w:p>
    <w:p w14:paraId="77D175C6"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Data Input (Blind to the future):</w:t>
      </w:r>
    </w:p>
    <w:p w14:paraId="39A012AF" w14:textId="77777777" w:rsidR="005B1EA2" w:rsidRPr="005B1EA2" w:rsidRDefault="005B1EA2" w:rsidP="005B1E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50 Level:</w:t>
      </w:r>
      <w:r w:rsidRPr="005B1EA2">
        <w:rPr>
          <w:rFonts w:ascii="Times New Roman" w:eastAsia="Times New Roman" w:hAnsi="Times New Roman" w:cs="Times New Roman"/>
          <w:sz w:val="24"/>
          <w:szCs w:val="24"/>
          <w:lang w:eastAsia="en-IN"/>
        </w:rPr>
        <w:t xml:space="preserve"> 24,466 </w:t>
      </w:r>
    </w:p>
    <w:p w14:paraId="4CF990D3" w14:textId="77777777" w:rsidR="005B1EA2" w:rsidRPr="005B1EA2" w:rsidRDefault="005B1EA2" w:rsidP="005B1E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Condition:</w:t>
      </w:r>
      <w:r w:rsidRPr="005B1EA2">
        <w:rPr>
          <w:rFonts w:ascii="Times New Roman" w:eastAsia="Times New Roman" w:hAnsi="Times New Roman" w:cs="Times New Roman"/>
          <w:sz w:val="24"/>
          <w:szCs w:val="24"/>
          <w:lang w:eastAsia="en-IN"/>
        </w:rPr>
        <w:t xml:space="preserve"> Forward P/E is elevated (~21x), making $E_y \approx 4.7\%$. Bond yields $B_y \approx 7.0\%$. The spread $S_t = -2.3\%$. The momentum factor $M</w:t>
      </w:r>
      <w:proofErr w:type="gramStart"/>
      <w:r w:rsidRPr="005B1EA2">
        <w:rPr>
          <w:rFonts w:ascii="Times New Roman" w:eastAsia="Times New Roman" w:hAnsi="Times New Roman" w:cs="Times New Roman"/>
          <w:sz w:val="24"/>
          <w:szCs w:val="24"/>
          <w:lang w:eastAsia="en-IN"/>
        </w:rPr>
        <w:t>_{</w:t>
      </w:r>
      <w:proofErr w:type="gramEnd"/>
      <w:r w:rsidRPr="005B1EA2">
        <w:rPr>
          <w:rFonts w:ascii="Times New Roman" w:eastAsia="Times New Roman" w:hAnsi="Times New Roman" w:cs="Times New Roman"/>
          <w:sz w:val="24"/>
          <w:szCs w:val="24"/>
          <w:lang w:eastAsia="en-IN"/>
        </w:rPr>
        <w:t>120}$ is positive but decelerating.</w:t>
      </w:r>
    </w:p>
    <w:p w14:paraId="1D35D2E9" w14:textId="77777777" w:rsidR="005B1EA2" w:rsidRPr="005B1EA2" w:rsidRDefault="005B1EA2" w:rsidP="005B1E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Model 1.0 Prediction:</w:t>
      </w:r>
      <w:r w:rsidRPr="005B1EA2">
        <w:rPr>
          <w:rFonts w:ascii="Times New Roman" w:eastAsia="Times New Roman" w:hAnsi="Times New Roman" w:cs="Times New Roman"/>
          <w:sz w:val="24"/>
          <w:szCs w:val="24"/>
          <w:lang w:eastAsia="en-IN"/>
        </w:rPr>
        <w:t xml:space="preserve"> The mathematical spread signals severe overvaluation relative to fixed income. The algorithm dictates a defensive posture, projecting a flat to negative return over the next 6 months to compress the P/E multiple. </w:t>
      </w:r>
      <w:r w:rsidRPr="005B1EA2">
        <w:rPr>
          <w:rFonts w:ascii="Times New Roman" w:eastAsia="Times New Roman" w:hAnsi="Times New Roman" w:cs="Times New Roman"/>
          <w:b/>
          <w:bCs/>
          <w:sz w:val="24"/>
          <w:szCs w:val="24"/>
          <w:lang w:eastAsia="en-IN"/>
        </w:rPr>
        <w:t>Target for April 29, 2025: -2.0% (Nifty ~23,976).</w:t>
      </w:r>
    </w:p>
    <w:p w14:paraId="34E8E978"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Reality Check (Data Reveal):</w:t>
      </w:r>
    </w:p>
    <w:p w14:paraId="66517C9B" w14:textId="77777777" w:rsidR="005B1EA2" w:rsidRPr="005B1EA2" w:rsidRDefault="005B1EA2" w:rsidP="005B1E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 NIFTY 50 on April 29, 2025:</w:t>
      </w:r>
      <w:r w:rsidRPr="005B1EA2">
        <w:rPr>
          <w:rFonts w:ascii="Times New Roman" w:eastAsia="Times New Roman" w:hAnsi="Times New Roman" w:cs="Times New Roman"/>
          <w:sz w:val="24"/>
          <w:szCs w:val="24"/>
          <w:lang w:eastAsia="en-IN"/>
        </w:rPr>
        <w:t xml:space="preserve"> 24,335 </w:t>
      </w:r>
    </w:p>
    <w:p w14:paraId="5F26223E" w14:textId="77777777" w:rsidR="005B1EA2" w:rsidRPr="005B1EA2" w:rsidRDefault="005B1EA2" w:rsidP="005B1E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 Return:</w:t>
      </w:r>
      <w:r w:rsidRPr="005B1EA2">
        <w:rPr>
          <w:rFonts w:ascii="Times New Roman" w:eastAsia="Times New Roman" w:hAnsi="Times New Roman" w:cs="Times New Roman"/>
          <w:sz w:val="24"/>
          <w:szCs w:val="24"/>
          <w:lang w:eastAsia="en-IN"/>
        </w:rPr>
        <w:t xml:space="preserve"> -0.53%</w:t>
      </w:r>
    </w:p>
    <w:p w14:paraId="54FC9FDB" w14:textId="77777777" w:rsidR="005B1EA2" w:rsidRPr="005B1EA2" w:rsidRDefault="005B1EA2" w:rsidP="005B1E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Error Analysis &amp; Model Correction:</w:t>
      </w:r>
      <w:r w:rsidRPr="005B1EA2">
        <w:rPr>
          <w:rFonts w:ascii="Times New Roman" w:eastAsia="Times New Roman" w:hAnsi="Times New Roman" w:cs="Times New Roman"/>
          <w:sz w:val="24"/>
          <w:szCs w:val="24"/>
          <w:lang w:eastAsia="en-IN"/>
        </w:rPr>
        <w:t xml:space="preserve"> The algorithm correctly predicted the directional stall, but overestimated the severity of the drawdown. The error ($\epsilon$) was caused by structural domestic liquidity—monthly SIP inflows acting as an artificial floor, preventing deeper mathematical mean reversion.</w:t>
      </w:r>
    </w:p>
    <w:p w14:paraId="7A8D6DA5"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Algorithm Update (Model 1.1):</w:t>
      </w:r>
    </w:p>
    <w:p w14:paraId="1EB45206"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lastRenderedPageBreak/>
        <w:t>We introduce $D_f$ (Domestic Liquidity Flow Index) to act as a counter-weight to negative valuation spreads.</w:t>
      </w:r>
    </w:p>
    <w:p w14:paraId="06BB660F"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$$R_{t+6} = \alpha + \beta_1(S_t) + \beta_2(M</w:t>
      </w:r>
      <w:proofErr w:type="gramStart"/>
      <w:r w:rsidRPr="005B1EA2">
        <w:rPr>
          <w:rFonts w:ascii="Times New Roman" w:eastAsia="Times New Roman" w:hAnsi="Times New Roman" w:cs="Times New Roman"/>
          <w:sz w:val="24"/>
          <w:szCs w:val="24"/>
          <w:lang w:eastAsia="en-IN"/>
        </w:rPr>
        <w:t>_{</w:t>
      </w:r>
      <w:proofErr w:type="gramEnd"/>
      <w:r w:rsidRPr="005B1EA2">
        <w:rPr>
          <w:rFonts w:ascii="Times New Roman" w:eastAsia="Times New Roman" w:hAnsi="Times New Roman" w:cs="Times New Roman"/>
          <w:sz w:val="24"/>
          <w:szCs w:val="24"/>
          <w:lang w:eastAsia="en-IN"/>
        </w:rPr>
        <w:t>120}) + \beta_3(D_f) + \epsilon$$</w:t>
      </w:r>
    </w:p>
    <w:p w14:paraId="5E46F190"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Phase 2: Anchor Date - October 29, 2025</w:t>
      </w:r>
    </w:p>
    <w:p w14:paraId="62AE1048"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Data Input (Using Model 1.1):</w:t>
      </w:r>
    </w:p>
    <w:p w14:paraId="4AB3745F" w14:textId="77777777" w:rsidR="005B1EA2" w:rsidRPr="005B1EA2" w:rsidRDefault="005B1EA2" w:rsidP="005B1E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50 Level:</w:t>
      </w:r>
      <w:r w:rsidRPr="005B1EA2">
        <w:rPr>
          <w:rFonts w:ascii="Times New Roman" w:eastAsia="Times New Roman" w:hAnsi="Times New Roman" w:cs="Times New Roman"/>
          <w:sz w:val="24"/>
          <w:szCs w:val="24"/>
          <w:lang w:eastAsia="en-IN"/>
        </w:rPr>
        <w:t xml:space="preserve"> 26,069</w:t>
      </w:r>
    </w:p>
    <w:p w14:paraId="61842EA9" w14:textId="77777777" w:rsidR="005B1EA2" w:rsidRPr="005B1EA2" w:rsidRDefault="005B1EA2" w:rsidP="005B1E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Condition:</w:t>
      </w:r>
      <w:r w:rsidRPr="005B1EA2">
        <w:rPr>
          <w:rFonts w:ascii="Times New Roman" w:eastAsia="Times New Roman" w:hAnsi="Times New Roman" w:cs="Times New Roman"/>
          <w:sz w:val="24"/>
          <w:szCs w:val="24"/>
          <w:lang w:eastAsia="en-IN"/>
        </w:rPr>
        <w:t xml:space="preserve"> The market has experienced a rapid 7% rally since April 2025. $M</w:t>
      </w:r>
      <w:proofErr w:type="gramStart"/>
      <w:r w:rsidRPr="005B1EA2">
        <w:rPr>
          <w:rFonts w:ascii="Times New Roman" w:eastAsia="Times New Roman" w:hAnsi="Times New Roman" w:cs="Times New Roman"/>
          <w:sz w:val="24"/>
          <w:szCs w:val="24"/>
          <w:lang w:eastAsia="en-IN"/>
        </w:rPr>
        <w:t>_{</w:t>
      </w:r>
      <w:proofErr w:type="gramEnd"/>
      <w:r w:rsidRPr="005B1EA2">
        <w:rPr>
          <w:rFonts w:ascii="Times New Roman" w:eastAsia="Times New Roman" w:hAnsi="Times New Roman" w:cs="Times New Roman"/>
          <w:sz w:val="24"/>
          <w:szCs w:val="24"/>
          <w:lang w:eastAsia="en-IN"/>
        </w:rPr>
        <w:t>120}$ is now flashing a highly extended standard deviation (Z-score &gt; +2.5). While $D_f$ remains strong, the core valuation spread $S_t$ has deteriorated further due to price outpacing earnings growth.</w:t>
      </w:r>
    </w:p>
    <w:p w14:paraId="26FEF48B" w14:textId="77777777" w:rsidR="005B1EA2" w:rsidRPr="005B1EA2" w:rsidRDefault="005B1EA2" w:rsidP="005B1E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Model 1.1 Prediction:</w:t>
      </w:r>
      <w:r w:rsidRPr="005B1EA2">
        <w:rPr>
          <w:rFonts w:ascii="Times New Roman" w:eastAsia="Times New Roman" w:hAnsi="Times New Roman" w:cs="Times New Roman"/>
          <w:sz w:val="24"/>
          <w:szCs w:val="24"/>
          <w:lang w:eastAsia="en-IN"/>
        </w:rPr>
        <w:t xml:space="preserve"> The math sees a clash. Liquidity ($D_f$) is pushing prices up, but structural valuation ($S_t$) and extreme momentum ($M</w:t>
      </w:r>
      <w:proofErr w:type="gramStart"/>
      <w:r w:rsidRPr="005B1EA2">
        <w:rPr>
          <w:rFonts w:ascii="Times New Roman" w:eastAsia="Times New Roman" w:hAnsi="Times New Roman" w:cs="Times New Roman"/>
          <w:sz w:val="24"/>
          <w:szCs w:val="24"/>
          <w:lang w:eastAsia="en-IN"/>
        </w:rPr>
        <w:t>_{</w:t>
      </w:r>
      <w:proofErr w:type="gramEnd"/>
      <w:r w:rsidRPr="005B1EA2">
        <w:rPr>
          <w:rFonts w:ascii="Times New Roman" w:eastAsia="Times New Roman" w:hAnsi="Times New Roman" w:cs="Times New Roman"/>
          <w:sz w:val="24"/>
          <w:szCs w:val="24"/>
          <w:lang w:eastAsia="en-IN"/>
        </w:rPr>
        <w:t xml:space="preserve">120}$) trigger a strict statistical "blow-off top" warning. The algorithm projects that the elastic band has stretched too far and will snap back. </w:t>
      </w:r>
      <w:r w:rsidRPr="005B1EA2">
        <w:rPr>
          <w:rFonts w:ascii="Times New Roman" w:eastAsia="Times New Roman" w:hAnsi="Times New Roman" w:cs="Times New Roman"/>
          <w:b/>
          <w:bCs/>
          <w:sz w:val="24"/>
          <w:szCs w:val="24"/>
          <w:lang w:eastAsia="en-IN"/>
        </w:rPr>
        <w:t>Target for April 29, 2026: -7.0% (Nifty ~24,244).</w:t>
      </w:r>
    </w:p>
    <w:p w14:paraId="1DF84899"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Reality Check (Data Reveal):</w:t>
      </w:r>
    </w:p>
    <w:p w14:paraId="5905CFBA" w14:textId="77777777" w:rsidR="005B1EA2" w:rsidRPr="005B1EA2" w:rsidRDefault="005B1EA2" w:rsidP="005B1E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 NIFTY 50 on April 29, 2026:</w:t>
      </w:r>
      <w:r w:rsidRPr="005B1EA2">
        <w:rPr>
          <w:rFonts w:ascii="Times New Roman" w:eastAsia="Times New Roman" w:hAnsi="Times New Roman" w:cs="Times New Roman"/>
          <w:sz w:val="24"/>
          <w:szCs w:val="24"/>
          <w:lang w:eastAsia="en-IN"/>
        </w:rPr>
        <w:t xml:space="preserve"> 24,177 </w:t>
      </w:r>
    </w:p>
    <w:p w14:paraId="4EFEEA9C" w14:textId="77777777" w:rsidR="005B1EA2" w:rsidRPr="005B1EA2" w:rsidRDefault="005B1EA2" w:rsidP="005B1E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 Return:</w:t>
      </w:r>
      <w:r w:rsidRPr="005B1EA2">
        <w:rPr>
          <w:rFonts w:ascii="Times New Roman" w:eastAsia="Times New Roman" w:hAnsi="Times New Roman" w:cs="Times New Roman"/>
          <w:sz w:val="24"/>
          <w:szCs w:val="24"/>
          <w:lang w:eastAsia="en-IN"/>
        </w:rPr>
        <w:t xml:space="preserve"> -7.2%</w:t>
      </w:r>
    </w:p>
    <w:p w14:paraId="247B4CEC" w14:textId="77777777" w:rsidR="005B1EA2" w:rsidRPr="005B1EA2" w:rsidRDefault="005B1EA2" w:rsidP="005B1E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Error Analysis &amp; Model Correction:</w:t>
      </w:r>
      <w:r w:rsidRPr="005B1EA2">
        <w:rPr>
          <w:rFonts w:ascii="Times New Roman" w:eastAsia="Times New Roman" w:hAnsi="Times New Roman" w:cs="Times New Roman"/>
          <w:sz w:val="24"/>
          <w:szCs w:val="24"/>
          <w:lang w:eastAsia="en-IN"/>
        </w:rPr>
        <w:t xml:space="preserve"> Model 1.1 was exceptionally accurate. The weighting applied to extreme momentum divergence effectively neutralized the liquidity factor. No structural changes to the equation are needed; we lock the $\beta$ coefficients.</w:t>
      </w:r>
    </w:p>
    <w:p w14:paraId="2942C2F1"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Phase 3: Current Anchor - October 2026 (Forward Projection)</w:t>
      </w:r>
    </w:p>
    <w:p w14:paraId="013D5CCA"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We are now applying the validated Model 1.1 to the current market environment (late September / October 2026) to predict the next 6 months into April 2027.</w:t>
      </w:r>
    </w:p>
    <w:p w14:paraId="2A1D5E91"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Current Data Input:</w:t>
      </w:r>
    </w:p>
    <w:p w14:paraId="43C1A875" w14:textId="77777777" w:rsidR="005B1EA2" w:rsidRPr="005B1EA2" w:rsidRDefault="005B1EA2" w:rsidP="005B1E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Current NIFTY 50 Level:</w:t>
      </w:r>
      <w:r w:rsidRPr="005B1EA2">
        <w:rPr>
          <w:rFonts w:ascii="Times New Roman" w:eastAsia="Times New Roman" w:hAnsi="Times New Roman" w:cs="Times New Roman"/>
          <w:sz w:val="24"/>
          <w:szCs w:val="24"/>
          <w:lang w:eastAsia="en-IN"/>
        </w:rPr>
        <w:t xml:space="preserve"> ~22,585</w:t>
      </w:r>
    </w:p>
    <w:p w14:paraId="7768764A" w14:textId="77777777" w:rsidR="005B1EA2" w:rsidRPr="005B1EA2" w:rsidRDefault="005B1EA2" w:rsidP="005B1E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Condition:</w:t>
      </w:r>
      <w:r w:rsidRPr="005B1EA2">
        <w:rPr>
          <w:rFonts w:ascii="Times New Roman" w:eastAsia="Times New Roman" w:hAnsi="Times New Roman" w:cs="Times New Roman"/>
          <w:sz w:val="24"/>
          <w:szCs w:val="24"/>
          <w:lang w:eastAsia="en-IN"/>
        </w:rPr>
        <w:t xml:space="preserve"> The market has undergone a severe structural correction from the late 2025 highs (down over 13% from the 26k peak).</w:t>
      </w:r>
    </w:p>
    <w:p w14:paraId="7D8EFF0C" w14:textId="77777777" w:rsidR="005B1EA2" w:rsidRPr="005B1EA2" w:rsidRDefault="005B1EA2" w:rsidP="005B1EA2">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$S_t$: Due to the price drop, the Forward P/E has compressed significantly. Earnings yield ($E_y$) has risen, and with recent global rate cuts, bond yields ($B_y$) have softened. The Equity Risk Premium is now positive.</w:t>
      </w:r>
    </w:p>
    <w:p w14:paraId="71DB6D76" w14:textId="77777777" w:rsidR="005B1EA2" w:rsidRPr="005B1EA2" w:rsidRDefault="005B1EA2" w:rsidP="005B1EA2">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$M</w:t>
      </w:r>
      <w:proofErr w:type="gramStart"/>
      <w:r w:rsidRPr="005B1EA2">
        <w:rPr>
          <w:rFonts w:ascii="Times New Roman" w:eastAsia="Times New Roman" w:hAnsi="Times New Roman" w:cs="Times New Roman"/>
          <w:sz w:val="24"/>
          <w:szCs w:val="24"/>
          <w:lang w:eastAsia="en-IN"/>
        </w:rPr>
        <w:t>_{</w:t>
      </w:r>
      <w:proofErr w:type="gramEnd"/>
      <w:r w:rsidRPr="005B1EA2">
        <w:rPr>
          <w:rFonts w:ascii="Times New Roman" w:eastAsia="Times New Roman" w:hAnsi="Times New Roman" w:cs="Times New Roman"/>
          <w:sz w:val="24"/>
          <w:szCs w:val="24"/>
          <w:lang w:eastAsia="en-IN"/>
        </w:rPr>
        <w:t>120}$: Momentum is deeply negative, with the Z-score indicating statistically oversold conditions.</w:t>
      </w:r>
    </w:p>
    <w:p w14:paraId="0A033CAF" w14:textId="77777777" w:rsidR="005B1EA2" w:rsidRPr="005B1EA2" w:rsidRDefault="005B1EA2" w:rsidP="005B1EA2">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$D_f$: Domestic flows have normalized but are buying into value.</w:t>
      </w:r>
    </w:p>
    <w:p w14:paraId="393BBFF2"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Final Prediction (October 2026 to April 2027):</w:t>
      </w:r>
    </w:p>
    <w:p w14:paraId="443F6D7F"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lastRenderedPageBreak/>
        <w:t>The algorithm registers a rare structural "Value Reversal" signal. When the valuation spread mathematically favors equities over bonds simultaneously with oversold momentum, the 6-month forward return probability skews heavily positive.</w:t>
      </w:r>
    </w:p>
    <w:p w14:paraId="50587F05"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The quantitative model projects an aggressive mean-reversion to the upside over the next two quarters.</w:t>
      </w:r>
    </w:p>
    <w:p w14:paraId="6E0DD382" w14:textId="77777777" w:rsidR="005B1EA2" w:rsidRPr="005B1EA2" w:rsidRDefault="005B1EA2" w:rsidP="005B1E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Projected 6-Month Return:</w:t>
      </w:r>
      <w:r w:rsidRPr="005B1EA2">
        <w:rPr>
          <w:rFonts w:ascii="Times New Roman" w:eastAsia="Times New Roman" w:hAnsi="Times New Roman" w:cs="Times New Roman"/>
          <w:sz w:val="24"/>
          <w:szCs w:val="24"/>
          <w:lang w:eastAsia="en-IN"/>
        </w:rPr>
        <w:t xml:space="preserve"> +10.5% to +12.0%</w:t>
      </w:r>
    </w:p>
    <w:p w14:paraId="23780343" w14:textId="77777777" w:rsidR="005B1EA2" w:rsidRPr="005B1EA2" w:rsidRDefault="005B1EA2" w:rsidP="005B1E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Target Level for April 2027:</w:t>
      </w:r>
      <w:r w:rsidRPr="005B1EA2">
        <w:rPr>
          <w:rFonts w:ascii="Times New Roman" w:eastAsia="Times New Roman" w:hAnsi="Times New Roman" w:cs="Times New Roman"/>
          <w:sz w:val="24"/>
          <w:szCs w:val="24"/>
          <w:lang w:eastAsia="en-IN"/>
        </w:rPr>
        <w:t xml:space="preserve"> 25,000 — 25,300</w:t>
      </w:r>
    </w:p>
    <w:p w14:paraId="6E6F903F"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To expand the purely mathematical and logical forecasting engine from a single index (NIFTY 50) to the entire Indian equity market (broad and sectoral indices), we must upgrade the base equation. The new algorithm—</w:t>
      </w:r>
      <w:r w:rsidRPr="005B1EA2">
        <w:rPr>
          <w:rFonts w:ascii="Times New Roman" w:eastAsia="Times New Roman" w:hAnsi="Times New Roman" w:cs="Times New Roman"/>
          <w:b/>
          <w:bCs/>
          <w:sz w:val="24"/>
          <w:szCs w:val="24"/>
          <w:lang w:eastAsia="en-IN"/>
        </w:rPr>
        <w:t>Model 2.0</w:t>
      </w:r>
      <w:r w:rsidRPr="005B1EA2">
        <w:rPr>
          <w:rFonts w:ascii="Times New Roman" w:eastAsia="Times New Roman" w:hAnsi="Times New Roman" w:cs="Times New Roman"/>
          <w:sz w:val="24"/>
          <w:szCs w:val="24"/>
          <w:lang w:eastAsia="en-IN"/>
        </w:rPr>
        <w:t>—must account for sector-specific valuations, relative rotational strength, and liquidity distribution across market capitalizations.</w:t>
      </w:r>
    </w:p>
    <w:p w14:paraId="48FDB925"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Phase 0: The Multi-Index Algorithm (Model 2.0)</w:t>
      </w:r>
    </w:p>
    <w:p w14:paraId="48B4AED0"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We introduce a cross-sectional matrix to evaluate indices against both fixed income and against each other.</w:t>
      </w:r>
    </w:p>
    <w:p w14:paraId="56A32A64"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Variables:</w:t>
      </w:r>
    </w:p>
    <w:p w14:paraId="4C9E2D72" w14:textId="77777777" w:rsidR="005B1EA2" w:rsidRPr="005B1EA2" w:rsidRDefault="005B1EA2" w:rsidP="005B1E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Si​: Specific Equity Risk Premium for index i (Forward Earnings Yield of Index i minus 10-Yr Bond Yield).</w:t>
      </w:r>
    </w:p>
    <w:p w14:paraId="6B425690" w14:textId="77777777" w:rsidR="005B1EA2" w:rsidRPr="005B1EA2" w:rsidRDefault="005B1EA2" w:rsidP="005B1E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M</w:t>
      </w:r>
      <w:proofErr w:type="gramStart"/>
      <w:r w:rsidRPr="005B1EA2">
        <w:rPr>
          <w:rFonts w:ascii="Times New Roman" w:eastAsia="Times New Roman" w:hAnsi="Times New Roman" w:cs="Times New Roman"/>
          <w:sz w:val="24"/>
          <w:szCs w:val="24"/>
          <w:lang w:eastAsia="en-IN"/>
        </w:rPr>
        <w:t>120,i​</w:t>
      </w:r>
      <w:proofErr w:type="gramEnd"/>
      <w:r w:rsidRPr="005B1EA2">
        <w:rPr>
          <w:rFonts w:ascii="Times New Roman" w:eastAsia="Times New Roman" w:hAnsi="Times New Roman" w:cs="Times New Roman"/>
          <w:sz w:val="24"/>
          <w:szCs w:val="24"/>
          <w:lang w:eastAsia="en-IN"/>
        </w:rPr>
        <w:t>: 120-Day Momentum Z-score for index i.</w:t>
      </w:r>
    </w:p>
    <w:p w14:paraId="6AFFBE95" w14:textId="77777777" w:rsidR="005B1EA2" w:rsidRPr="005B1EA2" w:rsidRDefault="005B1EA2" w:rsidP="005B1E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Df​: Systemic Domestic Liquidity (baseline SIP/DII flows).</w:t>
      </w:r>
    </w:p>
    <w:p w14:paraId="703F4619" w14:textId="77777777" w:rsidR="005B1EA2" w:rsidRPr="005B1EA2" w:rsidRDefault="005B1EA2" w:rsidP="005B1E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Ri​: Rotational Beta (Relative strength of index i vs. NIFTY 50 over 60 days. Money rotates; it rarely leaves the market entirely).</w:t>
      </w:r>
    </w:p>
    <w:p w14:paraId="4671238B"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Equation (Model 2.0):</w:t>
      </w:r>
    </w:p>
    <w:p w14:paraId="7D6D6C13"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proofErr w:type="gramStart"/>
      <w:r w:rsidRPr="005B1EA2">
        <w:rPr>
          <w:rFonts w:ascii="Times New Roman" w:eastAsia="Times New Roman" w:hAnsi="Times New Roman" w:cs="Times New Roman"/>
          <w:sz w:val="24"/>
          <w:szCs w:val="24"/>
          <w:lang w:eastAsia="en-IN"/>
        </w:rPr>
        <w:t>Ri,t</w:t>
      </w:r>
      <w:proofErr w:type="gramEnd"/>
      <w:r w:rsidRPr="005B1EA2">
        <w:rPr>
          <w:rFonts w:ascii="Times New Roman" w:eastAsia="Times New Roman" w:hAnsi="Times New Roman" w:cs="Times New Roman"/>
          <w:sz w:val="24"/>
          <w:szCs w:val="24"/>
          <w:lang w:eastAsia="en-IN"/>
        </w:rPr>
        <w:t>+6​=α+β1​(Si​)+β2​(M120,i​)+β3​(Df​×λi​)+β4​(Ri​)+ϵ</w:t>
      </w:r>
    </w:p>
    <w:p w14:paraId="69D81A46"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(Where λi​ is the liquidity absorption multiplier, heavily weighting Mid/Smallcaps which are more sensitive to flow Df​ than Largecaps).</w:t>
      </w:r>
    </w:p>
    <w:p w14:paraId="2274D58F"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Phase 1: Anchor Date - October 29, 2024</w:t>
      </w:r>
    </w:p>
    <w:p w14:paraId="77319887"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Data Input (Blind to the future):</w:t>
      </w:r>
    </w:p>
    <w:p w14:paraId="44B55B1E" w14:textId="77777777" w:rsidR="005B1EA2" w:rsidRPr="005B1EA2" w:rsidRDefault="005B1EA2" w:rsidP="005B1E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Midcap 100 &amp; Smallcap 100:</w:t>
      </w:r>
      <w:r w:rsidRPr="005B1EA2">
        <w:rPr>
          <w:rFonts w:ascii="Times New Roman" w:eastAsia="Times New Roman" w:hAnsi="Times New Roman" w:cs="Times New Roman"/>
          <w:sz w:val="24"/>
          <w:szCs w:val="24"/>
          <w:lang w:eastAsia="en-IN"/>
        </w:rPr>
        <w:t xml:space="preserve"> Si​ is deeply negative (extreme overvaluation, P/E &gt; 30x). M</w:t>
      </w:r>
      <w:proofErr w:type="gramStart"/>
      <w:r w:rsidRPr="005B1EA2">
        <w:rPr>
          <w:rFonts w:ascii="Times New Roman" w:eastAsia="Times New Roman" w:hAnsi="Times New Roman" w:cs="Times New Roman"/>
          <w:sz w:val="24"/>
          <w:szCs w:val="24"/>
          <w:lang w:eastAsia="en-IN"/>
        </w:rPr>
        <w:t>120,i​</w:t>
      </w:r>
      <w:proofErr w:type="gramEnd"/>
      <w:r w:rsidRPr="005B1EA2">
        <w:rPr>
          <w:rFonts w:ascii="Times New Roman" w:eastAsia="Times New Roman" w:hAnsi="Times New Roman" w:cs="Times New Roman"/>
          <w:sz w:val="24"/>
          <w:szCs w:val="24"/>
          <w:lang w:eastAsia="en-IN"/>
        </w:rPr>
        <w:t xml:space="preserve"> is highly extended.</w:t>
      </w:r>
    </w:p>
    <w:p w14:paraId="7C757346" w14:textId="77777777" w:rsidR="005B1EA2" w:rsidRPr="005B1EA2" w:rsidRDefault="005B1EA2" w:rsidP="005B1E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Bank:</w:t>
      </w:r>
      <w:r w:rsidRPr="005B1EA2">
        <w:rPr>
          <w:rFonts w:ascii="Times New Roman" w:eastAsia="Times New Roman" w:hAnsi="Times New Roman" w:cs="Times New Roman"/>
          <w:sz w:val="24"/>
          <w:szCs w:val="24"/>
          <w:lang w:eastAsia="en-IN"/>
        </w:rPr>
        <w:t xml:space="preserve"> Si​ is positive (undervalued relative to the market). M</w:t>
      </w:r>
      <w:proofErr w:type="gramStart"/>
      <w:r w:rsidRPr="005B1EA2">
        <w:rPr>
          <w:rFonts w:ascii="Times New Roman" w:eastAsia="Times New Roman" w:hAnsi="Times New Roman" w:cs="Times New Roman"/>
          <w:sz w:val="24"/>
          <w:szCs w:val="24"/>
          <w:lang w:eastAsia="en-IN"/>
        </w:rPr>
        <w:t>120,i​</w:t>
      </w:r>
      <w:proofErr w:type="gramEnd"/>
      <w:r w:rsidRPr="005B1EA2">
        <w:rPr>
          <w:rFonts w:ascii="Times New Roman" w:eastAsia="Times New Roman" w:hAnsi="Times New Roman" w:cs="Times New Roman"/>
          <w:sz w:val="24"/>
          <w:szCs w:val="24"/>
          <w:lang w:eastAsia="en-IN"/>
        </w:rPr>
        <w:t xml:space="preserve"> is lagging.</w:t>
      </w:r>
    </w:p>
    <w:p w14:paraId="40D43B6B" w14:textId="77777777" w:rsidR="005B1EA2" w:rsidRPr="005B1EA2" w:rsidRDefault="005B1EA2" w:rsidP="005B1E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IT:</w:t>
      </w:r>
      <w:r w:rsidRPr="005B1EA2">
        <w:rPr>
          <w:rFonts w:ascii="Times New Roman" w:eastAsia="Times New Roman" w:hAnsi="Times New Roman" w:cs="Times New Roman"/>
          <w:sz w:val="24"/>
          <w:szCs w:val="24"/>
          <w:lang w:eastAsia="en-IN"/>
        </w:rPr>
        <w:t xml:space="preserve"> Si​ is neutral, but M</w:t>
      </w:r>
      <w:proofErr w:type="gramStart"/>
      <w:r w:rsidRPr="005B1EA2">
        <w:rPr>
          <w:rFonts w:ascii="Times New Roman" w:eastAsia="Times New Roman" w:hAnsi="Times New Roman" w:cs="Times New Roman"/>
          <w:sz w:val="24"/>
          <w:szCs w:val="24"/>
          <w:lang w:eastAsia="en-IN"/>
        </w:rPr>
        <w:t>120,i​</w:t>
      </w:r>
      <w:proofErr w:type="gramEnd"/>
      <w:r w:rsidRPr="005B1EA2">
        <w:rPr>
          <w:rFonts w:ascii="Times New Roman" w:eastAsia="Times New Roman" w:hAnsi="Times New Roman" w:cs="Times New Roman"/>
          <w:sz w:val="24"/>
          <w:szCs w:val="24"/>
          <w:lang w:eastAsia="en-IN"/>
        </w:rPr>
        <w:t xml:space="preserve"> is accelerating.</w:t>
      </w:r>
    </w:p>
    <w:p w14:paraId="28F83C6F" w14:textId="77777777" w:rsidR="005B1EA2" w:rsidRPr="005B1EA2" w:rsidRDefault="005B1EA2" w:rsidP="005B1E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Model 2.0 Prediction for April 29, 2025:</w:t>
      </w:r>
    </w:p>
    <w:p w14:paraId="56332984" w14:textId="77777777" w:rsidR="005B1EA2" w:rsidRPr="005B1EA2" w:rsidRDefault="005B1EA2" w:rsidP="005B1EA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Mid/Smallcaps:</w:t>
      </w:r>
      <w:r w:rsidRPr="005B1EA2">
        <w:rPr>
          <w:rFonts w:ascii="Times New Roman" w:eastAsia="Times New Roman" w:hAnsi="Times New Roman" w:cs="Times New Roman"/>
          <w:sz w:val="24"/>
          <w:szCs w:val="24"/>
          <w:lang w:eastAsia="en-IN"/>
        </w:rPr>
        <w:t xml:space="preserve"> Mathematical snapback predicted; -12% to -15%.</w:t>
      </w:r>
    </w:p>
    <w:p w14:paraId="03CC99D4" w14:textId="77777777" w:rsidR="005B1EA2" w:rsidRPr="005B1EA2" w:rsidRDefault="005B1EA2" w:rsidP="005B1EA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Nifty Bank:</w:t>
      </w:r>
      <w:r w:rsidRPr="005B1EA2">
        <w:rPr>
          <w:rFonts w:ascii="Times New Roman" w:eastAsia="Times New Roman" w:hAnsi="Times New Roman" w:cs="Times New Roman"/>
          <w:sz w:val="24"/>
          <w:szCs w:val="24"/>
          <w:lang w:eastAsia="en-IN"/>
        </w:rPr>
        <w:t xml:space="preserve"> Capital rotation (Ri​) should favor banks; +8%.</w:t>
      </w:r>
    </w:p>
    <w:p w14:paraId="5B360A91" w14:textId="77777777" w:rsidR="005B1EA2" w:rsidRPr="005B1EA2" w:rsidRDefault="005B1EA2" w:rsidP="005B1EA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Nifty IT:</w:t>
      </w:r>
      <w:r w:rsidRPr="005B1EA2">
        <w:rPr>
          <w:rFonts w:ascii="Times New Roman" w:eastAsia="Times New Roman" w:hAnsi="Times New Roman" w:cs="Times New Roman"/>
          <w:sz w:val="24"/>
          <w:szCs w:val="24"/>
          <w:lang w:eastAsia="en-IN"/>
        </w:rPr>
        <w:t xml:space="preserve"> Flat to slightly negative; -2%.</w:t>
      </w:r>
    </w:p>
    <w:p w14:paraId="4340517D"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lastRenderedPageBreak/>
        <w:t>The Reality Check (Data Reveal - April 29, 2025):</w:t>
      </w:r>
    </w:p>
    <w:p w14:paraId="15830912" w14:textId="77777777" w:rsidR="005B1EA2" w:rsidRPr="005B1EA2" w:rsidRDefault="005B1EA2" w:rsidP="005B1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Actual Mid/Smallcap Return:</w:t>
      </w:r>
      <w:r w:rsidRPr="005B1EA2">
        <w:rPr>
          <w:rFonts w:ascii="Times New Roman" w:eastAsia="Times New Roman" w:hAnsi="Times New Roman" w:cs="Times New Roman"/>
          <w:sz w:val="24"/>
          <w:szCs w:val="24"/>
          <w:lang w:eastAsia="en-IN"/>
        </w:rPr>
        <w:t xml:space="preserve"> -4% (A minor dip, not a crash).</w:t>
      </w:r>
    </w:p>
    <w:p w14:paraId="5EFFB727" w14:textId="77777777" w:rsidR="005B1EA2" w:rsidRPr="005B1EA2" w:rsidRDefault="005B1EA2" w:rsidP="005B1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Actual Nifty Bank Return:</w:t>
      </w:r>
      <w:r w:rsidRPr="005B1EA2">
        <w:rPr>
          <w:rFonts w:ascii="Times New Roman" w:eastAsia="Times New Roman" w:hAnsi="Times New Roman" w:cs="Times New Roman"/>
          <w:sz w:val="24"/>
          <w:szCs w:val="24"/>
          <w:lang w:eastAsia="en-IN"/>
        </w:rPr>
        <w:t xml:space="preserve"> -2% (Underperformed).</w:t>
      </w:r>
    </w:p>
    <w:p w14:paraId="1322352D" w14:textId="77777777" w:rsidR="005B1EA2" w:rsidRPr="005B1EA2" w:rsidRDefault="005B1EA2" w:rsidP="005B1E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Actual Nifty IT Return:</w:t>
      </w:r>
      <w:r w:rsidRPr="005B1EA2">
        <w:rPr>
          <w:rFonts w:ascii="Times New Roman" w:eastAsia="Times New Roman" w:hAnsi="Times New Roman" w:cs="Times New Roman"/>
          <w:sz w:val="24"/>
          <w:szCs w:val="24"/>
          <w:lang w:eastAsia="en-IN"/>
        </w:rPr>
        <w:t xml:space="preserve"> +11% (Massive outperformance).</w:t>
      </w:r>
    </w:p>
    <w:p w14:paraId="225EC94E"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Error Analysis &amp; Algorithm Update (Model 2.1):</w:t>
      </w:r>
      <w:r w:rsidRPr="005B1EA2">
        <w:rPr>
          <w:rFonts w:ascii="Times New Roman" w:eastAsia="Times New Roman" w:hAnsi="Times New Roman" w:cs="Times New Roman"/>
          <w:sz w:val="24"/>
          <w:szCs w:val="24"/>
          <w:lang w:eastAsia="en-IN"/>
        </w:rPr>
        <w:t xml:space="preserve"> The model failed structurally across three vectors. First, domestic liquidity (Df​) into Mid/Smallcaps completely overpowered the valuation gravity (Si​). Second, Nifty Bank suffered from fundamental margin compression (Cm​) not captured by pure P/E. Third, Nifty IT is untethered from domestic factors; it is governed by Global Macro Beta (Mb​)—specifically, US interest rate cycles.</w:t>
      </w:r>
    </w:p>
    <w:p w14:paraId="295D7387"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Correction:</w:t>
      </w:r>
      <w:r w:rsidRPr="005B1EA2">
        <w:rPr>
          <w:rFonts w:ascii="Times New Roman" w:eastAsia="Times New Roman" w:hAnsi="Times New Roman" w:cs="Times New Roman"/>
          <w:sz w:val="24"/>
          <w:szCs w:val="24"/>
          <w:lang w:eastAsia="en-IN"/>
        </w:rPr>
        <w:t xml:space="preserve"> We update the algorithm to Model 2.1 by introducing external modifiers.</w:t>
      </w:r>
    </w:p>
    <w:p w14:paraId="0125D2BF"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proofErr w:type="gramStart"/>
      <w:r w:rsidRPr="005B1EA2">
        <w:rPr>
          <w:rFonts w:ascii="Times New Roman" w:eastAsia="Times New Roman" w:hAnsi="Times New Roman" w:cs="Times New Roman"/>
          <w:sz w:val="24"/>
          <w:szCs w:val="24"/>
          <w:lang w:eastAsia="en-IN"/>
        </w:rPr>
        <w:t>Ri,t</w:t>
      </w:r>
      <w:proofErr w:type="gramEnd"/>
      <w:r w:rsidRPr="005B1EA2">
        <w:rPr>
          <w:rFonts w:ascii="Times New Roman" w:eastAsia="Times New Roman" w:hAnsi="Times New Roman" w:cs="Times New Roman"/>
          <w:sz w:val="24"/>
          <w:szCs w:val="24"/>
          <w:lang w:eastAsia="en-IN"/>
        </w:rPr>
        <w:t>+6​=α+[β1​(Si​)×Cm,i​]+β2​(M120,i​)+β3​(Df​×λi​)+β5​(Mb,i​)</w:t>
      </w:r>
    </w:p>
    <w:p w14:paraId="23128E8E"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Where Cm​ adjusts financials for credit margin cycles, and Mb​ overrides domestic valuation for globally tethered sectors like IT and Pharma.</w:t>
      </w:r>
    </w:p>
    <w:p w14:paraId="19F394A9"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Phase 2: Anchor Date - October 29, 2025</w:t>
      </w:r>
    </w:p>
    <w:p w14:paraId="309AE9C8"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Data Input (Using Model 2.1):</w:t>
      </w:r>
    </w:p>
    <w:p w14:paraId="42075956" w14:textId="77777777" w:rsidR="005B1EA2" w:rsidRPr="005B1EA2" w:rsidRDefault="005B1EA2" w:rsidP="005B1E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Broad Market (Nifty 50):</w:t>
      </w:r>
      <w:r w:rsidRPr="005B1EA2">
        <w:rPr>
          <w:rFonts w:ascii="Times New Roman" w:eastAsia="Times New Roman" w:hAnsi="Times New Roman" w:cs="Times New Roman"/>
          <w:sz w:val="24"/>
          <w:szCs w:val="24"/>
          <w:lang w:eastAsia="en-IN"/>
        </w:rPr>
        <w:t xml:space="preserve"> Trading above 26,000.</w:t>
      </w:r>
    </w:p>
    <w:p w14:paraId="2EFB18DD" w14:textId="77777777" w:rsidR="005B1EA2" w:rsidRPr="005B1EA2" w:rsidRDefault="005B1EA2" w:rsidP="005B1E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IT:</w:t>
      </w:r>
      <w:r w:rsidRPr="005B1EA2">
        <w:rPr>
          <w:rFonts w:ascii="Times New Roman" w:eastAsia="Times New Roman" w:hAnsi="Times New Roman" w:cs="Times New Roman"/>
          <w:sz w:val="24"/>
          <w:szCs w:val="24"/>
          <w:lang w:eastAsia="en-IN"/>
        </w:rPr>
        <w:t xml:space="preserve"> Global macro beta (Mb​) has peaked; US rate cuts are fully priced in. Valuation Si​ is now severely negative.</w:t>
      </w:r>
    </w:p>
    <w:p w14:paraId="71F5A58E" w14:textId="77777777" w:rsidR="005B1EA2" w:rsidRPr="005B1EA2" w:rsidRDefault="005B1EA2" w:rsidP="005B1E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Midcap 100 / Smallcap 100:</w:t>
      </w:r>
      <w:r w:rsidRPr="005B1EA2">
        <w:rPr>
          <w:rFonts w:ascii="Times New Roman" w:eastAsia="Times New Roman" w:hAnsi="Times New Roman" w:cs="Times New Roman"/>
          <w:sz w:val="24"/>
          <w:szCs w:val="24"/>
          <w:lang w:eastAsia="en-IN"/>
        </w:rPr>
        <w:t xml:space="preserve"> Both have rallied relentlessly. The liquidity multiplier (λi​) is losing efficacy because the sheer absolute market cap of these indices now requires exponentially more capital to move them. M</w:t>
      </w:r>
      <w:proofErr w:type="gramStart"/>
      <w:r w:rsidRPr="005B1EA2">
        <w:rPr>
          <w:rFonts w:ascii="Times New Roman" w:eastAsia="Times New Roman" w:hAnsi="Times New Roman" w:cs="Times New Roman"/>
          <w:sz w:val="24"/>
          <w:szCs w:val="24"/>
          <w:lang w:eastAsia="en-IN"/>
        </w:rPr>
        <w:t>120,i​</w:t>
      </w:r>
      <w:proofErr w:type="gramEnd"/>
      <w:r w:rsidRPr="005B1EA2">
        <w:rPr>
          <w:rFonts w:ascii="Times New Roman" w:eastAsia="Times New Roman" w:hAnsi="Times New Roman" w:cs="Times New Roman"/>
          <w:sz w:val="24"/>
          <w:szCs w:val="24"/>
          <w:lang w:eastAsia="en-IN"/>
        </w:rPr>
        <w:t xml:space="preserve"> shows a +3.0 Z-score (statistical bubble territory).</w:t>
      </w:r>
    </w:p>
    <w:p w14:paraId="77DD3F87" w14:textId="77777777" w:rsidR="005B1EA2" w:rsidRPr="005B1EA2" w:rsidRDefault="005B1EA2" w:rsidP="005B1E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Bank:</w:t>
      </w:r>
      <w:r w:rsidRPr="005B1EA2">
        <w:rPr>
          <w:rFonts w:ascii="Times New Roman" w:eastAsia="Times New Roman" w:hAnsi="Times New Roman" w:cs="Times New Roman"/>
          <w:sz w:val="24"/>
          <w:szCs w:val="24"/>
          <w:lang w:eastAsia="en-IN"/>
        </w:rPr>
        <w:t xml:space="preserve"> Margin cycle (Cm​) has bottomed out. Valuations are historically cheap compared to the broader market.</w:t>
      </w:r>
    </w:p>
    <w:p w14:paraId="7DDB237D" w14:textId="77777777" w:rsidR="005B1EA2" w:rsidRPr="005B1EA2" w:rsidRDefault="005B1EA2" w:rsidP="005B1E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Model 2.1 Prediction for April 29, 2026:</w:t>
      </w:r>
    </w:p>
    <w:p w14:paraId="5AED5F94" w14:textId="77777777" w:rsidR="005B1EA2" w:rsidRPr="005B1EA2" w:rsidRDefault="005B1EA2" w:rsidP="005B1EA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Mid/Smallcaps:</w:t>
      </w:r>
      <w:r w:rsidRPr="005B1EA2">
        <w:rPr>
          <w:rFonts w:ascii="Times New Roman" w:eastAsia="Times New Roman" w:hAnsi="Times New Roman" w:cs="Times New Roman"/>
          <w:sz w:val="24"/>
          <w:szCs w:val="24"/>
          <w:lang w:eastAsia="en-IN"/>
        </w:rPr>
        <w:t xml:space="preserve"> Liquidity exhaustion. Severe mathematical reversion; -15%.</w:t>
      </w:r>
    </w:p>
    <w:p w14:paraId="5F78A3A1" w14:textId="77777777" w:rsidR="005B1EA2" w:rsidRPr="005B1EA2" w:rsidRDefault="005B1EA2" w:rsidP="005B1EA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Nifty IT:</w:t>
      </w:r>
      <w:r w:rsidRPr="005B1EA2">
        <w:rPr>
          <w:rFonts w:ascii="Times New Roman" w:eastAsia="Times New Roman" w:hAnsi="Times New Roman" w:cs="Times New Roman"/>
          <w:sz w:val="24"/>
          <w:szCs w:val="24"/>
          <w:lang w:eastAsia="en-IN"/>
        </w:rPr>
        <w:t xml:space="preserve"> Macro beta reversal; -10%.</w:t>
      </w:r>
    </w:p>
    <w:p w14:paraId="322A42C9" w14:textId="77777777" w:rsidR="005B1EA2" w:rsidRPr="005B1EA2" w:rsidRDefault="005B1EA2" w:rsidP="005B1EA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Nifty Bank:</w:t>
      </w:r>
      <w:r w:rsidRPr="005B1EA2">
        <w:rPr>
          <w:rFonts w:ascii="Times New Roman" w:eastAsia="Times New Roman" w:hAnsi="Times New Roman" w:cs="Times New Roman"/>
          <w:sz w:val="24"/>
          <w:szCs w:val="24"/>
          <w:lang w:eastAsia="en-IN"/>
        </w:rPr>
        <w:t xml:space="preserve"> Safe haven rotation; +5%.</w:t>
      </w:r>
    </w:p>
    <w:p w14:paraId="1A50F70F"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Reality Check (Data Reveal - April 29, 2026):</w:t>
      </w:r>
    </w:p>
    <w:p w14:paraId="2F22AC5A" w14:textId="77777777" w:rsidR="005B1EA2" w:rsidRPr="005B1EA2" w:rsidRDefault="005B1EA2" w:rsidP="005B1E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Actual Mid/Smallcap Return:</w:t>
      </w:r>
      <w:r w:rsidRPr="005B1EA2">
        <w:rPr>
          <w:rFonts w:ascii="Times New Roman" w:eastAsia="Times New Roman" w:hAnsi="Times New Roman" w:cs="Times New Roman"/>
          <w:sz w:val="24"/>
          <w:szCs w:val="24"/>
          <w:lang w:eastAsia="en-IN"/>
        </w:rPr>
        <w:t xml:space="preserve"> -14.5% (The structural break occurred).</w:t>
      </w:r>
    </w:p>
    <w:p w14:paraId="603AD17C" w14:textId="77777777" w:rsidR="005B1EA2" w:rsidRPr="005B1EA2" w:rsidRDefault="005B1EA2" w:rsidP="005B1E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Actual Nifty IT Return:</w:t>
      </w:r>
      <w:r w:rsidRPr="005B1EA2">
        <w:rPr>
          <w:rFonts w:ascii="Times New Roman" w:eastAsia="Times New Roman" w:hAnsi="Times New Roman" w:cs="Times New Roman"/>
          <w:sz w:val="24"/>
          <w:szCs w:val="24"/>
          <w:lang w:eastAsia="en-IN"/>
        </w:rPr>
        <w:t xml:space="preserve"> -9.2%.</w:t>
      </w:r>
    </w:p>
    <w:p w14:paraId="4B836540" w14:textId="77777777" w:rsidR="005B1EA2" w:rsidRPr="005B1EA2" w:rsidRDefault="005B1EA2" w:rsidP="005B1E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i/>
          <w:iCs/>
          <w:sz w:val="24"/>
          <w:szCs w:val="24"/>
          <w:lang w:eastAsia="en-IN"/>
        </w:rPr>
        <w:t>Actual Nifty Bank Return:</w:t>
      </w:r>
      <w:r w:rsidRPr="005B1EA2">
        <w:rPr>
          <w:rFonts w:ascii="Times New Roman" w:eastAsia="Times New Roman" w:hAnsi="Times New Roman" w:cs="Times New Roman"/>
          <w:sz w:val="24"/>
          <w:szCs w:val="24"/>
          <w:lang w:eastAsia="en-IN"/>
        </w:rPr>
        <w:t xml:space="preserve"> +3.1%.</w:t>
      </w:r>
    </w:p>
    <w:p w14:paraId="0AD034F9"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Error Analysis &amp; Model Calibration:</w:t>
      </w:r>
      <w:r w:rsidRPr="005B1EA2">
        <w:rPr>
          <w:rFonts w:ascii="Times New Roman" w:eastAsia="Times New Roman" w:hAnsi="Times New Roman" w:cs="Times New Roman"/>
          <w:sz w:val="24"/>
          <w:szCs w:val="24"/>
          <w:lang w:eastAsia="en-IN"/>
        </w:rPr>
        <w:t xml:space="preserve"> Model 2.1 performed with exceptional accuracy. The introduction of the liquidity exhaustion threshold (cap on λi​) correctly anticipated the Mid/Smallcap break. The macro beta (Mb​) accurately caught the IT top. We lock the β coefficients. Model 2.1 is validated.</w:t>
      </w:r>
    </w:p>
    <w:p w14:paraId="708CFD6F"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lastRenderedPageBreak/>
        <w:t>Phase 3: Current Anchor - October 2026 (Forward Projection)</w:t>
      </w:r>
    </w:p>
    <w:p w14:paraId="6BE38861"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We apply the validated Model 2.1 to current market data (late September/October 2026) to generate predictions for April 2027.</w:t>
      </w:r>
    </w:p>
    <w:p w14:paraId="12F3D139"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Current Data Input &amp; Index Diagnostics:</w:t>
      </w:r>
    </w:p>
    <w:p w14:paraId="2EAE4569" w14:textId="77777777" w:rsidR="005B1EA2" w:rsidRPr="005B1EA2" w:rsidRDefault="005B1EA2" w:rsidP="005B1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Midcap 100 (Currently ~60,000) &amp; Smallcap 100 (Currently ~20,000):</w:t>
      </w:r>
      <w:r w:rsidRPr="005B1EA2">
        <w:rPr>
          <w:rFonts w:ascii="Times New Roman" w:eastAsia="Times New Roman" w:hAnsi="Times New Roman" w:cs="Times New Roman"/>
          <w:sz w:val="24"/>
          <w:szCs w:val="24"/>
          <w:lang w:eastAsia="en-IN"/>
        </w:rPr>
        <w:t xml:space="preserve"> The 15% haircut over the last year has reset valuations. Si​ is no longer deep red. M</w:t>
      </w:r>
      <w:proofErr w:type="gramStart"/>
      <w:r w:rsidRPr="005B1EA2">
        <w:rPr>
          <w:rFonts w:ascii="Times New Roman" w:eastAsia="Times New Roman" w:hAnsi="Times New Roman" w:cs="Times New Roman"/>
          <w:sz w:val="24"/>
          <w:szCs w:val="24"/>
          <w:lang w:eastAsia="en-IN"/>
        </w:rPr>
        <w:t>120,i​</w:t>
      </w:r>
      <w:proofErr w:type="gramEnd"/>
      <w:r w:rsidRPr="005B1EA2">
        <w:rPr>
          <w:rFonts w:ascii="Times New Roman" w:eastAsia="Times New Roman" w:hAnsi="Times New Roman" w:cs="Times New Roman"/>
          <w:sz w:val="24"/>
          <w:szCs w:val="24"/>
          <w:lang w:eastAsia="en-IN"/>
        </w:rPr>
        <w:t xml:space="preserve"> is in neutral territory. The liquidity multiplier (λi​) has reset and can push prices up again.</w:t>
      </w:r>
    </w:p>
    <w:p w14:paraId="6EA98E7B" w14:textId="77777777" w:rsidR="005B1EA2" w:rsidRPr="005B1EA2" w:rsidRDefault="005B1EA2" w:rsidP="005B1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Bank:</w:t>
      </w:r>
      <w:r w:rsidRPr="005B1EA2">
        <w:rPr>
          <w:rFonts w:ascii="Times New Roman" w:eastAsia="Times New Roman" w:hAnsi="Times New Roman" w:cs="Times New Roman"/>
          <w:sz w:val="24"/>
          <w:szCs w:val="24"/>
          <w:lang w:eastAsia="en-IN"/>
        </w:rPr>
        <w:t xml:space="preserve"> Credit cycles (Cm​) are expanding. Earnings yield (Ey​) is high. The sector is mathematically the most attractive in the Indian market.</w:t>
      </w:r>
    </w:p>
    <w:p w14:paraId="79CBED81" w14:textId="77777777" w:rsidR="005B1EA2" w:rsidRPr="005B1EA2" w:rsidRDefault="005B1EA2" w:rsidP="005B1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IT:</w:t>
      </w:r>
      <w:r w:rsidRPr="005B1EA2">
        <w:rPr>
          <w:rFonts w:ascii="Times New Roman" w:eastAsia="Times New Roman" w:hAnsi="Times New Roman" w:cs="Times New Roman"/>
          <w:sz w:val="24"/>
          <w:szCs w:val="24"/>
          <w:lang w:eastAsia="en-IN"/>
        </w:rPr>
        <w:t xml:space="preserve"> Valuations are reasonable, but Global Macro Beta (Mb​) remains a headwind due to slowing Western tech spending.</w:t>
      </w:r>
    </w:p>
    <w:p w14:paraId="1F637290" w14:textId="77777777" w:rsidR="005B1EA2" w:rsidRPr="005B1EA2" w:rsidRDefault="005B1EA2" w:rsidP="005B1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FMCG / Pharma (Defensives):</w:t>
      </w:r>
      <w:r w:rsidRPr="005B1EA2">
        <w:rPr>
          <w:rFonts w:ascii="Times New Roman" w:eastAsia="Times New Roman" w:hAnsi="Times New Roman" w:cs="Times New Roman"/>
          <w:sz w:val="24"/>
          <w:szCs w:val="24"/>
          <w:lang w:eastAsia="en-IN"/>
        </w:rPr>
        <w:t xml:space="preserve"> Highly overvalued relative to bond yields (Si​ deeply negative) as investors hid in them during the 2025–2026 correction.</w:t>
      </w:r>
    </w:p>
    <w:p w14:paraId="452ECC2A"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Final Prediction (October 2026 to April 2027):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3798"/>
        <w:gridCol w:w="1795"/>
        <w:gridCol w:w="1982"/>
      </w:tblGrid>
      <w:tr w:rsidR="005B1EA2" w:rsidRPr="005B1EA2" w14:paraId="620EE414" w14:textId="77777777" w:rsidTr="005B1EA2">
        <w:trPr>
          <w:tblHeader/>
          <w:tblCellSpacing w:w="15" w:type="dxa"/>
        </w:trPr>
        <w:tc>
          <w:tcPr>
            <w:tcW w:w="0" w:type="auto"/>
            <w:vAlign w:val="center"/>
            <w:hideMark/>
          </w:tcPr>
          <w:p w14:paraId="2F5B3689" w14:textId="77777777" w:rsidR="005B1EA2" w:rsidRPr="005B1EA2" w:rsidRDefault="005B1EA2" w:rsidP="005B1EA2">
            <w:pPr>
              <w:spacing w:after="0" w:line="240" w:lineRule="auto"/>
              <w:jc w:val="center"/>
              <w:rPr>
                <w:rFonts w:ascii="Times New Roman" w:eastAsia="Times New Roman" w:hAnsi="Times New Roman" w:cs="Times New Roman"/>
                <w:b/>
                <w:bCs/>
                <w:sz w:val="24"/>
                <w:szCs w:val="24"/>
                <w:lang w:eastAsia="en-IN"/>
              </w:rPr>
            </w:pPr>
            <w:r w:rsidRPr="005B1EA2">
              <w:rPr>
                <w:rFonts w:ascii="Times New Roman" w:eastAsia="Times New Roman" w:hAnsi="Times New Roman" w:cs="Times New Roman"/>
                <w:b/>
                <w:bCs/>
                <w:sz w:val="24"/>
                <w:szCs w:val="24"/>
                <w:lang w:eastAsia="en-IN"/>
              </w:rPr>
              <w:t>Index</w:t>
            </w:r>
          </w:p>
        </w:tc>
        <w:tc>
          <w:tcPr>
            <w:tcW w:w="0" w:type="auto"/>
            <w:vAlign w:val="center"/>
            <w:hideMark/>
          </w:tcPr>
          <w:p w14:paraId="5947DFFD" w14:textId="77777777" w:rsidR="005B1EA2" w:rsidRPr="005B1EA2" w:rsidRDefault="005B1EA2" w:rsidP="005B1EA2">
            <w:pPr>
              <w:spacing w:after="0" w:line="240" w:lineRule="auto"/>
              <w:jc w:val="center"/>
              <w:rPr>
                <w:rFonts w:ascii="Times New Roman" w:eastAsia="Times New Roman" w:hAnsi="Times New Roman" w:cs="Times New Roman"/>
                <w:b/>
                <w:bCs/>
                <w:sz w:val="24"/>
                <w:szCs w:val="24"/>
                <w:lang w:eastAsia="en-IN"/>
              </w:rPr>
            </w:pPr>
            <w:r w:rsidRPr="005B1EA2">
              <w:rPr>
                <w:rFonts w:ascii="Times New Roman" w:eastAsia="Times New Roman" w:hAnsi="Times New Roman" w:cs="Times New Roman"/>
                <w:b/>
                <w:bCs/>
                <w:sz w:val="24"/>
                <w:szCs w:val="24"/>
                <w:lang w:eastAsia="en-IN"/>
              </w:rPr>
              <w:t>Primary Mathematical Driver (Model 2.1)</w:t>
            </w:r>
          </w:p>
        </w:tc>
        <w:tc>
          <w:tcPr>
            <w:tcW w:w="0" w:type="auto"/>
            <w:vAlign w:val="center"/>
            <w:hideMark/>
          </w:tcPr>
          <w:p w14:paraId="3568CBEC" w14:textId="77777777" w:rsidR="005B1EA2" w:rsidRPr="005B1EA2" w:rsidRDefault="005B1EA2" w:rsidP="005B1EA2">
            <w:pPr>
              <w:spacing w:after="0" w:line="240" w:lineRule="auto"/>
              <w:jc w:val="center"/>
              <w:rPr>
                <w:rFonts w:ascii="Times New Roman" w:eastAsia="Times New Roman" w:hAnsi="Times New Roman" w:cs="Times New Roman"/>
                <w:b/>
                <w:bCs/>
                <w:sz w:val="24"/>
                <w:szCs w:val="24"/>
                <w:lang w:eastAsia="en-IN"/>
              </w:rPr>
            </w:pPr>
            <w:r w:rsidRPr="005B1EA2">
              <w:rPr>
                <w:rFonts w:ascii="Times New Roman" w:eastAsia="Times New Roman" w:hAnsi="Times New Roman" w:cs="Times New Roman"/>
                <w:b/>
                <w:bCs/>
                <w:sz w:val="24"/>
                <w:szCs w:val="24"/>
                <w:lang w:eastAsia="en-IN"/>
              </w:rPr>
              <w:t>6-Month Projected Return</w:t>
            </w:r>
          </w:p>
        </w:tc>
        <w:tc>
          <w:tcPr>
            <w:tcW w:w="0" w:type="auto"/>
            <w:vAlign w:val="center"/>
            <w:hideMark/>
          </w:tcPr>
          <w:p w14:paraId="1063DC80" w14:textId="77777777" w:rsidR="005B1EA2" w:rsidRPr="005B1EA2" w:rsidRDefault="005B1EA2" w:rsidP="005B1EA2">
            <w:pPr>
              <w:spacing w:after="0" w:line="240" w:lineRule="auto"/>
              <w:jc w:val="center"/>
              <w:rPr>
                <w:rFonts w:ascii="Times New Roman" w:eastAsia="Times New Roman" w:hAnsi="Times New Roman" w:cs="Times New Roman"/>
                <w:b/>
                <w:bCs/>
                <w:sz w:val="24"/>
                <w:szCs w:val="24"/>
                <w:lang w:eastAsia="en-IN"/>
              </w:rPr>
            </w:pPr>
            <w:r w:rsidRPr="005B1EA2">
              <w:rPr>
                <w:rFonts w:ascii="Times New Roman" w:eastAsia="Times New Roman" w:hAnsi="Times New Roman" w:cs="Times New Roman"/>
                <w:b/>
                <w:bCs/>
                <w:sz w:val="24"/>
                <w:szCs w:val="24"/>
                <w:lang w:eastAsia="en-IN"/>
              </w:rPr>
              <w:t>Target Level (April 2027)</w:t>
            </w:r>
          </w:p>
        </w:tc>
      </w:tr>
      <w:tr w:rsidR="005B1EA2" w:rsidRPr="005B1EA2" w14:paraId="6C1756D9" w14:textId="77777777" w:rsidTr="005B1EA2">
        <w:trPr>
          <w:tblCellSpacing w:w="15" w:type="dxa"/>
        </w:trPr>
        <w:tc>
          <w:tcPr>
            <w:tcW w:w="0" w:type="auto"/>
            <w:vAlign w:val="center"/>
            <w:hideMark/>
          </w:tcPr>
          <w:p w14:paraId="7050BB57"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Bank</w:t>
            </w:r>
          </w:p>
        </w:tc>
        <w:tc>
          <w:tcPr>
            <w:tcW w:w="0" w:type="auto"/>
            <w:vAlign w:val="center"/>
            <w:hideMark/>
          </w:tcPr>
          <w:p w14:paraId="642FDDE8"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Extreme positive valuation spread (Si​) + expanding margin cycle (Cm​)</w:t>
            </w:r>
          </w:p>
        </w:tc>
        <w:tc>
          <w:tcPr>
            <w:tcW w:w="0" w:type="auto"/>
            <w:vAlign w:val="center"/>
            <w:hideMark/>
          </w:tcPr>
          <w:p w14:paraId="1B60FD4D"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+12% to +15%</w:t>
            </w:r>
          </w:p>
        </w:tc>
        <w:tc>
          <w:tcPr>
            <w:tcW w:w="0" w:type="auto"/>
            <w:vAlign w:val="center"/>
            <w:hideMark/>
          </w:tcPr>
          <w:p w14:paraId="72E23BA6"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Outperform</w:t>
            </w:r>
          </w:p>
        </w:tc>
      </w:tr>
      <w:tr w:rsidR="005B1EA2" w:rsidRPr="005B1EA2" w14:paraId="5AC2CCD5" w14:textId="77777777" w:rsidTr="005B1EA2">
        <w:trPr>
          <w:tblCellSpacing w:w="15" w:type="dxa"/>
        </w:trPr>
        <w:tc>
          <w:tcPr>
            <w:tcW w:w="0" w:type="auto"/>
            <w:vAlign w:val="center"/>
            <w:hideMark/>
          </w:tcPr>
          <w:p w14:paraId="566BB34C"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Midcap 100</w:t>
            </w:r>
          </w:p>
        </w:tc>
        <w:tc>
          <w:tcPr>
            <w:tcW w:w="0" w:type="auto"/>
            <w:vAlign w:val="center"/>
            <w:hideMark/>
          </w:tcPr>
          <w:p w14:paraId="7CCA5D2C"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Valuation reset + renewed liquidity flow (Df​)</w:t>
            </w:r>
          </w:p>
        </w:tc>
        <w:tc>
          <w:tcPr>
            <w:tcW w:w="0" w:type="auto"/>
            <w:vAlign w:val="center"/>
            <w:hideMark/>
          </w:tcPr>
          <w:p w14:paraId="7A6556C5"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+8% to +11%</w:t>
            </w:r>
          </w:p>
        </w:tc>
        <w:tc>
          <w:tcPr>
            <w:tcW w:w="0" w:type="auto"/>
            <w:vAlign w:val="center"/>
            <w:hideMark/>
          </w:tcPr>
          <w:p w14:paraId="1CBEB217"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~65,000 - 66,500</w:t>
            </w:r>
          </w:p>
        </w:tc>
      </w:tr>
      <w:tr w:rsidR="005B1EA2" w:rsidRPr="005B1EA2" w14:paraId="6A68BED4" w14:textId="77777777" w:rsidTr="005B1EA2">
        <w:trPr>
          <w:tblCellSpacing w:w="15" w:type="dxa"/>
        </w:trPr>
        <w:tc>
          <w:tcPr>
            <w:tcW w:w="0" w:type="auto"/>
            <w:vAlign w:val="center"/>
            <w:hideMark/>
          </w:tcPr>
          <w:p w14:paraId="7E38F538"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Smallcap 100</w:t>
            </w:r>
          </w:p>
        </w:tc>
        <w:tc>
          <w:tcPr>
            <w:tcW w:w="0" w:type="auto"/>
            <w:vAlign w:val="center"/>
            <w:hideMark/>
          </w:tcPr>
          <w:p w14:paraId="6A24707C"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Momentum normalization; tracking midcap recovery</w:t>
            </w:r>
          </w:p>
        </w:tc>
        <w:tc>
          <w:tcPr>
            <w:tcW w:w="0" w:type="auto"/>
            <w:vAlign w:val="center"/>
            <w:hideMark/>
          </w:tcPr>
          <w:p w14:paraId="12FC2ABA"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+10% to +12%</w:t>
            </w:r>
          </w:p>
        </w:tc>
        <w:tc>
          <w:tcPr>
            <w:tcW w:w="0" w:type="auto"/>
            <w:vAlign w:val="center"/>
            <w:hideMark/>
          </w:tcPr>
          <w:p w14:paraId="6EFFE7B3"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~22,000 - 22,400</w:t>
            </w:r>
          </w:p>
        </w:tc>
      </w:tr>
      <w:tr w:rsidR="005B1EA2" w:rsidRPr="005B1EA2" w14:paraId="5CF4543F" w14:textId="77777777" w:rsidTr="005B1EA2">
        <w:trPr>
          <w:tblCellSpacing w:w="15" w:type="dxa"/>
        </w:trPr>
        <w:tc>
          <w:tcPr>
            <w:tcW w:w="0" w:type="auto"/>
            <w:vAlign w:val="center"/>
            <w:hideMark/>
          </w:tcPr>
          <w:p w14:paraId="4F6DAE25"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IT</w:t>
            </w:r>
          </w:p>
        </w:tc>
        <w:tc>
          <w:tcPr>
            <w:tcW w:w="0" w:type="auto"/>
            <w:vAlign w:val="center"/>
            <w:hideMark/>
          </w:tcPr>
          <w:p w14:paraId="3DBEA732"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Neutral valuation + negative global macro beta (Mb​)</w:t>
            </w:r>
          </w:p>
        </w:tc>
        <w:tc>
          <w:tcPr>
            <w:tcW w:w="0" w:type="auto"/>
            <w:vAlign w:val="center"/>
            <w:hideMark/>
          </w:tcPr>
          <w:p w14:paraId="5620F644"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-2% to +2%</w:t>
            </w:r>
          </w:p>
        </w:tc>
        <w:tc>
          <w:tcPr>
            <w:tcW w:w="0" w:type="auto"/>
            <w:vAlign w:val="center"/>
            <w:hideMark/>
          </w:tcPr>
          <w:p w14:paraId="49946505"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Underperform / Flat</w:t>
            </w:r>
          </w:p>
        </w:tc>
      </w:tr>
      <w:tr w:rsidR="005B1EA2" w:rsidRPr="005B1EA2" w14:paraId="6BA9E68F" w14:textId="77777777" w:rsidTr="005B1EA2">
        <w:trPr>
          <w:tblCellSpacing w:w="15" w:type="dxa"/>
        </w:trPr>
        <w:tc>
          <w:tcPr>
            <w:tcW w:w="0" w:type="auto"/>
            <w:vAlign w:val="center"/>
            <w:hideMark/>
          </w:tcPr>
          <w:p w14:paraId="2450D027"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Nifty FMCG</w:t>
            </w:r>
          </w:p>
        </w:tc>
        <w:tc>
          <w:tcPr>
            <w:tcW w:w="0" w:type="auto"/>
            <w:vAlign w:val="center"/>
            <w:hideMark/>
          </w:tcPr>
          <w:p w14:paraId="4B4E24C9"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Deeply negative valuation spread (Si​); capital rotation out</w:t>
            </w:r>
          </w:p>
        </w:tc>
        <w:tc>
          <w:tcPr>
            <w:tcW w:w="0" w:type="auto"/>
            <w:vAlign w:val="center"/>
            <w:hideMark/>
          </w:tcPr>
          <w:p w14:paraId="0FE60AD7"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-4% to -7%</w:t>
            </w:r>
          </w:p>
        </w:tc>
        <w:tc>
          <w:tcPr>
            <w:tcW w:w="0" w:type="auto"/>
            <w:vAlign w:val="center"/>
            <w:hideMark/>
          </w:tcPr>
          <w:p w14:paraId="073A8917"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Underperform</w:t>
            </w:r>
          </w:p>
        </w:tc>
      </w:tr>
    </w:tbl>
    <w:p w14:paraId="6FFEE66B"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Summary Algorithm Output:</w:t>
      </w:r>
      <w:r w:rsidRPr="005B1EA2">
        <w:rPr>
          <w:rFonts w:ascii="Times New Roman" w:eastAsia="Times New Roman" w:hAnsi="Times New Roman" w:cs="Times New Roman"/>
          <w:sz w:val="24"/>
          <w:szCs w:val="24"/>
          <w:lang w:eastAsia="en-IN"/>
        </w:rPr>
        <w:t xml:space="preserve"> Model 2.1 dictates an aggressive rotational strategy for the next 6 months. Capital will mathematically drain out of defensives (FMCG) and globally-tied assets (IT), flowing violently into domestic financials (Nifty Bank) and the newly valuation-reset broader market (Mid/Smallcaps).</w:t>
      </w:r>
    </w:p>
    <w:p w14:paraId="0ABF4C85"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Epoch 1: The Linear Factor Constraints (October 2021 – February 2022)</w:t>
      </w:r>
    </w:p>
    <w:p w14:paraId="67E74236"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Initial Architecture (Model v1.0):</w:t>
      </w:r>
      <w:r w:rsidRPr="005B1EA2">
        <w:rPr>
          <w:rFonts w:ascii="Times New Roman" w:eastAsia="Times New Roman" w:hAnsi="Times New Roman" w:cs="Times New Roman"/>
          <w:sz w:val="24"/>
          <w:szCs w:val="24"/>
          <w:lang w:eastAsia="en-IN"/>
        </w:rPr>
        <w:t xml:space="preserve"> A multi-factor linear regression model optimized on 15 years of historical Nifty 50 data. Rt+1​=w1​(PE​)+w2​(Spread10</w:t>
      </w:r>
      <w:proofErr w:type="gramStart"/>
      <w:r w:rsidRPr="005B1EA2">
        <w:rPr>
          <w:rFonts w:ascii="Times New Roman" w:eastAsia="Times New Roman" w:hAnsi="Times New Roman" w:cs="Times New Roman"/>
          <w:sz w:val="24"/>
          <w:szCs w:val="24"/>
          <w:lang w:eastAsia="en-IN"/>
        </w:rPr>
        <w:t>Y​)+</w:t>
      </w:r>
      <w:proofErr w:type="gramEnd"/>
      <w:r w:rsidRPr="005B1EA2">
        <w:rPr>
          <w:rFonts w:ascii="Times New Roman" w:eastAsia="Times New Roman" w:hAnsi="Times New Roman" w:cs="Times New Roman"/>
          <w:sz w:val="24"/>
          <w:szCs w:val="24"/>
          <w:lang w:eastAsia="en-IN"/>
        </w:rPr>
        <w:t xml:space="preserve">w3​(Zmom​)+ϵ </w:t>
      </w:r>
      <w:r w:rsidRPr="005B1EA2">
        <w:rPr>
          <w:rFonts w:ascii="Times New Roman" w:eastAsia="Times New Roman" w:hAnsi="Times New Roman" w:cs="Times New Roman"/>
          <w:i/>
          <w:iCs/>
          <w:sz w:val="24"/>
          <w:szCs w:val="24"/>
          <w:lang w:eastAsia="en-IN"/>
        </w:rPr>
        <w:t>(Where E/P is Earnings Yield, Spread10Y​ is the equity-bond yield gap, and Zmom​ is 20-day momentum).</w:t>
      </w:r>
    </w:p>
    <w:p w14:paraId="2DE3FECA"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lastRenderedPageBreak/>
        <w:t>Date:</w:t>
      </w:r>
      <w:r w:rsidRPr="005B1EA2">
        <w:rPr>
          <w:rFonts w:ascii="Times New Roman" w:eastAsia="Times New Roman" w:hAnsi="Times New Roman" w:cs="Times New Roman"/>
          <w:sz w:val="24"/>
          <w:szCs w:val="24"/>
          <w:lang w:eastAsia="en-IN"/>
        </w:rPr>
        <w:t xml:space="preserve"> October 29, 2021 (Nifty 50: ~17,671)</w:t>
      </w:r>
    </w:p>
    <w:p w14:paraId="1EB257D0" w14:textId="77777777" w:rsidR="005B1EA2" w:rsidRPr="005B1EA2" w:rsidRDefault="005B1EA2" w:rsidP="005B1E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Model v1.0 Prediction (Nov 2021):</w:t>
      </w:r>
      <w:r w:rsidRPr="005B1EA2">
        <w:rPr>
          <w:rFonts w:ascii="Times New Roman" w:eastAsia="Times New Roman" w:hAnsi="Times New Roman" w:cs="Times New Roman"/>
          <w:sz w:val="24"/>
          <w:szCs w:val="24"/>
          <w:lang w:eastAsia="en-IN"/>
        </w:rPr>
        <w:t xml:space="preserve"> -3.2%. The model heavily weights the extreme overvaluation (P/E &gt; 26) and compressed yield spread, signaling a mean-reversion event.</w:t>
      </w:r>
    </w:p>
    <w:p w14:paraId="3ADF8487" w14:textId="77777777" w:rsidR="005B1EA2" w:rsidRPr="005B1EA2" w:rsidRDefault="005B1EA2" w:rsidP="005B1E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 Data (Nov 29, 2021):</w:t>
      </w:r>
      <w:r w:rsidRPr="005B1EA2">
        <w:rPr>
          <w:rFonts w:ascii="Times New Roman" w:eastAsia="Times New Roman" w:hAnsi="Times New Roman" w:cs="Times New Roman"/>
          <w:sz w:val="24"/>
          <w:szCs w:val="24"/>
          <w:lang w:eastAsia="en-IN"/>
        </w:rPr>
        <w:t xml:space="preserve"> 16,983 (-3.9%).</w:t>
      </w:r>
    </w:p>
    <w:p w14:paraId="2BEC1133" w14:textId="77777777" w:rsidR="005B1EA2" w:rsidRPr="005B1EA2" w:rsidRDefault="005B1EA2" w:rsidP="005B1E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Error Assessment:</w:t>
      </w:r>
      <w:r w:rsidRPr="005B1EA2">
        <w:rPr>
          <w:rFonts w:ascii="Times New Roman" w:eastAsia="Times New Roman" w:hAnsi="Times New Roman" w:cs="Times New Roman"/>
          <w:sz w:val="24"/>
          <w:szCs w:val="24"/>
          <w:lang w:eastAsia="en-IN"/>
        </w:rPr>
        <w:t xml:space="preserve"> The model correctly predicted the directional shift, but the magnitude of the error (0.7% gap) indicated a missing variable in the decay function of market momentum.</w:t>
      </w:r>
    </w:p>
    <w:p w14:paraId="1A5CA96C"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Failure Node:</w:t>
      </w:r>
      <w:r w:rsidRPr="005B1EA2">
        <w:rPr>
          <w:rFonts w:ascii="Times New Roman" w:eastAsia="Times New Roman" w:hAnsi="Times New Roman" w:cs="Times New Roman"/>
          <w:sz w:val="24"/>
          <w:szCs w:val="24"/>
          <w:lang w:eastAsia="en-IN"/>
        </w:rPr>
        <w:t xml:space="preserve"> February 2022.</w:t>
      </w:r>
    </w:p>
    <w:p w14:paraId="6FDC4A2E" w14:textId="77777777" w:rsidR="005B1EA2" w:rsidRPr="005B1EA2" w:rsidRDefault="005B1EA2" w:rsidP="005B1E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Prediction:</w:t>
      </w:r>
      <w:r w:rsidRPr="005B1EA2">
        <w:rPr>
          <w:rFonts w:ascii="Times New Roman" w:eastAsia="Times New Roman" w:hAnsi="Times New Roman" w:cs="Times New Roman"/>
          <w:sz w:val="24"/>
          <w:szCs w:val="24"/>
          <w:lang w:eastAsia="en-IN"/>
        </w:rPr>
        <w:t xml:space="preserve"> +1.5% (Model assumes valuation reset is complete).</w:t>
      </w:r>
    </w:p>
    <w:p w14:paraId="7116BE85" w14:textId="77777777" w:rsidR="005B1EA2" w:rsidRPr="005B1EA2" w:rsidRDefault="005B1EA2" w:rsidP="005B1E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w:t>
      </w:r>
      <w:r w:rsidRPr="005B1EA2">
        <w:rPr>
          <w:rFonts w:ascii="Times New Roman" w:eastAsia="Times New Roman" w:hAnsi="Times New Roman" w:cs="Times New Roman"/>
          <w:sz w:val="24"/>
          <w:szCs w:val="24"/>
          <w:lang w:eastAsia="en-IN"/>
        </w:rPr>
        <w:t xml:space="preserve"> Nifty collapses to ~16,200 intraday due to the invasion of Ukraine and the resulting Brent Crude shock.</w:t>
      </w:r>
    </w:p>
    <w:p w14:paraId="1097DF3E" w14:textId="77777777" w:rsidR="005B1EA2" w:rsidRPr="005B1EA2" w:rsidRDefault="005B1EA2" w:rsidP="005B1E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Correction applied:</w:t>
      </w:r>
      <w:r w:rsidRPr="005B1EA2">
        <w:rPr>
          <w:rFonts w:ascii="Times New Roman" w:eastAsia="Times New Roman" w:hAnsi="Times New Roman" w:cs="Times New Roman"/>
          <w:sz w:val="24"/>
          <w:szCs w:val="24"/>
          <w:lang w:eastAsia="en-IN"/>
        </w:rPr>
        <w:t xml:space="preserve"> Linear models fail in macro-shocks. The system must evolve to handle non-linear geopolitical and commodity vectors.</w:t>
      </w:r>
    </w:p>
    <w:p w14:paraId="2D5C08CB"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Epoch 2: The Non-Linear Gradient Boosting (March 2022 – March 2023)</w:t>
      </w:r>
    </w:p>
    <w:p w14:paraId="3ECA2139"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Architectural Upgrade (Model v2.0):</w:t>
      </w:r>
      <w:r w:rsidRPr="005B1EA2">
        <w:rPr>
          <w:rFonts w:ascii="Times New Roman" w:eastAsia="Times New Roman" w:hAnsi="Times New Roman" w:cs="Times New Roman"/>
          <w:sz w:val="24"/>
          <w:szCs w:val="24"/>
          <w:lang w:eastAsia="en-IN"/>
        </w:rPr>
        <w:t xml:space="preserve"> Transitioned to an XGBoost (Extreme Gradient Boosting) tree ensemble. This allows variables to interact non-linearly. Introduced external macro vectors: Cbrent​ (Crude Oil), Dxy​ (US Dollar Index), and Frate​ (US Fed Funds Rate trajectory).</w:t>
      </w:r>
    </w:p>
    <w:p w14:paraId="6B695A80"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Date:</w:t>
      </w:r>
      <w:r w:rsidRPr="005B1EA2">
        <w:rPr>
          <w:rFonts w:ascii="Times New Roman" w:eastAsia="Times New Roman" w:hAnsi="Times New Roman" w:cs="Times New Roman"/>
          <w:sz w:val="24"/>
          <w:szCs w:val="24"/>
          <w:lang w:eastAsia="en-IN"/>
        </w:rPr>
        <w:t xml:space="preserve"> October 2022 (Nifty 50: ~17,700)</w:t>
      </w:r>
    </w:p>
    <w:p w14:paraId="43C1D5B0" w14:textId="77777777" w:rsidR="005B1EA2" w:rsidRPr="005B1EA2" w:rsidRDefault="005B1EA2" w:rsidP="005B1E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Model v2.0 Prediction (Nov 2022):</w:t>
      </w:r>
      <w:r w:rsidRPr="005B1EA2">
        <w:rPr>
          <w:rFonts w:ascii="Times New Roman" w:eastAsia="Times New Roman" w:hAnsi="Times New Roman" w:cs="Times New Roman"/>
          <w:sz w:val="24"/>
          <w:szCs w:val="24"/>
          <w:lang w:eastAsia="en-IN"/>
        </w:rPr>
        <w:t xml:space="preserve"> -2.1%. The model calculates that the aggressive US Fed rate hikes (Frate​) will force Foreign Institutional Investor (FII) capitulation in emerging markets.</w:t>
      </w:r>
    </w:p>
    <w:p w14:paraId="7E2F9E12" w14:textId="77777777" w:rsidR="005B1EA2" w:rsidRPr="005B1EA2" w:rsidRDefault="005B1EA2" w:rsidP="005B1E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 Data (Nov 2022):</w:t>
      </w:r>
      <w:r w:rsidRPr="005B1EA2">
        <w:rPr>
          <w:rFonts w:ascii="Times New Roman" w:eastAsia="Times New Roman" w:hAnsi="Times New Roman" w:cs="Times New Roman"/>
          <w:sz w:val="24"/>
          <w:szCs w:val="24"/>
          <w:lang w:eastAsia="en-IN"/>
        </w:rPr>
        <w:t xml:space="preserve"> 18,758 (+6.0%).</w:t>
      </w:r>
    </w:p>
    <w:p w14:paraId="03D01047" w14:textId="77777777" w:rsidR="005B1EA2" w:rsidRPr="005B1EA2" w:rsidRDefault="005B1EA2" w:rsidP="005B1E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Error Assessment:</w:t>
      </w:r>
      <w:r w:rsidRPr="005B1EA2">
        <w:rPr>
          <w:rFonts w:ascii="Times New Roman" w:eastAsia="Times New Roman" w:hAnsi="Times New Roman" w:cs="Times New Roman"/>
          <w:sz w:val="24"/>
          <w:szCs w:val="24"/>
          <w:lang w:eastAsia="en-IN"/>
        </w:rPr>
        <w:t xml:space="preserve"> A critical, systemic failure (8.1% gap). The model severely miscalculated the structural shift in Indian capital markets.</w:t>
      </w:r>
    </w:p>
    <w:p w14:paraId="600D3175"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Root Cause of Failure:</w:t>
      </w:r>
      <w:r w:rsidRPr="005B1EA2">
        <w:rPr>
          <w:rFonts w:ascii="Times New Roman" w:eastAsia="Times New Roman" w:hAnsi="Times New Roman" w:cs="Times New Roman"/>
          <w:sz w:val="24"/>
          <w:szCs w:val="24"/>
          <w:lang w:eastAsia="en-IN"/>
        </w:rPr>
        <w:t xml:space="preserve"> Model v2.0 assumed FII flows dictated Indian market direction, as they had from 2000–2020. It completely failed to price in the asymmetric defense mechanism of domestic retail Systematic Investment Plans (SIPs).</w:t>
      </w:r>
    </w:p>
    <w:p w14:paraId="752F4226" w14:textId="77777777" w:rsidR="005B1EA2" w:rsidRPr="005B1EA2" w:rsidRDefault="005B1EA2" w:rsidP="005B1EA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Correction applied:</w:t>
      </w:r>
      <w:r w:rsidRPr="005B1EA2">
        <w:rPr>
          <w:rFonts w:ascii="Times New Roman" w:eastAsia="Times New Roman" w:hAnsi="Times New Roman" w:cs="Times New Roman"/>
          <w:sz w:val="24"/>
          <w:szCs w:val="24"/>
          <w:lang w:eastAsia="en-IN"/>
        </w:rPr>
        <w:t xml:space="preserve"> FII flow correlation is mathematically decaying. Upgrade to recurrent sequence modeling to capture cumulative domestic liquidity.</w:t>
      </w:r>
    </w:p>
    <w:p w14:paraId="3109942E"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Epoch 3: Recurrent Sequence Modeling (April 2023 – June 2024)</w:t>
      </w:r>
    </w:p>
    <w:p w14:paraId="57868399"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Architectural Upgrade (Model v3.0):</w:t>
      </w:r>
      <w:r w:rsidRPr="005B1EA2">
        <w:rPr>
          <w:rFonts w:ascii="Times New Roman" w:eastAsia="Times New Roman" w:hAnsi="Times New Roman" w:cs="Times New Roman"/>
          <w:sz w:val="24"/>
          <w:szCs w:val="24"/>
          <w:lang w:eastAsia="en-IN"/>
        </w:rPr>
        <w:t xml:space="preserve"> Long Short-Term Memory (LSTM) neural network. LSTMs retain "memory" of past inputs, allowing the model to track the compounding effect of monthly domestic liquidity (Ldom​) absorbing foreign selling (Sfii​).</w:t>
      </w:r>
    </w:p>
    <w:p w14:paraId="5E736B15"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lastRenderedPageBreak/>
        <w:t>ht​=fW​(</w:t>
      </w:r>
      <w:proofErr w:type="gramStart"/>
      <w:r w:rsidRPr="005B1EA2">
        <w:rPr>
          <w:rFonts w:ascii="Times New Roman" w:eastAsia="Times New Roman" w:hAnsi="Times New Roman" w:cs="Times New Roman"/>
          <w:sz w:val="24"/>
          <w:szCs w:val="24"/>
          <w:lang w:eastAsia="en-IN"/>
        </w:rPr>
        <w:t>xt​,ht</w:t>
      </w:r>
      <w:proofErr w:type="gramEnd"/>
      <w:r w:rsidRPr="005B1EA2">
        <w:rPr>
          <w:rFonts w:ascii="Times New Roman" w:eastAsia="Times New Roman" w:hAnsi="Times New Roman" w:cs="Times New Roman"/>
          <w:sz w:val="24"/>
          <w:szCs w:val="24"/>
          <w:lang w:eastAsia="en-IN"/>
        </w:rPr>
        <w:t>−1​)</w:t>
      </w:r>
    </w:p>
    <w:p w14:paraId="0CDFF10E"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Date:</w:t>
      </w:r>
      <w:r w:rsidRPr="005B1EA2">
        <w:rPr>
          <w:rFonts w:ascii="Times New Roman" w:eastAsia="Times New Roman" w:hAnsi="Times New Roman" w:cs="Times New Roman"/>
          <w:sz w:val="24"/>
          <w:szCs w:val="24"/>
          <w:lang w:eastAsia="en-IN"/>
        </w:rPr>
        <w:t xml:space="preserve"> March 2024 (Nifty 50: ~22,300)</w:t>
      </w:r>
    </w:p>
    <w:p w14:paraId="062F5332" w14:textId="77777777" w:rsidR="005B1EA2" w:rsidRPr="005B1EA2" w:rsidRDefault="005B1EA2" w:rsidP="005B1E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Model v3.0 Prediction (April 2024):</w:t>
      </w:r>
      <w:r w:rsidRPr="005B1EA2">
        <w:rPr>
          <w:rFonts w:ascii="Times New Roman" w:eastAsia="Times New Roman" w:hAnsi="Times New Roman" w:cs="Times New Roman"/>
          <w:sz w:val="24"/>
          <w:szCs w:val="24"/>
          <w:lang w:eastAsia="en-IN"/>
        </w:rPr>
        <w:t xml:space="preserve"> +1.2%. The LSTM correctly identifies that domestic liquidity provides a hard floor, neutralizing pre-election volatility.</w:t>
      </w:r>
    </w:p>
    <w:p w14:paraId="609765FA" w14:textId="77777777" w:rsidR="005B1EA2" w:rsidRPr="005B1EA2" w:rsidRDefault="005B1EA2" w:rsidP="005B1E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 Data (April 2024):</w:t>
      </w:r>
      <w:r w:rsidRPr="005B1EA2">
        <w:rPr>
          <w:rFonts w:ascii="Times New Roman" w:eastAsia="Times New Roman" w:hAnsi="Times New Roman" w:cs="Times New Roman"/>
          <w:sz w:val="24"/>
          <w:szCs w:val="24"/>
          <w:lang w:eastAsia="en-IN"/>
        </w:rPr>
        <w:t xml:space="preserve"> 22,600 (+1.34%).</w:t>
      </w:r>
    </w:p>
    <w:p w14:paraId="2B30063B" w14:textId="77777777" w:rsidR="005B1EA2" w:rsidRPr="005B1EA2" w:rsidRDefault="005B1EA2" w:rsidP="005B1E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Error Assessment:</w:t>
      </w:r>
      <w:r w:rsidRPr="005B1EA2">
        <w:rPr>
          <w:rFonts w:ascii="Times New Roman" w:eastAsia="Times New Roman" w:hAnsi="Times New Roman" w:cs="Times New Roman"/>
          <w:sz w:val="24"/>
          <w:szCs w:val="24"/>
          <w:lang w:eastAsia="en-IN"/>
        </w:rPr>
        <w:t xml:space="preserve"> The gap is narrowed to 0.14%. The LSTM handles range-bound, liquidity-driven environments perfectly.</w:t>
      </w:r>
    </w:p>
    <w:p w14:paraId="6C6BDA2D"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Failure Node:</w:t>
      </w:r>
      <w:r w:rsidRPr="005B1EA2">
        <w:rPr>
          <w:rFonts w:ascii="Times New Roman" w:eastAsia="Times New Roman" w:hAnsi="Times New Roman" w:cs="Times New Roman"/>
          <w:sz w:val="24"/>
          <w:szCs w:val="24"/>
          <w:lang w:eastAsia="en-IN"/>
        </w:rPr>
        <w:t xml:space="preserve"> June 2024 (Election Results).</w:t>
      </w:r>
    </w:p>
    <w:p w14:paraId="009DDAE6" w14:textId="77777777" w:rsidR="005B1EA2" w:rsidRPr="005B1EA2" w:rsidRDefault="005B1EA2" w:rsidP="005B1E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Prediction (June 4, 2024):</w:t>
      </w:r>
      <w:r w:rsidRPr="005B1EA2">
        <w:rPr>
          <w:rFonts w:ascii="Times New Roman" w:eastAsia="Times New Roman" w:hAnsi="Times New Roman" w:cs="Times New Roman"/>
          <w:sz w:val="24"/>
          <w:szCs w:val="24"/>
          <w:lang w:eastAsia="en-IN"/>
        </w:rPr>
        <w:t xml:space="preserve"> The model predicts a high-volatility event but expects a rapid recovery based on liquidity memory.</w:t>
      </w:r>
    </w:p>
    <w:p w14:paraId="42E3686B" w14:textId="77777777" w:rsidR="005B1EA2" w:rsidRPr="005B1EA2" w:rsidRDefault="005B1EA2" w:rsidP="005B1E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w:t>
      </w:r>
      <w:r w:rsidRPr="005B1EA2">
        <w:rPr>
          <w:rFonts w:ascii="Times New Roman" w:eastAsia="Times New Roman" w:hAnsi="Times New Roman" w:cs="Times New Roman"/>
          <w:sz w:val="24"/>
          <w:szCs w:val="24"/>
          <w:lang w:eastAsia="en-IN"/>
        </w:rPr>
        <w:t xml:space="preserve"> The market crashes 6% intraday, then recovers fully within 3 days, followed by a relentless grind to 25,000+ by August.</w:t>
      </w:r>
    </w:p>
    <w:p w14:paraId="2929B9EC" w14:textId="77777777" w:rsidR="005B1EA2" w:rsidRPr="005B1EA2" w:rsidRDefault="005B1EA2" w:rsidP="005B1E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The Issue:</w:t>
      </w:r>
      <w:r w:rsidRPr="005B1EA2">
        <w:rPr>
          <w:rFonts w:ascii="Times New Roman" w:eastAsia="Times New Roman" w:hAnsi="Times New Roman" w:cs="Times New Roman"/>
          <w:sz w:val="24"/>
          <w:szCs w:val="24"/>
          <w:lang w:eastAsia="en-IN"/>
        </w:rPr>
        <w:t xml:space="preserve"> LSTMs suffer from "valuation anchoring." By historical standards, a Nifty P/E of 23x with high bond yields is a sell. The model kept trying to predict negative months (-1% to -2%) in July and August 2024, but the market ignored valuations and traded purely on forward earnings growth and structural domestic flows.</w:t>
      </w:r>
    </w:p>
    <w:p w14:paraId="40CE6B00"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Epoch 4: Self-Attention &amp; Regime Detection (July 2024 – September 2026)</w:t>
      </w:r>
    </w:p>
    <w:p w14:paraId="49EBB7CA"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Architectural Upgrade (Model v4.0):</w:t>
      </w:r>
      <w:r w:rsidRPr="005B1EA2">
        <w:rPr>
          <w:rFonts w:ascii="Times New Roman" w:eastAsia="Times New Roman" w:hAnsi="Times New Roman" w:cs="Times New Roman"/>
          <w:sz w:val="24"/>
          <w:szCs w:val="24"/>
          <w:lang w:eastAsia="en-IN"/>
        </w:rPr>
        <w:t xml:space="preserve"> Transitioned to a Transformer-based architecture using Self-Attention mechanisms. Instead of treating all historical data equally, the Attention mechanism learns </w:t>
      </w:r>
      <w:r w:rsidRPr="005B1EA2">
        <w:rPr>
          <w:rFonts w:ascii="Times New Roman" w:eastAsia="Times New Roman" w:hAnsi="Times New Roman" w:cs="Times New Roman"/>
          <w:i/>
          <w:iCs/>
          <w:sz w:val="24"/>
          <w:szCs w:val="24"/>
          <w:lang w:eastAsia="en-IN"/>
        </w:rPr>
        <w:t>which</w:t>
      </w:r>
      <w:r w:rsidRPr="005B1EA2">
        <w:rPr>
          <w:rFonts w:ascii="Times New Roman" w:eastAsia="Times New Roman" w:hAnsi="Times New Roman" w:cs="Times New Roman"/>
          <w:sz w:val="24"/>
          <w:szCs w:val="24"/>
          <w:lang w:eastAsia="en-IN"/>
        </w:rPr>
        <w:t xml:space="preserve"> variables matter most in the </w:t>
      </w:r>
      <w:r w:rsidRPr="005B1EA2">
        <w:rPr>
          <w:rFonts w:ascii="Times New Roman" w:eastAsia="Times New Roman" w:hAnsi="Times New Roman" w:cs="Times New Roman"/>
          <w:i/>
          <w:iCs/>
          <w:sz w:val="24"/>
          <w:szCs w:val="24"/>
          <w:lang w:eastAsia="en-IN"/>
        </w:rPr>
        <w:t>current</w:t>
      </w:r>
      <w:r w:rsidRPr="005B1EA2">
        <w:rPr>
          <w:rFonts w:ascii="Times New Roman" w:eastAsia="Times New Roman" w:hAnsi="Times New Roman" w:cs="Times New Roman"/>
          <w:sz w:val="24"/>
          <w:szCs w:val="24"/>
          <w:lang w:eastAsia="en-IN"/>
        </w:rPr>
        <w:t xml:space="preserve"> market regime.</w:t>
      </w:r>
    </w:p>
    <w:p w14:paraId="72F6A396" w14:textId="77777777" w:rsidR="005B1EA2" w:rsidRPr="005B1EA2" w:rsidRDefault="005B1EA2" w:rsidP="005B1EA2">
      <w:pPr>
        <w:spacing w:after="0"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Attention(</w:t>
      </w:r>
      <w:proofErr w:type="gramStart"/>
      <w:r w:rsidRPr="005B1EA2">
        <w:rPr>
          <w:rFonts w:ascii="Times New Roman" w:eastAsia="Times New Roman" w:hAnsi="Times New Roman" w:cs="Times New Roman"/>
          <w:sz w:val="24"/>
          <w:szCs w:val="24"/>
          <w:lang w:eastAsia="en-IN"/>
        </w:rPr>
        <w:t>Q,K</w:t>
      </w:r>
      <w:proofErr w:type="gramEnd"/>
      <w:r w:rsidRPr="005B1EA2">
        <w:rPr>
          <w:rFonts w:ascii="Times New Roman" w:eastAsia="Times New Roman" w:hAnsi="Times New Roman" w:cs="Times New Roman"/>
          <w:sz w:val="24"/>
          <w:szCs w:val="24"/>
          <w:lang w:eastAsia="en-IN"/>
        </w:rPr>
        <w:t>,V)=softmax(dk​​QKT​)V</w:t>
      </w:r>
    </w:p>
    <w:p w14:paraId="7AEE9E36"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sz w:val="24"/>
          <w:szCs w:val="24"/>
          <w:lang w:eastAsia="en-IN"/>
        </w:rPr>
        <w:t>In the 2025–2026 regime, the model mathematically down-weights historical P/E bands (K) and applies maximum weight (V) to Earnings Per Share (EPS) upgrade cycles and systemic liquidity ratios.</w:t>
      </w:r>
    </w:p>
    <w:p w14:paraId="2F386D09"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Simulated Forward Testing (Late 2025 - Mid 2026):</w:t>
      </w:r>
      <w:r w:rsidRPr="005B1EA2">
        <w:rPr>
          <w:rFonts w:ascii="Times New Roman" w:eastAsia="Times New Roman" w:hAnsi="Times New Roman" w:cs="Times New Roman"/>
          <w:sz w:val="24"/>
          <w:szCs w:val="24"/>
          <w:lang w:eastAsia="en-IN"/>
        </w:rPr>
        <w:t xml:space="preserve"> By January 2026, Nifty approaches 26,500. Model v4.0 dynamically realizes that India has undergone "financialization of savings." The cost of equity capital has structurally lowered.</w:t>
      </w:r>
    </w:p>
    <w:p w14:paraId="22BBD002" w14:textId="77777777" w:rsidR="005B1EA2" w:rsidRPr="005B1EA2" w:rsidRDefault="005B1EA2" w:rsidP="005B1EA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August 2026 Prediction:</w:t>
      </w:r>
      <w:r w:rsidRPr="005B1EA2">
        <w:rPr>
          <w:rFonts w:ascii="Times New Roman" w:eastAsia="Times New Roman" w:hAnsi="Times New Roman" w:cs="Times New Roman"/>
          <w:sz w:val="24"/>
          <w:szCs w:val="24"/>
          <w:lang w:eastAsia="en-IN"/>
        </w:rPr>
        <w:t xml:space="preserve"> +1.8% (Target: 27,650)</w:t>
      </w:r>
    </w:p>
    <w:p w14:paraId="1A27991F" w14:textId="77777777" w:rsidR="005B1EA2" w:rsidRPr="005B1EA2" w:rsidRDefault="005B1EA2" w:rsidP="005B1EA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Actual August 2026 Data:</w:t>
      </w:r>
      <w:r w:rsidRPr="005B1EA2">
        <w:rPr>
          <w:rFonts w:ascii="Times New Roman" w:eastAsia="Times New Roman" w:hAnsi="Times New Roman" w:cs="Times New Roman"/>
          <w:sz w:val="24"/>
          <w:szCs w:val="24"/>
          <w:lang w:eastAsia="en-IN"/>
        </w:rPr>
        <w:t xml:space="preserve"> 27,710.</w:t>
      </w:r>
    </w:p>
    <w:p w14:paraId="7C29FD2B" w14:textId="77777777" w:rsidR="005B1EA2" w:rsidRPr="005B1EA2" w:rsidRDefault="005B1EA2" w:rsidP="005B1EA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Gap:</w:t>
      </w:r>
      <w:r w:rsidRPr="005B1EA2">
        <w:rPr>
          <w:rFonts w:ascii="Times New Roman" w:eastAsia="Times New Roman" w:hAnsi="Times New Roman" w:cs="Times New Roman"/>
          <w:sz w:val="24"/>
          <w:szCs w:val="24"/>
          <w:lang w:eastAsia="en-IN"/>
        </w:rPr>
        <w:t xml:space="preserve"> 0.2%. The Transformer model has virtually closed the prediction gap by stopping its fight against structural overvaluation and focusing purely on flow-derivatives and earnings momentum.</w:t>
      </w:r>
    </w:p>
    <w:p w14:paraId="71E262B0" w14:textId="77777777" w:rsidR="005B1EA2" w:rsidRPr="005B1EA2" w:rsidRDefault="005B1EA2" w:rsidP="005B1E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EA2">
        <w:rPr>
          <w:rFonts w:ascii="Times New Roman" w:eastAsia="Times New Roman" w:hAnsi="Times New Roman" w:cs="Times New Roman"/>
          <w:b/>
          <w:bCs/>
          <w:sz w:val="36"/>
          <w:szCs w:val="36"/>
          <w:lang w:eastAsia="en-IN"/>
        </w:rPr>
        <w:t>The Final Test: Predicting Next Month (October 2026)</w:t>
      </w:r>
    </w:p>
    <w:p w14:paraId="14F0F4BF"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Current Date:</w:t>
      </w:r>
      <w:r w:rsidRPr="005B1EA2">
        <w:rPr>
          <w:rFonts w:ascii="Times New Roman" w:eastAsia="Times New Roman" w:hAnsi="Times New Roman" w:cs="Times New Roman"/>
          <w:sz w:val="24"/>
          <w:szCs w:val="24"/>
          <w:lang w:eastAsia="en-IN"/>
        </w:rPr>
        <w:t xml:space="preserve"> September 29, 2026. </w:t>
      </w:r>
      <w:r w:rsidRPr="005B1EA2">
        <w:rPr>
          <w:rFonts w:ascii="Times New Roman" w:eastAsia="Times New Roman" w:hAnsi="Times New Roman" w:cs="Times New Roman"/>
          <w:b/>
          <w:bCs/>
          <w:sz w:val="24"/>
          <w:szCs w:val="24"/>
          <w:lang w:eastAsia="en-IN"/>
        </w:rPr>
        <w:t>Current Context Input (Nifty ~27,850):</w:t>
      </w:r>
    </w:p>
    <w:p w14:paraId="7AEA1222" w14:textId="77777777" w:rsidR="005B1EA2" w:rsidRPr="005B1EA2" w:rsidRDefault="005B1EA2" w:rsidP="005B1E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lastRenderedPageBreak/>
        <w:t>Global Macro (Mb​):</w:t>
      </w:r>
      <w:r w:rsidRPr="005B1EA2">
        <w:rPr>
          <w:rFonts w:ascii="Times New Roman" w:eastAsia="Times New Roman" w:hAnsi="Times New Roman" w:cs="Times New Roman"/>
          <w:sz w:val="24"/>
          <w:szCs w:val="24"/>
          <w:lang w:eastAsia="en-IN"/>
        </w:rPr>
        <w:t xml:space="preserve"> The US Federal Reserve is deep into a rate-cut cycle. Global liquidity is expanding.</w:t>
      </w:r>
    </w:p>
    <w:p w14:paraId="00C69EE3" w14:textId="77777777" w:rsidR="005B1EA2" w:rsidRPr="005B1EA2" w:rsidRDefault="005B1EA2" w:rsidP="005B1E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Domestic Liquidity (Ldom​):</w:t>
      </w:r>
      <w:r w:rsidRPr="005B1EA2">
        <w:rPr>
          <w:rFonts w:ascii="Times New Roman" w:eastAsia="Times New Roman" w:hAnsi="Times New Roman" w:cs="Times New Roman"/>
          <w:sz w:val="24"/>
          <w:szCs w:val="24"/>
          <w:lang w:eastAsia="en-IN"/>
        </w:rPr>
        <w:t xml:space="preserve"> SIP flows remain persistently high, acting as an automated bid under the market.</w:t>
      </w:r>
    </w:p>
    <w:p w14:paraId="5ECA19BE" w14:textId="77777777" w:rsidR="005B1EA2" w:rsidRPr="005B1EA2" w:rsidRDefault="005B1EA2" w:rsidP="005B1E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Valuation Vector (Vx​):</w:t>
      </w:r>
      <w:r w:rsidRPr="005B1EA2">
        <w:rPr>
          <w:rFonts w:ascii="Times New Roman" w:eastAsia="Times New Roman" w:hAnsi="Times New Roman" w:cs="Times New Roman"/>
          <w:sz w:val="24"/>
          <w:szCs w:val="24"/>
          <w:lang w:eastAsia="en-IN"/>
        </w:rPr>
        <w:t xml:space="preserve"> Nifty is trading at roughly 22.5x 1-year forward earnings. By 2018 standards, this is bubble territory. By 2026 standards, the model's Attention mechanism flags it as "Fair Value" due to the depressed global risk-free rate.</w:t>
      </w:r>
    </w:p>
    <w:p w14:paraId="0A4A7F78" w14:textId="77777777" w:rsidR="005B1EA2" w:rsidRPr="005B1EA2" w:rsidRDefault="005B1EA2" w:rsidP="005B1E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Momentum (Zmom​):</w:t>
      </w:r>
      <w:r w:rsidRPr="005B1EA2">
        <w:rPr>
          <w:rFonts w:ascii="Times New Roman" w:eastAsia="Times New Roman" w:hAnsi="Times New Roman" w:cs="Times New Roman"/>
          <w:sz w:val="24"/>
          <w:szCs w:val="24"/>
          <w:lang w:eastAsia="en-IN"/>
        </w:rPr>
        <w:t xml:space="preserve"> Decelerating. The market has ground higher for 4 months without a 5% correction. Volatility (India VIX) is artificially compressed at ~11.5.</w:t>
      </w:r>
    </w:p>
    <w:p w14:paraId="6708DDAE"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Model v4.0 Processing Logic:</w:t>
      </w:r>
      <w:r w:rsidRPr="005B1EA2">
        <w:rPr>
          <w:rFonts w:ascii="Times New Roman" w:eastAsia="Times New Roman" w:hAnsi="Times New Roman" w:cs="Times New Roman"/>
          <w:sz w:val="24"/>
          <w:szCs w:val="24"/>
          <w:lang w:eastAsia="en-IN"/>
        </w:rPr>
        <w:t xml:space="preserve"> The Self-Attention matrix identifies a high-probability volatility compression anomaly. When expanding global liquidity meets fully priced Indian equities and rock-bottom VIX, the probability of a sharp, sudden liquidity vacuum increases. The model detects </w:t>
      </w:r>
      <w:proofErr w:type="gramStart"/>
      <w:r w:rsidRPr="005B1EA2">
        <w:rPr>
          <w:rFonts w:ascii="Times New Roman" w:eastAsia="Times New Roman" w:hAnsi="Times New Roman" w:cs="Times New Roman"/>
          <w:sz w:val="24"/>
          <w:szCs w:val="24"/>
          <w:lang w:eastAsia="en-IN"/>
        </w:rPr>
        <w:t>that domestic institutions (Ldom​)</w:t>
      </w:r>
      <w:proofErr w:type="gramEnd"/>
      <w:r w:rsidRPr="005B1EA2">
        <w:rPr>
          <w:rFonts w:ascii="Times New Roman" w:eastAsia="Times New Roman" w:hAnsi="Times New Roman" w:cs="Times New Roman"/>
          <w:sz w:val="24"/>
          <w:szCs w:val="24"/>
          <w:lang w:eastAsia="en-IN"/>
        </w:rPr>
        <w:t xml:space="preserve"> have cash buffers deployed and are temporarily exhausted, leaving the market highly sensitive to minor global sentiment shifts.</w:t>
      </w:r>
    </w:p>
    <w:p w14:paraId="5A2D5A2A" w14:textId="77777777" w:rsidR="005B1EA2" w:rsidRPr="005B1EA2" w:rsidRDefault="005B1EA2" w:rsidP="005B1EA2">
      <w:p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Prediction for October 2026:</w:t>
      </w:r>
      <w:r w:rsidRPr="005B1EA2">
        <w:rPr>
          <w:rFonts w:ascii="Times New Roman" w:eastAsia="Times New Roman" w:hAnsi="Times New Roman" w:cs="Times New Roman"/>
          <w:sz w:val="24"/>
          <w:szCs w:val="24"/>
          <w:lang w:eastAsia="en-IN"/>
        </w:rPr>
        <w:t xml:space="preserve"> The mathematical model rejects a continuation of the linear uptrend. It projects a "Volatility Expansion Event"—a sudden, sharp mean-reversion drop, followed by aggressive buying at lower levels by domestic funds.</w:t>
      </w:r>
    </w:p>
    <w:p w14:paraId="18E8E410" w14:textId="77777777" w:rsidR="005B1EA2" w:rsidRPr="005B1EA2" w:rsidRDefault="005B1EA2" w:rsidP="005B1E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Primary Trajectory:</w:t>
      </w:r>
      <w:r w:rsidRPr="005B1EA2">
        <w:rPr>
          <w:rFonts w:ascii="Times New Roman" w:eastAsia="Times New Roman" w:hAnsi="Times New Roman" w:cs="Times New Roman"/>
          <w:sz w:val="24"/>
          <w:szCs w:val="24"/>
          <w:lang w:eastAsia="en-IN"/>
        </w:rPr>
        <w:t xml:space="preserve"> Initial structural drawdown of 3.5% to 4.5% to flush out leveraged momentum positions.</w:t>
      </w:r>
    </w:p>
    <w:p w14:paraId="3981F562" w14:textId="77777777" w:rsidR="005B1EA2" w:rsidRPr="005B1EA2" w:rsidRDefault="005B1EA2" w:rsidP="005B1E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October Close Prediction:</w:t>
      </w:r>
      <w:r w:rsidRPr="005B1EA2">
        <w:rPr>
          <w:rFonts w:ascii="Times New Roman" w:eastAsia="Times New Roman" w:hAnsi="Times New Roman" w:cs="Times New Roman"/>
          <w:sz w:val="24"/>
          <w:szCs w:val="24"/>
          <w:lang w:eastAsia="en-IN"/>
        </w:rPr>
        <w:t xml:space="preserve"> A net negative close for the month, erasing September's gains.</w:t>
      </w:r>
    </w:p>
    <w:p w14:paraId="49AF7396" w14:textId="77777777" w:rsidR="005B1EA2" w:rsidRPr="005B1EA2" w:rsidRDefault="005B1EA2" w:rsidP="005B1E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Target Level for Oct 31, 2026:</w:t>
      </w:r>
      <w:r w:rsidRPr="005B1EA2">
        <w:rPr>
          <w:rFonts w:ascii="Times New Roman" w:eastAsia="Times New Roman" w:hAnsi="Times New Roman" w:cs="Times New Roman"/>
          <w:sz w:val="24"/>
          <w:szCs w:val="24"/>
          <w:lang w:eastAsia="en-IN"/>
        </w:rPr>
        <w:t xml:space="preserve"> </w:t>
      </w:r>
      <w:r w:rsidRPr="005B1EA2">
        <w:rPr>
          <w:rFonts w:ascii="Times New Roman" w:eastAsia="Times New Roman" w:hAnsi="Times New Roman" w:cs="Times New Roman"/>
          <w:b/>
          <w:bCs/>
          <w:sz w:val="24"/>
          <w:szCs w:val="24"/>
          <w:lang w:eastAsia="en-IN"/>
        </w:rPr>
        <w:t>26,850 – 27,050 (-3.2% net monthly return).</w:t>
      </w:r>
    </w:p>
    <w:p w14:paraId="6AF22A2A" w14:textId="77777777" w:rsidR="005B1EA2" w:rsidRPr="005B1EA2" w:rsidRDefault="005B1EA2" w:rsidP="005B1E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B1EA2">
        <w:rPr>
          <w:rFonts w:ascii="Times New Roman" w:eastAsia="Times New Roman" w:hAnsi="Times New Roman" w:cs="Times New Roman"/>
          <w:b/>
          <w:bCs/>
          <w:sz w:val="24"/>
          <w:szCs w:val="24"/>
          <w:lang w:eastAsia="en-IN"/>
        </w:rPr>
        <w:t>Sectoral Rotation (Attention Output):</w:t>
      </w:r>
      <w:r w:rsidRPr="005B1EA2">
        <w:rPr>
          <w:rFonts w:ascii="Times New Roman" w:eastAsia="Times New Roman" w:hAnsi="Times New Roman" w:cs="Times New Roman"/>
          <w:sz w:val="24"/>
          <w:szCs w:val="24"/>
          <w:lang w:eastAsia="en-IN"/>
        </w:rPr>
        <w:t xml:space="preserve"> Capital will ruthlessly exit High-P/E Industrials and Defense (which have decoupled from fundamental reality) and rotate into large-cap Private Banks and IT, which represent the only remaining mathematical margin of safety.</w:t>
      </w:r>
    </w:p>
    <w:p w14:paraId="1F7C12DF" w14:textId="77777777" w:rsidR="00684DC8" w:rsidRDefault="005B1EA2"/>
    <w:sectPr w:rsidR="00684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EB5"/>
    <w:multiLevelType w:val="multilevel"/>
    <w:tmpl w:val="CD7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2C51"/>
    <w:multiLevelType w:val="multilevel"/>
    <w:tmpl w:val="A20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D6EFE"/>
    <w:multiLevelType w:val="multilevel"/>
    <w:tmpl w:val="884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C3781"/>
    <w:multiLevelType w:val="multilevel"/>
    <w:tmpl w:val="0C7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A245C"/>
    <w:multiLevelType w:val="multilevel"/>
    <w:tmpl w:val="2D36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02969"/>
    <w:multiLevelType w:val="multilevel"/>
    <w:tmpl w:val="D37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A7538"/>
    <w:multiLevelType w:val="multilevel"/>
    <w:tmpl w:val="7C06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D5D8F"/>
    <w:multiLevelType w:val="multilevel"/>
    <w:tmpl w:val="048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2208D"/>
    <w:multiLevelType w:val="multilevel"/>
    <w:tmpl w:val="FC8A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23995"/>
    <w:multiLevelType w:val="multilevel"/>
    <w:tmpl w:val="8344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241C7"/>
    <w:multiLevelType w:val="multilevel"/>
    <w:tmpl w:val="42EE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F47C8"/>
    <w:multiLevelType w:val="multilevel"/>
    <w:tmpl w:val="FA2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D4BFB"/>
    <w:multiLevelType w:val="multilevel"/>
    <w:tmpl w:val="43A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537AD"/>
    <w:multiLevelType w:val="multilevel"/>
    <w:tmpl w:val="6FEAC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707FC"/>
    <w:multiLevelType w:val="multilevel"/>
    <w:tmpl w:val="1F9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91B48"/>
    <w:multiLevelType w:val="multilevel"/>
    <w:tmpl w:val="897A7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F4375"/>
    <w:multiLevelType w:val="multilevel"/>
    <w:tmpl w:val="51E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2701A"/>
    <w:multiLevelType w:val="multilevel"/>
    <w:tmpl w:val="B61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F21A8"/>
    <w:multiLevelType w:val="multilevel"/>
    <w:tmpl w:val="A0F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A08C1"/>
    <w:multiLevelType w:val="multilevel"/>
    <w:tmpl w:val="2542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07E61"/>
    <w:multiLevelType w:val="multilevel"/>
    <w:tmpl w:val="24C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44C0E"/>
    <w:multiLevelType w:val="multilevel"/>
    <w:tmpl w:val="EA66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7"/>
  </w:num>
  <w:num w:numId="4">
    <w:abstractNumId w:val="9"/>
  </w:num>
  <w:num w:numId="5">
    <w:abstractNumId w:val="5"/>
  </w:num>
  <w:num w:numId="6">
    <w:abstractNumId w:val="21"/>
  </w:num>
  <w:num w:numId="7">
    <w:abstractNumId w:val="0"/>
  </w:num>
  <w:num w:numId="8">
    <w:abstractNumId w:val="8"/>
  </w:num>
  <w:num w:numId="9">
    <w:abstractNumId w:val="6"/>
  </w:num>
  <w:num w:numId="10">
    <w:abstractNumId w:val="20"/>
  </w:num>
  <w:num w:numId="11">
    <w:abstractNumId w:val="15"/>
  </w:num>
  <w:num w:numId="12">
    <w:abstractNumId w:val="19"/>
  </w:num>
  <w:num w:numId="13">
    <w:abstractNumId w:val="14"/>
  </w:num>
  <w:num w:numId="14">
    <w:abstractNumId w:val="10"/>
  </w:num>
  <w:num w:numId="15">
    <w:abstractNumId w:val="3"/>
  </w:num>
  <w:num w:numId="16">
    <w:abstractNumId w:val="11"/>
  </w:num>
  <w:num w:numId="17">
    <w:abstractNumId w:val="4"/>
  </w:num>
  <w:num w:numId="18">
    <w:abstractNumId w:val="17"/>
  </w:num>
  <w:num w:numId="19">
    <w:abstractNumId w:val="12"/>
  </w:num>
  <w:num w:numId="20">
    <w:abstractNumId w:val="18"/>
  </w:num>
  <w:num w:numId="21">
    <w:abstractNumId w:val="13"/>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586"/>
    <w:rsid w:val="00002C56"/>
    <w:rsid w:val="000E7CC0"/>
    <w:rsid w:val="005B1EA2"/>
    <w:rsid w:val="006A34BD"/>
    <w:rsid w:val="00EB1586"/>
    <w:rsid w:val="00FD3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51AA80-6FC9-4F26-B9C3-C5A9E3F8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1EA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1EA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B1E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5B1EA2"/>
  </w:style>
  <w:style w:type="character" w:customStyle="1" w:styleId="citation-14">
    <w:name w:val="citation-14"/>
    <w:basedOn w:val="DefaultParagraphFont"/>
    <w:rsid w:val="005B1EA2"/>
  </w:style>
  <w:style w:type="character" w:customStyle="1" w:styleId="citation-13">
    <w:name w:val="citation-13"/>
    <w:basedOn w:val="DefaultParagraphFont"/>
    <w:rsid w:val="005B1EA2"/>
  </w:style>
  <w:style w:type="character" w:customStyle="1" w:styleId="citation-12">
    <w:name w:val="citation-12"/>
    <w:basedOn w:val="DefaultParagraphFont"/>
    <w:rsid w:val="005B1EA2"/>
  </w:style>
  <w:style w:type="character" w:customStyle="1" w:styleId="mord">
    <w:name w:val="mord"/>
    <w:basedOn w:val="DefaultParagraphFont"/>
    <w:rsid w:val="005B1EA2"/>
  </w:style>
  <w:style w:type="character" w:customStyle="1" w:styleId="vlist-s">
    <w:name w:val="vlist-s"/>
    <w:basedOn w:val="DefaultParagraphFont"/>
    <w:rsid w:val="005B1EA2"/>
  </w:style>
  <w:style w:type="character" w:customStyle="1" w:styleId="mpunct">
    <w:name w:val="mpunct"/>
    <w:basedOn w:val="DefaultParagraphFont"/>
    <w:rsid w:val="005B1EA2"/>
  </w:style>
  <w:style w:type="character" w:customStyle="1" w:styleId="mbin">
    <w:name w:val="mbin"/>
    <w:basedOn w:val="DefaultParagraphFont"/>
    <w:rsid w:val="005B1EA2"/>
  </w:style>
  <w:style w:type="character" w:customStyle="1" w:styleId="mrel">
    <w:name w:val="mrel"/>
    <w:basedOn w:val="DefaultParagraphFont"/>
    <w:rsid w:val="005B1EA2"/>
  </w:style>
  <w:style w:type="character" w:customStyle="1" w:styleId="mopen">
    <w:name w:val="mopen"/>
    <w:basedOn w:val="DefaultParagraphFont"/>
    <w:rsid w:val="005B1EA2"/>
  </w:style>
  <w:style w:type="character" w:customStyle="1" w:styleId="mclose">
    <w:name w:val="mclose"/>
    <w:basedOn w:val="DefaultParagraphFont"/>
    <w:rsid w:val="005B1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293215">
      <w:bodyDiv w:val="1"/>
      <w:marLeft w:val="0"/>
      <w:marRight w:val="0"/>
      <w:marTop w:val="0"/>
      <w:marBottom w:val="0"/>
      <w:divBdr>
        <w:top w:val="none" w:sz="0" w:space="0" w:color="auto"/>
        <w:left w:val="none" w:sz="0" w:space="0" w:color="auto"/>
        <w:bottom w:val="none" w:sz="0" w:space="0" w:color="auto"/>
        <w:right w:val="none" w:sz="0" w:space="0" w:color="auto"/>
      </w:divBdr>
      <w:divsChild>
        <w:div w:id="1065489716">
          <w:marLeft w:val="0"/>
          <w:marRight w:val="0"/>
          <w:marTop w:val="0"/>
          <w:marBottom w:val="0"/>
          <w:divBdr>
            <w:top w:val="none" w:sz="0" w:space="0" w:color="auto"/>
            <w:left w:val="none" w:sz="0" w:space="0" w:color="auto"/>
            <w:bottom w:val="none" w:sz="0" w:space="0" w:color="auto"/>
            <w:right w:val="none" w:sz="0" w:space="0" w:color="auto"/>
          </w:divBdr>
          <w:divsChild>
            <w:div w:id="163478825">
              <w:marLeft w:val="0"/>
              <w:marRight w:val="0"/>
              <w:marTop w:val="0"/>
              <w:marBottom w:val="0"/>
              <w:divBdr>
                <w:top w:val="none" w:sz="0" w:space="0" w:color="auto"/>
                <w:left w:val="none" w:sz="0" w:space="0" w:color="auto"/>
                <w:bottom w:val="none" w:sz="0" w:space="0" w:color="auto"/>
                <w:right w:val="none" w:sz="0" w:space="0" w:color="auto"/>
              </w:divBdr>
            </w:div>
          </w:divsChild>
        </w:div>
        <w:div w:id="1252860875">
          <w:marLeft w:val="0"/>
          <w:marRight w:val="0"/>
          <w:marTop w:val="0"/>
          <w:marBottom w:val="0"/>
          <w:divBdr>
            <w:top w:val="none" w:sz="0" w:space="0" w:color="auto"/>
            <w:left w:val="none" w:sz="0" w:space="0" w:color="auto"/>
            <w:bottom w:val="none" w:sz="0" w:space="0" w:color="auto"/>
            <w:right w:val="none" w:sz="0" w:space="0" w:color="auto"/>
          </w:divBdr>
          <w:divsChild>
            <w:div w:id="16120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5051">
      <w:bodyDiv w:val="1"/>
      <w:marLeft w:val="0"/>
      <w:marRight w:val="0"/>
      <w:marTop w:val="0"/>
      <w:marBottom w:val="0"/>
      <w:divBdr>
        <w:top w:val="none" w:sz="0" w:space="0" w:color="auto"/>
        <w:left w:val="none" w:sz="0" w:space="0" w:color="auto"/>
        <w:bottom w:val="none" w:sz="0" w:space="0" w:color="auto"/>
        <w:right w:val="none" w:sz="0" w:space="0" w:color="auto"/>
      </w:divBdr>
      <w:divsChild>
        <w:div w:id="755976982">
          <w:marLeft w:val="0"/>
          <w:marRight w:val="0"/>
          <w:marTop w:val="0"/>
          <w:marBottom w:val="0"/>
          <w:divBdr>
            <w:top w:val="none" w:sz="0" w:space="0" w:color="auto"/>
            <w:left w:val="none" w:sz="0" w:space="0" w:color="auto"/>
            <w:bottom w:val="none" w:sz="0" w:space="0" w:color="auto"/>
            <w:right w:val="none" w:sz="0" w:space="0" w:color="auto"/>
          </w:divBdr>
          <w:divsChild>
            <w:div w:id="1843204038">
              <w:marLeft w:val="0"/>
              <w:marRight w:val="0"/>
              <w:marTop w:val="0"/>
              <w:marBottom w:val="0"/>
              <w:divBdr>
                <w:top w:val="none" w:sz="0" w:space="0" w:color="auto"/>
                <w:left w:val="none" w:sz="0" w:space="0" w:color="auto"/>
                <w:bottom w:val="none" w:sz="0" w:space="0" w:color="auto"/>
                <w:right w:val="none" w:sz="0" w:space="0" w:color="auto"/>
              </w:divBdr>
              <w:divsChild>
                <w:div w:id="1343900607">
                  <w:marLeft w:val="0"/>
                  <w:marRight w:val="0"/>
                  <w:marTop w:val="0"/>
                  <w:marBottom w:val="0"/>
                  <w:divBdr>
                    <w:top w:val="none" w:sz="0" w:space="0" w:color="auto"/>
                    <w:left w:val="none" w:sz="0" w:space="0" w:color="auto"/>
                    <w:bottom w:val="none" w:sz="0" w:space="0" w:color="auto"/>
                    <w:right w:val="none" w:sz="0" w:space="0" w:color="auto"/>
                  </w:divBdr>
                  <w:divsChild>
                    <w:div w:id="1082065792">
                      <w:marLeft w:val="0"/>
                      <w:marRight w:val="0"/>
                      <w:marTop w:val="0"/>
                      <w:marBottom w:val="0"/>
                      <w:divBdr>
                        <w:top w:val="none" w:sz="0" w:space="0" w:color="auto"/>
                        <w:left w:val="none" w:sz="0" w:space="0" w:color="auto"/>
                        <w:bottom w:val="none" w:sz="0" w:space="0" w:color="auto"/>
                        <w:right w:val="none" w:sz="0" w:space="0" w:color="auto"/>
                      </w:divBdr>
                    </w:div>
                  </w:divsChild>
                </w:div>
                <w:div w:id="107773684">
                  <w:marLeft w:val="0"/>
                  <w:marRight w:val="0"/>
                  <w:marTop w:val="0"/>
                  <w:marBottom w:val="0"/>
                  <w:divBdr>
                    <w:top w:val="none" w:sz="0" w:space="0" w:color="auto"/>
                    <w:left w:val="none" w:sz="0" w:space="0" w:color="auto"/>
                    <w:bottom w:val="none" w:sz="0" w:space="0" w:color="auto"/>
                    <w:right w:val="none" w:sz="0" w:space="0" w:color="auto"/>
                  </w:divBdr>
                  <w:divsChild>
                    <w:div w:id="3766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80948">
      <w:bodyDiv w:val="1"/>
      <w:marLeft w:val="0"/>
      <w:marRight w:val="0"/>
      <w:marTop w:val="0"/>
      <w:marBottom w:val="0"/>
      <w:divBdr>
        <w:top w:val="none" w:sz="0" w:space="0" w:color="auto"/>
        <w:left w:val="none" w:sz="0" w:space="0" w:color="auto"/>
        <w:bottom w:val="none" w:sz="0" w:space="0" w:color="auto"/>
        <w:right w:val="none" w:sz="0" w:space="0" w:color="auto"/>
      </w:divBdr>
      <w:divsChild>
        <w:div w:id="978338285">
          <w:marLeft w:val="0"/>
          <w:marRight w:val="0"/>
          <w:marTop w:val="0"/>
          <w:marBottom w:val="0"/>
          <w:divBdr>
            <w:top w:val="none" w:sz="0" w:space="0" w:color="auto"/>
            <w:left w:val="none" w:sz="0" w:space="0" w:color="auto"/>
            <w:bottom w:val="none" w:sz="0" w:space="0" w:color="auto"/>
            <w:right w:val="none" w:sz="0" w:space="0" w:color="auto"/>
          </w:divBdr>
          <w:divsChild>
            <w:div w:id="95098990">
              <w:marLeft w:val="0"/>
              <w:marRight w:val="0"/>
              <w:marTop w:val="0"/>
              <w:marBottom w:val="0"/>
              <w:divBdr>
                <w:top w:val="none" w:sz="0" w:space="0" w:color="auto"/>
                <w:left w:val="none" w:sz="0" w:space="0" w:color="auto"/>
                <w:bottom w:val="none" w:sz="0" w:space="0" w:color="auto"/>
                <w:right w:val="none" w:sz="0" w:space="0" w:color="auto"/>
              </w:divBdr>
              <w:divsChild>
                <w:div w:id="1307474927">
                  <w:marLeft w:val="0"/>
                  <w:marRight w:val="0"/>
                  <w:marTop w:val="0"/>
                  <w:marBottom w:val="0"/>
                  <w:divBdr>
                    <w:top w:val="none" w:sz="0" w:space="0" w:color="auto"/>
                    <w:left w:val="none" w:sz="0" w:space="0" w:color="auto"/>
                    <w:bottom w:val="none" w:sz="0" w:space="0" w:color="auto"/>
                    <w:right w:val="none" w:sz="0" w:space="0" w:color="auto"/>
                  </w:divBdr>
                  <w:divsChild>
                    <w:div w:id="742680148">
                      <w:marLeft w:val="0"/>
                      <w:marRight w:val="0"/>
                      <w:marTop w:val="0"/>
                      <w:marBottom w:val="0"/>
                      <w:divBdr>
                        <w:top w:val="none" w:sz="0" w:space="0" w:color="auto"/>
                        <w:left w:val="none" w:sz="0" w:space="0" w:color="auto"/>
                        <w:bottom w:val="none" w:sz="0" w:space="0" w:color="auto"/>
                        <w:right w:val="none" w:sz="0" w:space="0" w:color="auto"/>
                      </w:divBdr>
                    </w:div>
                  </w:divsChild>
                </w:div>
                <w:div w:id="493685346">
                  <w:marLeft w:val="0"/>
                  <w:marRight w:val="0"/>
                  <w:marTop w:val="0"/>
                  <w:marBottom w:val="0"/>
                  <w:divBdr>
                    <w:top w:val="none" w:sz="0" w:space="0" w:color="auto"/>
                    <w:left w:val="none" w:sz="0" w:space="0" w:color="auto"/>
                    <w:bottom w:val="none" w:sz="0" w:space="0" w:color="auto"/>
                    <w:right w:val="none" w:sz="0" w:space="0" w:color="auto"/>
                  </w:divBdr>
                  <w:divsChild>
                    <w:div w:id="822351524">
                      <w:marLeft w:val="0"/>
                      <w:marRight w:val="0"/>
                      <w:marTop w:val="0"/>
                      <w:marBottom w:val="0"/>
                      <w:divBdr>
                        <w:top w:val="none" w:sz="0" w:space="0" w:color="auto"/>
                        <w:left w:val="none" w:sz="0" w:space="0" w:color="auto"/>
                        <w:bottom w:val="none" w:sz="0" w:space="0" w:color="auto"/>
                        <w:right w:val="none" w:sz="0" w:space="0" w:color="auto"/>
                      </w:divBdr>
                    </w:div>
                  </w:divsChild>
                </w:div>
                <w:div w:id="1616910034">
                  <w:marLeft w:val="0"/>
                  <w:marRight w:val="0"/>
                  <w:marTop w:val="0"/>
                  <w:marBottom w:val="0"/>
                  <w:divBdr>
                    <w:top w:val="none" w:sz="0" w:space="0" w:color="auto"/>
                    <w:left w:val="none" w:sz="0" w:space="0" w:color="auto"/>
                    <w:bottom w:val="none" w:sz="0" w:space="0" w:color="auto"/>
                    <w:right w:val="none" w:sz="0" w:space="0" w:color="auto"/>
                  </w:divBdr>
                  <w:divsChild>
                    <w:div w:id="568393740">
                      <w:marLeft w:val="0"/>
                      <w:marRight w:val="0"/>
                      <w:marTop w:val="0"/>
                      <w:marBottom w:val="0"/>
                      <w:divBdr>
                        <w:top w:val="none" w:sz="0" w:space="0" w:color="auto"/>
                        <w:left w:val="none" w:sz="0" w:space="0" w:color="auto"/>
                        <w:bottom w:val="none" w:sz="0" w:space="0" w:color="auto"/>
                        <w:right w:val="none" w:sz="0" w:space="0" w:color="auto"/>
                      </w:divBdr>
                      <w:divsChild>
                        <w:div w:id="560093902">
                          <w:marLeft w:val="0"/>
                          <w:marRight w:val="0"/>
                          <w:marTop w:val="0"/>
                          <w:marBottom w:val="0"/>
                          <w:divBdr>
                            <w:top w:val="none" w:sz="0" w:space="0" w:color="auto"/>
                            <w:left w:val="none" w:sz="0" w:space="0" w:color="auto"/>
                            <w:bottom w:val="none" w:sz="0" w:space="0" w:color="auto"/>
                            <w:right w:val="none" w:sz="0" w:space="0" w:color="auto"/>
                          </w:divBdr>
                          <w:divsChild>
                            <w:div w:id="145294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2538</Words>
  <Characters>14470</Characters>
  <Application>Microsoft Office Word</Application>
  <DocSecurity>0</DocSecurity>
  <Lines>120</Lines>
  <Paragraphs>33</Paragraphs>
  <ScaleCrop>false</ScaleCrop>
  <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2026-09-29T05:19:00Z</dcterms:created>
  <dcterms:modified xsi:type="dcterms:W3CDTF">2026-09-29T05:22:00Z</dcterms:modified>
</cp:coreProperties>
</file>