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Encompass Webhook to SQL Server: Routing Options</w:t>
      </w:r>
    </w:p>
    <w:p>
      <w:pPr>
        <w:spacing w:after="360"/>
      </w:pPr>
      <w:r>
        <w:rPr>
          <w:i/>
          <w:iCs/>
          <w:color w:val="595959"/>
        </w:rPr>
        <w:t xml:space="preserve">Discussion draft for team brainstorm — Data Connect Migration (Encompass Webhook Integration)</w:t>
      </w:r>
    </w:p>
    <w:p>
      <w:pPr>
        <w:pStyle w:val="Heading1"/>
        <w:spacing w:after="160" w:before="360"/>
      </w:pPr>
      <w:r>
        <w:t xml:space="preserve">Context</w:t>
      </w:r>
    </w:p>
    <w:p>
      <w:pPr>
        <w:spacing w:after="160"/>
      </w:pPr>
      <w:r>
        <w:t xml:space="preserve">Encompass Developer Connect is moving from scheduled SDK polling (2000+ fields every 30 min, 35+ fields every 5 min) to real-time enhancedFieldChange webhooks. Wintrust's MuleSoft layer receives these events and forwards them into Confluent as a durable event log.</w:t>
      </w:r>
    </w:p>
    <w:p>
      <w:pPr>
        <w:spacing w:after="160"/>
      </w:pPr>
      <w:r>
        <w:t xml:space="preserve">Each webhook event carries a loan ID, a field ID, and a new value — it does not carry the target SQL Server table or column. That mapping (Encompass field → table.column) already exists implicitly in the current SDK integration and has now been extracted into an Excel mapping file. The question this document addresses: where and how should that field-to-table mapping and the resulting writes be applied between Confluent and SQL Server?</w:t>
      </w:r>
    </w:p>
    <w:p>
      <w:pPr>
        <w:spacing w:after="160"/>
      </w:pPr>
      <w:r>
        <w:t xml:space="preserve">Priority 1 is keeping existing downstream consumers (MERS, MDM, Stratmor, FIS IBS Loans, Workday Finance, reporting) running off SQL Server without disruption. Couchbase as an operational data store is priority 2 and can be added later as an independent sink off the same raw event stream, regardless of which option below is chosen.</w:t>
      </w:r>
    </w:p>
    <w:p>
      <w:pPr>
        <w:pStyle w:val="Heading1"/>
        <w:spacing w:after="160" w:before="360"/>
      </w:pPr>
      <w:r>
        <w:t xml:space="preserve">Common foundation (applies to all options)</w:t>
      </w:r>
    </w:p>
    <w:p>
      <w:pPr>
        <w:pStyle w:val="ListParagraph"/>
        <w:numPr>
          <w:ilvl w:val="0"/>
          <w:numId w:val="1"/>
        </w:numPr>
        <w:spacing w:after="80"/>
      </w:pPr>
      <w:r>
        <w:t xml:space="preserve">Land every raw webhook event immutably in a Confluent topic before any mapping is applied — this is the audit trail and replay source if the mapping logic ever needs correction.</w:t>
      </w:r>
    </w:p>
    <w:p>
      <w:pPr>
        <w:pStyle w:val="ListParagraph"/>
        <w:numPr>
          <w:ilvl w:val="0"/>
          <w:numId w:val="1"/>
        </w:numPr>
        <w:spacing w:after="80"/>
      </w:pPr>
      <w:r>
        <w:t xml:space="preserve">Maintain a field registry (Field ID → Target Table → Target Column → Data Type) seeded from the Excel mapping, as the single source of truth all options read from.</w:t>
      </w:r>
    </w:p>
    <w:p>
      <w:pPr>
        <w:pStyle w:val="ListParagraph"/>
        <w:numPr>
          <w:ilvl w:val="0"/>
          <w:numId w:val="1"/>
        </w:numPr>
        <w:spacing w:after="80"/>
      </w:pPr>
      <w:r>
        <w:t xml:space="preserve">Treat unmapped or unrecognized field IDs as exceptions to be logged and reviewed, never silently dropped or allowed to fail a whole batch.</w:t>
      </w:r>
    </w:p>
    <w:p>
      <w:pPr>
        <w:pStyle w:val="ListParagraph"/>
        <w:numPr>
          <w:ilvl w:val="0"/>
          <w:numId w:val="1"/>
        </w:numPr>
        <w:spacing w:after="80"/>
      </w:pPr>
      <w:r>
        <w:t xml:space="preserve">De-duplicate on event ID to handle webhook redelivery safely (idempotent writes).</w:t>
      </w:r>
    </w:p>
    <w:p>
      <w:pPr>
        <w:pStyle w:val="Heading1"/>
        <w:spacing w:after="60" w:before="480"/>
      </w:pPr>
      <w:r>
        <w:t xml:space="preserve">Option 1: Kafka-side routing (Streams / ksqlDB + per-table sinks)</w:t>
      </w:r>
    </w:p>
    <w:p>
      <w:pPr>
        <w:spacing w:after="200"/>
      </w:pPr>
      <w:r>
        <w:rPr>
          <w:i/>
          <w:iCs/>
          <w:color w:val="595959"/>
        </w:rPr>
        <w:t xml:space="preserve">Do the field → table mapping inside the streaming layer, before data reaches SQL Server.</w:t>
      </w:r>
    </w:p>
    <w:p>
      <w:pPr>
        <w:spacing w:after="160"/>
      </w:pPr>
      <w:r>
        <w:t xml:space="preserve">A stream processing app (Kafka Streams or ksqlDB) consumes the raw event topic, joins each event against the field registry (loaded as a KTable), and republishes it to a per-table topic (e.g. sql.fees, sql.keydates). Each per-table topic has its own Kafka Connect JDBC Sink connector running in upsert mode, so each connector only ever writes columns belonging to its own table.</w:t>
      </w:r>
    </w:p>
    <w:p>
      <w:pPr>
        <w:pStyle w:val="Heading2"/>
        <w:spacing w:after="120" w:before="280"/>
      </w:pPr>
      <w:r>
        <w:t xml:space="preserve">Pros</w:t>
      </w:r>
    </w:p>
    <w:p>
      <w:pPr>
        <w:pStyle w:val="ListParagraph"/>
        <w:numPr>
          <w:ilvl w:val="0"/>
          <w:numId w:val="1"/>
        </w:numPr>
        <w:spacing w:after="80"/>
      </w:pPr>
      <w:r>
        <w:t xml:space="preserve">Near real-time end to end; no batch window.</w:t>
      </w:r>
    </w:p>
    <w:p>
      <w:pPr>
        <w:pStyle w:val="ListParagraph"/>
        <w:numPr>
          <w:ilvl w:val="0"/>
          <w:numId w:val="1"/>
        </w:numPr>
        <w:spacing w:after="80"/>
      </w:pPr>
      <w:r>
        <w:t xml:space="preserve">Clean separation of concerns: mapping logic lives in the streaming layer, SQL Server only ever receives well-shaped, table-specific writes.</w:t>
      </w:r>
    </w:p>
    <w:p>
      <w:pPr>
        <w:pStyle w:val="ListParagraph"/>
        <w:numPr>
          <w:ilvl w:val="0"/>
          <w:numId w:val="1"/>
        </w:numPr>
        <w:spacing w:after="80"/>
      </w:pPr>
      <w:r>
        <w:t xml:space="preserve">Scales naturally as event volume grows — partitioned by loan ID, parallelizable.</w:t>
      </w:r>
    </w:p>
    <w:p>
      <w:pPr>
        <w:pStyle w:val="ListParagraph"/>
        <w:numPr>
          <w:ilvl w:val="0"/>
          <w:numId w:val="1"/>
        </w:numPr>
        <w:spacing w:after="80"/>
      </w:pPr>
      <w:r>
        <w:t xml:space="preserve">Adding a new target table later is a config change (new topic + new sink connector), not a rewrite of a monolithic job.</w:t>
      </w:r>
    </w:p>
    <w:p>
      <w:pPr>
        <w:pStyle w:val="Heading2"/>
        <w:spacing w:after="120" w:before="280"/>
      </w:pPr>
      <w:r>
        <w:t xml:space="preserve">Cons / risks</w:t>
      </w:r>
    </w:p>
    <w:p>
      <w:pPr>
        <w:pStyle w:val="ListParagraph"/>
        <w:numPr>
          <w:ilvl w:val="0"/>
          <w:numId w:val="1"/>
        </w:numPr>
        <w:spacing w:after="80"/>
      </w:pPr>
      <w:r>
        <w:t xml:space="preserve">Most new infrastructure to build and operate: a stream processing app plus one JDBC Sink connector per target table (17+ connectors today).</w:t>
      </w:r>
    </w:p>
    <w:p>
      <w:pPr>
        <w:pStyle w:val="ListParagraph"/>
        <w:numPr>
          <w:ilvl w:val="0"/>
          <w:numId w:val="1"/>
        </w:numPr>
        <w:spacing w:after="80"/>
      </w:pPr>
      <w:r>
        <w:t xml:space="preserve">Requires standing up a mechanism to keep the field registry synced into Kafka as a KTable (e.g. a CDC connector off the registry table).</w:t>
      </w:r>
    </w:p>
    <w:p>
      <w:pPr>
        <w:pStyle w:val="ListParagraph"/>
        <w:numPr>
          <w:ilvl w:val="0"/>
          <w:numId w:val="1"/>
        </w:numPr>
        <w:spacing w:after="80"/>
      </w:pPr>
      <w:r>
        <w:t xml:space="preserve">Steepest learning curve for the team if Kafka Streams/ksqlDB expertise is limited today.</w:t>
      </w:r>
    </w:p>
    <w:p>
      <w:pPr>
        <w:pStyle w:val="ListParagraph"/>
        <w:numPr>
          <w:ilvl w:val="0"/>
          <w:numId w:val="1"/>
        </w:numPr>
        <w:spacing w:after="80"/>
      </w:pPr>
      <w:r>
        <w:t xml:space="preserve">More moving parts to monitor: one stream app + N connectors, each a separate failure point.</w:t>
      </w:r>
    </w:p>
    <w:p>
      <w:pPr>
        <w:pStyle w:val="Heading2"/>
        <w:spacing w:after="120" w:before="280"/>
      </w:pPr>
      <w:r>
        <w:t xml:space="preserve">Dependency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44546A" w:color="auto" w:val="clear"/>
            <w:tcMar>
              <w:top w:type="dxa" w:w="100"/>
              <w:left w:type="dxa" w:w="120"/>
              <w:bottom w:type="dxa" w:w="100"/>
              <w:right w:type="dxa" w:w="120"/>
            </w:tcMar>
          </w:tcPr>
          <w:p>
            <w:r>
              <w:rPr>
                <w:b/>
                <w:bCs/>
                <w:color w:val="FFFFFF"/>
              </w:rPr>
              <w:t xml:space="preserve">Component</w:t>
            </w:r>
          </w:p>
        </w:tc>
        <w:tc>
          <w:tcPr>
            <w:tcW w:type="dxa" w:w="6880"/>
            <w:shd w:fill="44546A" w:color="auto" w:val="clear"/>
            <w:tcMar>
              <w:top w:type="dxa" w:w="100"/>
              <w:left w:type="dxa" w:w="120"/>
              <w:bottom w:type="dxa" w:w="100"/>
              <w:right w:type="dxa" w:w="120"/>
            </w:tcMar>
          </w:tcPr>
          <w:p>
            <w:r>
              <w:rPr>
                <w:b/>
                <w:bCs/>
                <w:color w:val="FFFFFF"/>
              </w:rPr>
              <w:t xml:space="preserve">Technology</w:t>
            </w:r>
          </w:p>
        </w:tc>
      </w:tr>
      <w:tr>
        <w:tc>
          <w:tcPr>
            <w:tcW w:type="dxa" w:w="3200"/>
            <w:shd w:fill="FFFFFF" w:color="auto" w:val="clear"/>
            <w:tcMar>
              <w:top w:type="dxa" w:w="100"/>
              <w:left w:type="dxa" w:w="120"/>
              <w:bottom w:type="dxa" w:w="100"/>
              <w:right w:type="dxa" w:w="120"/>
            </w:tcMar>
          </w:tcPr>
          <w:p>
            <w:r>
              <w:rPr>
                <w:b w:val="false"/>
                <w:bCs w:val="false"/>
              </w:rPr>
              <w:t xml:space="preserve">Streaming</w:t>
            </w:r>
          </w:p>
        </w:tc>
        <w:tc>
          <w:tcPr>
            <w:tcW w:type="dxa" w:w="6880"/>
            <w:shd w:fill="FFFFFF" w:color="auto" w:val="clear"/>
            <w:tcMar>
              <w:top w:type="dxa" w:w="100"/>
              <w:left w:type="dxa" w:w="120"/>
              <w:bottom w:type="dxa" w:w="100"/>
              <w:right w:type="dxa" w:w="120"/>
            </w:tcMar>
          </w:tcPr>
          <w:p>
            <w:r>
              <w:rPr>
                <w:b w:val="false"/>
                <w:bCs w:val="false"/>
              </w:rPr>
              <w:t xml:space="preserve">Confluent Kafka, Kafka Streams or ksqlDB</w:t>
            </w:r>
          </w:p>
        </w:tc>
      </w:tr>
      <w:tr>
        <w:tc>
          <w:tcPr>
            <w:tcW w:type="dxa" w:w="3200"/>
            <w:shd w:fill="F2F2F2" w:color="auto" w:val="clear"/>
            <w:tcMar>
              <w:top w:type="dxa" w:w="100"/>
              <w:left w:type="dxa" w:w="120"/>
              <w:bottom w:type="dxa" w:w="100"/>
              <w:right w:type="dxa" w:w="120"/>
            </w:tcMar>
          </w:tcPr>
          <w:p>
            <w:r>
              <w:rPr>
                <w:b w:val="false"/>
                <w:bCs w:val="false"/>
              </w:rPr>
              <w:t xml:space="preserve">Sink</w:t>
            </w:r>
          </w:p>
        </w:tc>
        <w:tc>
          <w:tcPr>
            <w:tcW w:type="dxa" w:w="6880"/>
            <w:shd w:fill="F2F2F2" w:color="auto" w:val="clear"/>
            <w:tcMar>
              <w:top w:type="dxa" w:w="100"/>
              <w:left w:type="dxa" w:w="120"/>
              <w:bottom w:type="dxa" w:w="100"/>
              <w:right w:type="dxa" w:w="120"/>
            </w:tcMar>
          </w:tcPr>
          <w:p>
            <w:r>
              <w:rPr>
                <w:b w:val="false"/>
                <w:bCs w:val="false"/>
              </w:rPr>
              <w:t xml:space="preserve">Kafka Connect JDBC Sink connector (one per target table)</w:t>
            </w:r>
          </w:p>
        </w:tc>
      </w:tr>
      <w:tr>
        <w:tc>
          <w:tcPr>
            <w:tcW w:type="dxa" w:w="3200"/>
            <w:shd w:fill="FFFFFF" w:color="auto" w:val="clear"/>
            <w:tcMar>
              <w:top w:type="dxa" w:w="100"/>
              <w:left w:type="dxa" w:w="120"/>
              <w:bottom w:type="dxa" w:w="100"/>
              <w:right w:type="dxa" w:w="120"/>
            </w:tcMar>
          </w:tcPr>
          <w:p>
            <w:r>
              <w:rPr>
                <w:b w:val="false"/>
                <w:bCs w:val="false"/>
              </w:rPr>
              <w:t xml:space="preserve">Registry sync</w:t>
            </w:r>
          </w:p>
        </w:tc>
        <w:tc>
          <w:tcPr>
            <w:tcW w:type="dxa" w:w="6880"/>
            <w:shd w:fill="FFFFFF" w:color="auto" w:val="clear"/>
            <w:tcMar>
              <w:top w:type="dxa" w:w="100"/>
              <w:left w:type="dxa" w:w="120"/>
              <w:bottom w:type="dxa" w:w="100"/>
              <w:right w:type="dxa" w:w="120"/>
            </w:tcMar>
          </w:tcPr>
          <w:p>
            <w:r>
              <w:rPr>
                <w:b w:val="false"/>
                <w:bCs w:val="false"/>
              </w:rPr>
              <w:t xml:space="preserve">CDC connector (e.g. Debezium) or manual topic publish from the registry table</w:t>
            </w:r>
          </w:p>
        </w:tc>
      </w:tr>
      <w:tr>
        <w:tc>
          <w:tcPr>
            <w:tcW w:type="dxa" w:w="3200"/>
            <w:shd w:fill="F2F2F2" w:color="auto" w:val="clear"/>
            <w:tcMar>
              <w:top w:type="dxa" w:w="100"/>
              <w:left w:type="dxa" w:w="120"/>
              <w:bottom w:type="dxa" w:w="100"/>
              <w:right w:type="dxa" w:w="120"/>
            </w:tcMar>
          </w:tcPr>
          <w:p>
            <w:r>
              <w:rPr>
                <w:b w:val="false"/>
                <w:bCs w:val="false"/>
              </w:rPr>
              <w:t xml:space="preserve">Target store</w:t>
            </w:r>
          </w:p>
        </w:tc>
        <w:tc>
          <w:tcPr>
            <w:tcW w:type="dxa" w:w="6880"/>
            <w:shd w:fill="F2F2F2" w:color="auto" w:val="clear"/>
            <w:tcMar>
              <w:top w:type="dxa" w:w="100"/>
              <w:left w:type="dxa" w:w="120"/>
              <w:bottom w:type="dxa" w:w="100"/>
              <w:right w:type="dxa" w:w="120"/>
            </w:tcMar>
          </w:tcPr>
          <w:p>
            <w:r>
              <w:rPr>
                <w:b w:val="false"/>
                <w:bCs w:val="false"/>
              </w:rPr>
              <w:t xml:space="preserve">SQL Server (existing schema, unchanged)</w:t>
            </w:r>
          </w:p>
        </w:tc>
      </w:tr>
      <w:tr>
        <w:tc>
          <w:tcPr>
            <w:tcW w:type="dxa" w:w="3200"/>
            <w:shd w:fill="FFFFFF" w:color="auto" w:val="clear"/>
            <w:tcMar>
              <w:top w:type="dxa" w:w="100"/>
              <w:left w:type="dxa" w:w="120"/>
              <w:bottom w:type="dxa" w:w="100"/>
              <w:right w:type="dxa" w:w="120"/>
            </w:tcMar>
          </w:tcPr>
          <w:p>
            <w:r>
              <w:rPr>
                <w:b w:val="false"/>
                <w:bCs w:val="false"/>
              </w:rPr>
              <w:t xml:space="preserve">Team skill needed</w:t>
            </w:r>
          </w:p>
        </w:tc>
        <w:tc>
          <w:tcPr>
            <w:tcW w:type="dxa" w:w="6880"/>
            <w:shd w:fill="FFFFFF" w:color="auto" w:val="clear"/>
            <w:tcMar>
              <w:top w:type="dxa" w:w="100"/>
              <w:left w:type="dxa" w:w="120"/>
              <w:bottom w:type="dxa" w:w="100"/>
              <w:right w:type="dxa" w:w="120"/>
            </w:tcMar>
          </w:tcPr>
          <w:p>
            <w:r>
              <w:rPr>
                <w:b w:val="false"/>
                <w:bCs w:val="false"/>
              </w:rPr>
              <w:t xml:space="preserve">Kafka Streams / ksqlDB development</w:t>
            </w:r>
          </w:p>
        </w:tc>
      </w:tr>
    </w:tbl>
    <w:p>
      <w:pPr>
        <w:pStyle w:val="Heading1"/>
        <w:spacing w:after="60" w:before="480"/>
      </w:pPr>
      <w:r>
        <w:t xml:space="preserve">Option 2: SQL Server-side routing (staging table + T-SQL merge)</w:t>
      </w:r>
    </w:p>
    <w:p>
      <w:pPr>
        <w:spacing w:after="200"/>
      </w:pPr>
      <w:r>
        <w:rPr>
          <w:i/>
          <w:iCs/>
          <w:color w:val="595959"/>
        </w:rPr>
        <w:t xml:space="preserve">Land raw events in one generic table and let SQL Server own the mapping and the writes.</w:t>
      </w:r>
    </w:p>
    <w:p>
      <w:pPr>
        <w:spacing w:after="160"/>
      </w:pPr>
      <w:r>
        <w:t xml:space="preserve">A single JDBC Sink connector writes every raw event, unmapped, into one generic staging table (LoanId, FieldId, FieldValue, EventId, EventTimestamp). A SQL-side process — either a scheduled micro-batch job (SQL Agent / Azure Function every 10–30 seconds) or an AFTER INSERT trigger — joins staging rows against the field registry table and runs a dynamic MERGE per target table to apply the changes.</w:t>
      </w:r>
    </w:p>
    <w:p>
      <w:pPr>
        <w:pStyle w:val="Heading2"/>
        <w:spacing w:after="120" w:before="280"/>
      </w:pPr>
      <w:r>
        <w:t xml:space="preserve">Pros</w:t>
      </w:r>
    </w:p>
    <w:p>
      <w:pPr>
        <w:pStyle w:val="ListParagraph"/>
        <w:numPr>
          <w:ilvl w:val="0"/>
          <w:numId w:val="1"/>
        </w:numPr>
        <w:spacing w:after="80"/>
      </w:pPr>
      <w:r>
        <w:t xml:space="preserve">Simplest Kafka footprint: one connector, no stream processing app, no per-table topics.</w:t>
      </w:r>
    </w:p>
    <w:p>
      <w:pPr>
        <w:pStyle w:val="ListParagraph"/>
        <w:numPr>
          <w:ilvl w:val="0"/>
          <w:numId w:val="1"/>
        </w:numPr>
        <w:spacing w:after="80"/>
      </w:pPr>
      <w:r>
        <w:t xml:space="preserve">Mapping and merge logic lives in T-SQL, where the team already has deep skill.</w:t>
      </w:r>
    </w:p>
    <w:p>
      <w:pPr>
        <w:pStyle w:val="ListParagraph"/>
        <w:numPr>
          <w:ilvl w:val="0"/>
          <w:numId w:val="1"/>
        </w:numPr>
        <w:spacing w:after="80"/>
      </w:pPr>
      <w:r>
        <w:t xml:space="preserve">Everything is inspectable with ordinary SQL — easy to debug, easy to replay a table by re-running the merge against staging history.</w:t>
      </w:r>
    </w:p>
    <w:p>
      <w:pPr>
        <w:pStyle w:val="ListParagraph"/>
        <w:numPr>
          <w:ilvl w:val="0"/>
          <w:numId w:val="1"/>
        </w:numPr>
        <w:spacing w:after="80"/>
      </w:pPr>
      <w:r>
        <w:t xml:space="preserve">Fastest path to a working v1 given the priority of keeping SQL Server current.</w:t>
      </w:r>
    </w:p>
    <w:p>
      <w:pPr>
        <w:pStyle w:val="Heading2"/>
        <w:spacing w:after="120" w:before="280"/>
      </w:pPr>
      <w:r>
        <w:t xml:space="preserve">Cons / risks</w:t>
      </w:r>
    </w:p>
    <w:p>
      <w:pPr>
        <w:pStyle w:val="ListParagraph"/>
        <w:numPr>
          <w:ilvl w:val="0"/>
          <w:numId w:val="1"/>
        </w:numPr>
        <w:spacing w:after="80"/>
      </w:pPr>
      <w:r>
        <w:t xml:space="preserve">Near-real-time, not real-time — micro-batch introduces a small latency window (seconds, not milliseconds).</w:t>
      </w:r>
    </w:p>
    <w:p>
      <w:pPr>
        <w:pStyle w:val="ListParagraph"/>
        <w:numPr>
          <w:ilvl w:val="0"/>
          <w:numId w:val="1"/>
        </w:numPr>
        <w:spacing w:after="80"/>
      </w:pPr>
      <w:r>
        <w:t xml:space="preserve">Dynamic SQL (table/column names resolved at runtime) needs careful guardrails — must always resolve through the registry, never build SQL from the raw field name directly.</w:t>
      </w:r>
    </w:p>
    <w:p>
      <w:pPr>
        <w:pStyle w:val="ListParagraph"/>
        <w:numPr>
          <w:ilvl w:val="0"/>
          <w:numId w:val="1"/>
        </w:numPr>
        <w:spacing w:after="80"/>
      </w:pPr>
      <w:r>
        <w:t xml:space="preserve">Trigger-based version adds per-write overhead on the staging table and needs load testing at peak event volume across all 16 banks.</w:t>
      </w:r>
    </w:p>
    <w:p>
      <w:pPr>
        <w:pStyle w:val="ListParagraph"/>
        <w:numPr>
          <w:ilvl w:val="0"/>
          <w:numId w:val="1"/>
        </w:numPr>
        <w:spacing w:after="80"/>
      </w:pPr>
      <w:r>
        <w:t xml:space="preserve">Business logic (mapping, batching, exception handling) lives in stored procedures/jobs rather than a testable application codebase, which can be harder to unit test and version.</w:t>
      </w:r>
    </w:p>
    <w:p>
      <w:pPr>
        <w:pStyle w:val="Heading2"/>
        <w:spacing w:after="120" w:before="280"/>
      </w:pPr>
      <w:r>
        <w:t xml:space="preserve">Dependency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44546A" w:color="auto" w:val="clear"/>
            <w:tcMar>
              <w:top w:type="dxa" w:w="100"/>
              <w:left w:type="dxa" w:w="120"/>
              <w:bottom w:type="dxa" w:w="100"/>
              <w:right w:type="dxa" w:w="120"/>
            </w:tcMar>
          </w:tcPr>
          <w:p>
            <w:r>
              <w:rPr>
                <w:b/>
                <w:bCs/>
                <w:color w:val="FFFFFF"/>
              </w:rPr>
              <w:t xml:space="preserve">Component</w:t>
            </w:r>
          </w:p>
        </w:tc>
        <w:tc>
          <w:tcPr>
            <w:tcW w:type="dxa" w:w="6880"/>
            <w:shd w:fill="44546A" w:color="auto" w:val="clear"/>
            <w:tcMar>
              <w:top w:type="dxa" w:w="100"/>
              <w:left w:type="dxa" w:w="120"/>
              <w:bottom w:type="dxa" w:w="100"/>
              <w:right w:type="dxa" w:w="120"/>
            </w:tcMar>
          </w:tcPr>
          <w:p>
            <w:r>
              <w:rPr>
                <w:b/>
                <w:bCs/>
                <w:color w:val="FFFFFF"/>
              </w:rPr>
              <w:t xml:space="preserve">Technology</w:t>
            </w:r>
          </w:p>
        </w:tc>
      </w:tr>
      <w:tr>
        <w:tc>
          <w:tcPr>
            <w:tcW w:type="dxa" w:w="3200"/>
            <w:shd w:fill="FFFFFF" w:color="auto" w:val="clear"/>
            <w:tcMar>
              <w:top w:type="dxa" w:w="100"/>
              <w:left w:type="dxa" w:w="120"/>
              <w:bottom w:type="dxa" w:w="100"/>
              <w:right w:type="dxa" w:w="120"/>
            </w:tcMar>
          </w:tcPr>
          <w:p>
            <w:r>
              <w:rPr>
                <w:b w:val="false"/>
                <w:bCs w:val="false"/>
              </w:rPr>
              <w:t xml:space="preserve">Streaming</w:t>
            </w:r>
          </w:p>
        </w:tc>
        <w:tc>
          <w:tcPr>
            <w:tcW w:type="dxa" w:w="6880"/>
            <w:shd w:fill="FFFFFF" w:color="auto" w:val="clear"/>
            <w:tcMar>
              <w:top w:type="dxa" w:w="100"/>
              <w:left w:type="dxa" w:w="120"/>
              <w:bottom w:type="dxa" w:w="100"/>
              <w:right w:type="dxa" w:w="120"/>
            </w:tcMar>
          </w:tcPr>
          <w:p>
            <w:r>
              <w:rPr>
                <w:b w:val="false"/>
                <w:bCs w:val="false"/>
              </w:rPr>
              <w:t xml:space="preserve">Confluent Kafka (transport only, no processing logic)</w:t>
            </w:r>
          </w:p>
        </w:tc>
      </w:tr>
      <w:tr>
        <w:tc>
          <w:tcPr>
            <w:tcW w:type="dxa" w:w="3200"/>
            <w:shd w:fill="F2F2F2" w:color="auto" w:val="clear"/>
            <w:tcMar>
              <w:top w:type="dxa" w:w="100"/>
              <w:left w:type="dxa" w:w="120"/>
              <w:bottom w:type="dxa" w:w="100"/>
              <w:right w:type="dxa" w:w="120"/>
            </w:tcMar>
          </w:tcPr>
          <w:p>
            <w:r>
              <w:rPr>
                <w:b w:val="false"/>
                <w:bCs w:val="false"/>
              </w:rPr>
              <w:t xml:space="preserve">Sink</w:t>
            </w:r>
          </w:p>
        </w:tc>
        <w:tc>
          <w:tcPr>
            <w:tcW w:type="dxa" w:w="6880"/>
            <w:shd w:fill="F2F2F2" w:color="auto" w:val="clear"/>
            <w:tcMar>
              <w:top w:type="dxa" w:w="100"/>
              <w:left w:type="dxa" w:w="120"/>
              <w:bottom w:type="dxa" w:w="100"/>
              <w:right w:type="dxa" w:w="120"/>
            </w:tcMar>
          </w:tcPr>
          <w:p>
            <w:r>
              <w:rPr>
                <w:b w:val="false"/>
                <w:bCs w:val="false"/>
              </w:rPr>
              <w:t xml:space="preserve">Kafka Connect JDBC Sink connector (single, generic staging table)</w:t>
            </w:r>
          </w:p>
        </w:tc>
      </w:tr>
      <w:tr>
        <w:tc>
          <w:tcPr>
            <w:tcW w:type="dxa" w:w="3200"/>
            <w:shd w:fill="FFFFFF" w:color="auto" w:val="clear"/>
            <w:tcMar>
              <w:top w:type="dxa" w:w="100"/>
              <w:left w:type="dxa" w:w="120"/>
              <w:bottom w:type="dxa" w:w="100"/>
              <w:right w:type="dxa" w:w="120"/>
            </w:tcMar>
          </w:tcPr>
          <w:p>
            <w:r>
              <w:rPr>
                <w:b w:val="false"/>
                <w:bCs w:val="false"/>
              </w:rPr>
              <w:t xml:space="preserve">Routing/merge</w:t>
            </w:r>
          </w:p>
        </w:tc>
        <w:tc>
          <w:tcPr>
            <w:tcW w:type="dxa" w:w="6880"/>
            <w:shd w:fill="FFFFFF" w:color="auto" w:val="clear"/>
            <w:tcMar>
              <w:top w:type="dxa" w:w="100"/>
              <w:left w:type="dxa" w:w="120"/>
              <w:bottom w:type="dxa" w:w="100"/>
              <w:right w:type="dxa" w:w="120"/>
            </w:tcMar>
          </w:tcPr>
          <w:p>
            <w:r>
              <w:rPr>
                <w:b w:val="false"/>
                <w:bCs w:val="false"/>
              </w:rPr>
              <w:t xml:space="preserve">T-SQL stored procedures, SQL Agent job or Azure Function (scheduler), or AFTER INSERT trigger</w:t>
            </w:r>
          </w:p>
        </w:tc>
      </w:tr>
      <w:tr>
        <w:tc>
          <w:tcPr>
            <w:tcW w:type="dxa" w:w="3200"/>
            <w:shd w:fill="F2F2F2" w:color="auto" w:val="clear"/>
            <w:tcMar>
              <w:top w:type="dxa" w:w="100"/>
              <w:left w:type="dxa" w:w="120"/>
              <w:bottom w:type="dxa" w:w="100"/>
              <w:right w:type="dxa" w:w="120"/>
            </w:tcMar>
          </w:tcPr>
          <w:p>
            <w:r>
              <w:rPr>
                <w:b w:val="false"/>
                <w:bCs w:val="false"/>
              </w:rPr>
              <w:t xml:space="preserve">Target store</w:t>
            </w:r>
          </w:p>
        </w:tc>
        <w:tc>
          <w:tcPr>
            <w:tcW w:type="dxa" w:w="6880"/>
            <w:shd w:fill="F2F2F2" w:color="auto" w:val="clear"/>
            <w:tcMar>
              <w:top w:type="dxa" w:w="100"/>
              <w:left w:type="dxa" w:w="120"/>
              <w:bottom w:type="dxa" w:w="100"/>
              <w:right w:type="dxa" w:w="120"/>
            </w:tcMar>
          </w:tcPr>
          <w:p>
            <w:r>
              <w:rPr>
                <w:b w:val="false"/>
                <w:bCs w:val="false"/>
              </w:rPr>
              <w:t xml:space="preserve">SQL Server (existing schema, unchanged)</w:t>
            </w:r>
          </w:p>
        </w:tc>
      </w:tr>
      <w:tr>
        <w:tc>
          <w:tcPr>
            <w:tcW w:type="dxa" w:w="3200"/>
            <w:shd w:fill="FFFFFF" w:color="auto" w:val="clear"/>
            <w:tcMar>
              <w:top w:type="dxa" w:w="100"/>
              <w:left w:type="dxa" w:w="120"/>
              <w:bottom w:type="dxa" w:w="100"/>
              <w:right w:type="dxa" w:w="120"/>
            </w:tcMar>
          </w:tcPr>
          <w:p>
            <w:r>
              <w:rPr>
                <w:b w:val="false"/>
                <w:bCs w:val="false"/>
              </w:rPr>
              <w:t xml:space="preserve">Team skill needed</w:t>
            </w:r>
          </w:p>
        </w:tc>
        <w:tc>
          <w:tcPr>
            <w:tcW w:type="dxa" w:w="6880"/>
            <w:shd w:fill="FFFFFF" w:color="auto" w:val="clear"/>
            <w:tcMar>
              <w:top w:type="dxa" w:w="100"/>
              <w:left w:type="dxa" w:w="120"/>
              <w:bottom w:type="dxa" w:w="100"/>
              <w:right w:type="dxa" w:w="120"/>
            </w:tcMar>
          </w:tcPr>
          <w:p>
            <w:r>
              <w:rPr>
                <w:b w:val="false"/>
                <w:bCs w:val="false"/>
              </w:rPr>
              <w:t xml:space="preserve">T-SQL, SQL Server job scheduling</w:t>
            </w:r>
          </w:p>
        </w:tc>
      </w:tr>
    </w:tbl>
    <w:p>
      <w:pPr>
        <w:pStyle w:val="Heading1"/>
        <w:spacing w:after="60" w:before="480"/>
      </w:pPr>
      <w:r>
        <w:t xml:space="preserve">Option 3: Python consumer service</w:t>
      </w:r>
    </w:p>
    <w:p>
      <w:pPr>
        <w:spacing w:after="200"/>
      </w:pPr>
      <w:r>
        <w:rPr>
          <w:i/>
          <w:iCs/>
          <w:color w:val="595959"/>
        </w:rPr>
        <w:t xml:space="preserve">Replace both the streaming app and the SQL job with one Python process that consumes, maps, and writes.</w:t>
      </w:r>
    </w:p>
    <w:p>
      <w:pPr>
        <w:spacing w:after="160"/>
      </w:pPr>
      <w:r>
        <w:t xml:space="preserve">A Python service subscribes directly to the raw Confluent topic (confluent-kafka client), loads the field registry into memory, batches incoming events by target table, and writes to SQL Server using parameterized queries (pyodbc / fast_executemany) — table and column names always resolved from the registry, values always bound as parameters. Kafka offsets are committed manually, only after a successful SQL write, so failures are safely retried. Because Wintrust already runs Stonebranch for scheduling, this can run as a short-lived job (poll for a bounded window, process, commit, exit) triggered on a schedule rather than as a new always-on service.</w:t>
      </w:r>
    </w:p>
    <w:p>
      <w:pPr>
        <w:pStyle w:val="Heading2"/>
        <w:spacing w:after="120" w:before="280"/>
      </w:pPr>
      <w:r>
        <w:t xml:space="preserve">Pros</w:t>
      </w:r>
    </w:p>
    <w:p>
      <w:pPr>
        <w:pStyle w:val="ListParagraph"/>
        <w:numPr>
          <w:ilvl w:val="0"/>
          <w:numId w:val="1"/>
        </w:numPr>
        <w:spacing w:after="80"/>
      </w:pPr>
      <w:r>
        <w:t xml:space="preserve">One codebase owns the whole pipeline (consume → map → write) — easier to reason about, test, and version than logic split across Kafka config and SQL jobs.</w:t>
      </w:r>
    </w:p>
    <w:p>
      <w:pPr>
        <w:pStyle w:val="ListParagraph"/>
        <w:numPr>
          <w:ilvl w:val="0"/>
          <w:numId w:val="1"/>
        </w:numPr>
        <w:spacing w:after="80"/>
      </w:pPr>
      <w:r>
        <w:t xml:space="preserve">Parameterized queries from application code sidestep dynamic-SQL risk more directly than building MERGE statements in T-SQL.</w:t>
      </w:r>
    </w:p>
    <w:p>
      <w:pPr>
        <w:pStyle w:val="ListParagraph"/>
        <w:numPr>
          <w:ilvl w:val="0"/>
          <w:numId w:val="1"/>
        </w:numPr>
        <w:spacing w:after="80"/>
      </w:pPr>
      <w:r>
        <w:t xml:space="preserve">Can reuse existing Stonebranch scheduling instead of introducing a new always-on service to operate and monitor.</w:t>
      </w:r>
    </w:p>
    <w:p>
      <w:pPr>
        <w:pStyle w:val="ListParagraph"/>
        <w:numPr>
          <w:ilvl w:val="0"/>
          <w:numId w:val="1"/>
        </w:numPr>
        <w:spacing w:after="80"/>
      </w:pPr>
      <w:r>
        <w:t xml:space="preserve">Straightforward to extend: the same consumer pattern can later feed a Couchbase sink with shared mapping/validation logic.</w:t>
      </w:r>
    </w:p>
    <w:p>
      <w:pPr>
        <w:pStyle w:val="Heading2"/>
        <w:spacing w:after="120" w:before="280"/>
      </w:pPr>
      <w:r>
        <w:t xml:space="preserve">Cons / risks</w:t>
      </w:r>
    </w:p>
    <w:p>
      <w:pPr>
        <w:pStyle w:val="ListParagraph"/>
        <w:numPr>
          <w:ilvl w:val="0"/>
          <w:numId w:val="1"/>
        </w:numPr>
        <w:spacing w:after="80"/>
      </w:pPr>
      <w:r>
        <w:t xml:space="preserve">Introduces a new codebase and deployment artifact the team must own (dependencies, secrets/config management, error alerting).</w:t>
      </w:r>
    </w:p>
    <w:p>
      <w:pPr>
        <w:pStyle w:val="ListParagraph"/>
        <w:numPr>
          <w:ilvl w:val="0"/>
          <w:numId w:val="1"/>
        </w:numPr>
        <w:spacing w:after="80"/>
      </w:pPr>
      <w:r>
        <w:t xml:space="preserve">Manual offset management and batch-by-table logic need to be built and tested carefully to guarantee at-least-once delivery without double-applying events.</w:t>
      </w:r>
    </w:p>
    <w:p>
      <w:pPr>
        <w:pStyle w:val="ListParagraph"/>
        <w:numPr>
          <w:ilvl w:val="0"/>
          <w:numId w:val="1"/>
        </w:numPr>
        <w:spacing w:after="80"/>
      </w:pPr>
      <w:r>
        <w:t xml:space="preserve">If run as a scheduled short-lived job rather than an always-on consumer, there's a design choice to make around exactly-once vs. at-least-once semantics on each run boundary.</w:t>
      </w:r>
    </w:p>
    <w:p>
      <w:pPr>
        <w:pStyle w:val="ListParagraph"/>
        <w:numPr>
          <w:ilvl w:val="0"/>
          <w:numId w:val="1"/>
        </w:numPr>
        <w:spacing w:after="80"/>
      </w:pPr>
      <w:r>
        <w:t xml:space="preserve">Less “native” to the Kafka/Confluent ecosystem than Kafka Connect — no free connector monitoring/UI; observability has to be built or wired into existing tooling.</w:t>
      </w:r>
    </w:p>
    <w:p>
      <w:pPr>
        <w:pStyle w:val="Heading2"/>
        <w:spacing w:after="120" w:before="280"/>
      </w:pPr>
      <w:r>
        <w:t xml:space="preserve">Dependency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44546A" w:color="auto" w:val="clear"/>
            <w:tcMar>
              <w:top w:type="dxa" w:w="100"/>
              <w:left w:type="dxa" w:w="120"/>
              <w:bottom w:type="dxa" w:w="100"/>
              <w:right w:type="dxa" w:w="120"/>
            </w:tcMar>
          </w:tcPr>
          <w:p>
            <w:r>
              <w:rPr>
                <w:b/>
                <w:bCs/>
                <w:color w:val="FFFFFF"/>
              </w:rPr>
              <w:t xml:space="preserve">Component</w:t>
            </w:r>
          </w:p>
        </w:tc>
        <w:tc>
          <w:tcPr>
            <w:tcW w:type="dxa" w:w="6880"/>
            <w:shd w:fill="44546A" w:color="auto" w:val="clear"/>
            <w:tcMar>
              <w:top w:type="dxa" w:w="100"/>
              <w:left w:type="dxa" w:w="120"/>
              <w:bottom w:type="dxa" w:w="100"/>
              <w:right w:type="dxa" w:w="120"/>
            </w:tcMar>
          </w:tcPr>
          <w:p>
            <w:r>
              <w:rPr>
                <w:b/>
                <w:bCs/>
                <w:color w:val="FFFFFF"/>
              </w:rPr>
              <w:t xml:space="preserve">Technology</w:t>
            </w:r>
          </w:p>
        </w:tc>
      </w:tr>
      <w:tr>
        <w:tc>
          <w:tcPr>
            <w:tcW w:type="dxa" w:w="3200"/>
            <w:shd w:fill="FFFFFF" w:color="auto" w:val="clear"/>
            <w:tcMar>
              <w:top w:type="dxa" w:w="100"/>
              <w:left w:type="dxa" w:w="120"/>
              <w:bottom w:type="dxa" w:w="100"/>
              <w:right w:type="dxa" w:w="120"/>
            </w:tcMar>
          </w:tcPr>
          <w:p>
            <w:r>
              <w:rPr>
                <w:b w:val="false"/>
                <w:bCs w:val="false"/>
              </w:rPr>
              <w:t xml:space="preserve">Streaming client</w:t>
            </w:r>
          </w:p>
        </w:tc>
        <w:tc>
          <w:tcPr>
            <w:tcW w:type="dxa" w:w="6880"/>
            <w:shd w:fill="FFFFFF" w:color="auto" w:val="clear"/>
            <w:tcMar>
              <w:top w:type="dxa" w:w="100"/>
              <w:left w:type="dxa" w:w="120"/>
              <w:bottom w:type="dxa" w:w="100"/>
              <w:right w:type="dxa" w:w="120"/>
            </w:tcMar>
          </w:tcPr>
          <w:p>
            <w:r>
              <w:rPr>
                <w:b w:val="false"/>
                <w:bCs w:val="false"/>
              </w:rPr>
              <w:t xml:space="preserve">confluent-kafka (Python)</w:t>
            </w:r>
          </w:p>
        </w:tc>
      </w:tr>
      <w:tr>
        <w:tc>
          <w:tcPr>
            <w:tcW w:type="dxa" w:w="3200"/>
            <w:shd w:fill="F2F2F2" w:color="auto" w:val="clear"/>
            <w:tcMar>
              <w:top w:type="dxa" w:w="100"/>
              <w:left w:type="dxa" w:w="120"/>
              <w:bottom w:type="dxa" w:w="100"/>
              <w:right w:type="dxa" w:w="120"/>
            </w:tcMar>
          </w:tcPr>
          <w:p>
            <w:r>
              <w:rPr>
                <w:b w:val="false"/>
                <w:bCs w:val="false"/>
              </w:rPr>
              <w:t xml:space="preserve">DB driver</w:t>
            </w:r>
          </w:p>
        </w:tc>
        <w:tc>
          <w:tcPr>
            <w:tcW w:type="dxa" w:w="6880"/>
            <w:shd w:fill="F2F2F2" w:color="auto" w:val="clear"/>
            <w:tcMar>
              <w:top w:type="dxa" w:w="100"/>
              <w:left w:type="dxa" w:w="120"/>
              <w:bottom w:type="dxa" w:w="100"/>
              <w:right w:type="dxa" w:w="120"/>
            </w:tcMar>
          </w:tcPr>
          <w:p>
            <w:r>
              <w:rPr>
                <w:b w:val="false"/>
                <w:bCs w:val="false"/>
              </w:rPr>
              <w:t xml:space="preserve">pyodbc or pymssql (parameterized writes, fast_executemany)</w:t>
            </w:r>
          </w:p>
        </w:tc>
      </w:tr>
      <w:tr>
        <w:tc>
          <w:tcPr>
            <w:tcW w:type="dxa" w:w="3200"/>
            <w:shd w:fill="FFFFFF" w:color="auto" w:val="clear"/>
            <w:tcMar>
              <w:top w:type="dxa" w:w="100"/>
              <w:left w:type="dxa" w:w="120"/>
              <w:bottom w:type="dxa" w:w="100"/>
              <w:right w:type="dxa" w:w="120"/>
            </w:tcMar>
          </w:tcPr>
          <w:p>
            <w:r>
              <w:rPr>
                <w:b w:val="false"/>
                <w:bCs w:val="false"/>
              </w:rPr>
              <w:t xml:space="preserve">Scheduling</w:t>
            </w:r>
          </w:p>
        </w:tc>
        <w:tc>
          <w:tcPr>
            <w:tcW w:type="dxa" w:w="6880"/>
            <w:shd w:fill="FFFFFF" w:color="auto" w:val="clear"/>
            <w:tcMar>
              <w:top w:type="dxa" w:w="100"/>
              <w:left w:type="dxa" w:w="120"/>
              <w:bottom w:type="dxa" w:w="100"/>
              <w:right w:type="dxa" w:w="120"/>
            </w:tcMar>
          </w:tcPr>
          <w:p>
            <w:r>
              <w:rPr>
                <w:b w:val="false"/>
                <w:bCs w:val="false"/>
              </w:rPr>
              <w:t xml:space="preserve">Stonebranch (existing), or a lightweight always-on service</w:t>
            </w:r>
          </w:p>
        </w:tc>
      </w:tr>
      <w:tr>
        <w:tc>
          <w:tcPr>
            <w:tcW w:type="dxa" w:w="3200"/>
            <w:shd w:fill="F2F2F2" w:color="auto" w:val="clear"/>
            <w:tcMar>
              <w:top w:type="dxa" w:w="100"/>
              <w:left w:type="dxa" w:w="120"/>
              <w:bottom w:type="dxa" w:w="100"/>
              <w:right w:type="dxa" w:w="120"/>
            </w:tcMar>
          </w:tcPr>
          <w:p>
            <w:r>
              <w:rPr>
                <w:b w:val="false"/>
                <w:bCs w:val="false"/>
              </w:rPr>
              <w:t xml:space="preserve">Registry source</w:t>
            </w:r>
          </w:p>
        </w:tc>
        <w:tc>
          <w:tcPr>
            <w:tcW w:type="dxa" w:w="6880"/>
            <w:shd w:fill="F2F2F2" w:color="auto" w:val="clear"/>
            <w:tcMar>
              <w:top w:type="dxa" w:w="100"/>
              <w:left w:type="dxa" w:w="120"/>
              <w:bottom w:type="dxa" w:w="100"/>
              <w:right w:type="dxa" w:w="120"/>
            </w:tcMar>
          </w:tcPr>
          <w:p>
            <w:r>
              <w:rPr>
                <w:b w:val="false"/>
                <w:bCs w:val="false"/>
              </w:rPr>
              <w:t xml:space="preserve">Loaded in-memory from SQL Server table, refreshed periodically</w:t>
            </w:r>
          </w:p>
        </w:tc>
      </w:tr>
      <w:tr>
        <w:tc>
          <w:tcPr>
            <w:tcW w:type="dxa" w:w="3200"/>
            <w:shd w:fill="FFFFFF" w:color="auto" w:val="clear"/>
            <w:tcMar>
              <w:top w:type="dxa" w:w="100"/>
              <w:left w:type="dxa" w:w="120"/>
              <w:bottom w:type="dxa" w:w="100"/>
              <w:right w:type="dxa" w:w="120"/>
            </w:tcMar>
          </w:tcPr>
          <w:p>
            <w:r>
              <w:rPr>
                <w:b w:val="false"/>
                <w:bCs w:val="false"/>
              </w:rPr>
              <w:t xml:space="preserve">Target store</w:t>
            </w:r>
          </w:p>
        </w:tc>
        <w:tc>
          <w:tcPr>
            <w:tcW w:type="dxa" w:w="6880"/>
            <w:shd w:fill="FFFFFF" w:color="auto" w:val="clear"/>
            <w:tcMar>
              <w:top w:type="dxa" w:w="100"/>
              <w:left w:type="dxa" w:w="120"/>
              <w:bottom w:type="dxa" w:w="100"/>
              <w:right w:type="dxa" w:w="120"/>
            </w:tcMar>
          </w:tcPr>
          <w:p>
            <w:r>
              <w:rPr>
                <w:b w:val="false"/>
                <w:bCs w:val="false"/>
              </w:rPr>
              <w:t xml:space="preserve">SQL Server (existing schema, unchanged)</w:t>
            </w:r>
          </w:p>
        </w:tc>
      </w:tr>
      <w:tr>
        <w:tc>
          <w:tcPr>
            <w:tcW w:type="dxa" w:w="3200"/>
            <w:shd w:fill="F2F2F2" w:color="auto" w:val="clear"/>
            <w:tcMar>
              <w:top w:type="dxa" w:w="100"/>
              <w:left w:type="dxa" w:w="120"/>
              <w:bottom w:type="dxa" w:w="100"/>
              <w:right w:type="dxa" w:w="120"/>
            </w:tcMar>
          </w:tcPr>
          <w:p>
            <w:r>
              <w:rPr>
                <w:b w:val="false"/>
                <w:bCs w:val="false"/>
              </w:rPr>
              <w:t xml:space="preserve">Team skill needed</w:t>
            </w:r>
          </w:p>
        </w:tc>
        <w:tc>
          <w:tcPr>
            <w:tcW w:type="dxa" w:w="6880"/>
            <w:shd w:fill="F2F2F2" w:color="auto" w:val="clear"/>
            <w:tcMar>
              <w:top w:type="dxa" w:w="100"/>
              <w:left w:type="dxa" w:w="120"/>
              <w:bottom w:type="dxa" w:w="100"/>
              <w:right w:type="dxa" w:w="120"/>
            </w:tcMar>
          </w:tcPr>
          <w:p>
            <w:r>
              <w:rPr>
                <w:b w:val="false"/>
                <w:bCs w:val="false"/>
              </w:rPr>
              <w:t xml:space="preserve">Python, Kafka client APIs</w:t>
            </w:r>
          </w:p>
        </w:tc>
      </w:tr>
    </w:tbl>
    <w:p>
      <w:pPr>
        <w:pStyle w:val="Heading1"/>
        <w:spacing w:after="160" w:before="360"/>
      </w:pPr>
      <w:r>
        <w:t xml:space="preserve">Side-by-side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93"/>
        <w:gridCol w:w="2493"/>
        <w:gridCol w:w="2493"/>
      </w:tblGrid>
      <w:tr>
        <w:tc>
          <w:tcPr>
            <w:tcW w:type="dxa" w:w="2600"/>
            <w:shd w:fill="44546A" w:color="auto" w:val="clear"/>
            <w:tcMar>
              <w:top w:type="dxa" w:w="100"/>
              <w:left w:type="dxa" w:w="120"/>
              <w:bottom w:type="dxa" w:w="100"/>
              <w:right w:type="dxa" w:w="120"/>
            </w:tcMar>
          </w:tcPr>
          <w:p>
            <w:r>
              <w:rPr>
                <w:b/>
                <w:bCs/>
                <w:color w:val="FFFFFF"/>
              </w:rPr>
              <w:t xml:space="preserve">Dimension</w:t>
            </w:r>
          </w:p>
        </w:tc>
        <w:tc>
          <w:tcPr>
            <w:tcW w:type="dxa" w:w="2493"/>
            <w:shd w:fill="44546A" w:color="auto" w:val="clear"/>
            <w:tcMar>
              <w:top w:type="dxa" w:w="100"/>
              <w:left w:type="dxa" w:w="120"/>
              <w:bottom w:type="dxa" w:w="100"/>
              <w:right w:type="dxa" w:w="120"/>
            </w:tcMar>
          </w:tcPr>
          <w:p>
            <w:r>
              <w:rPr>
                <w:b/>
                <w:bCs/>
                <w:color w:val="FFFFFF"/>
              </w:rPr>
              <w:t xml:space="preserve">Kafka-side routing</w:t>
            </w:r>
          </w:p>
        </w:tc>
        <w:tc>
          <w:tcPr>
            <w:tcW w:type="dxa" w:w="2493"/>
            <w:shd w:fill="44546A" w:color="auto" w:val="clear"/>
            <w:tcMar>
              <w:top w:type="dxa" w:w="100"/>
              <w:left w:type="dxa" w:w="120"/>
              <w:bottom w:type="dxa" w:w="100"/>
              <w:right w:type="dxa" w:w="120"/>
            </w:tcMar>
          </w:tcPr>
          <w:p>
            <w:r>
              <w:rPr>
                <w:b/>
                <w:bCs/>
                <w:color w:val="FFFFFF"/>
              </w:rPr>
              <w:t xml:space="preserve">SQL-side routing</w:t>
            </w:r>
          </w:p>
        </w:tc>
        <w:tc>
          <w:tcPr>
            <w:tcW w:type="dxa" w:w="2493"/>
            <w:shd w:fill="44546A" w:color="auto" w:val="clear"/>
            <w:tcMar>
              <w:top w:type="dxa" w:w="100"/>
              <w:left w:type="dxa" w:w="120"/>
              <w:bottom w:type="dxa" w:w="100"/>
              <w:right w:type="dxa" w:w="120"/>
            </w:tcMar>
          </w:tcPr>
          <w:p>
            <w:r>
              <w:rPr>
                <w:b/>
                <w:bCs/>
                <w:color w:val="FFFFFF"/>
              </w:rPr>
              <w:t xml:space="preserve">Python consumer</w:t>
            </w:r>
          </w:p>
        </w:tc>
      </w:tr>
      <w:tr>
        <w:tc>
          <w:tcPr>
            <w:tcW w:type="dxa" w:w="2600"/>
            <w:shd w:fill="FFFFFF" w:color="auto" w:val="clear"/>
            <w:tcMar>
              <w:top w:type="dxa" w:w="100"/>
              <w:left w:type="dxa" w:w="120"/>
              <w:bottom w:type="dxa" w:w="100"/>
              <w:right w:type="dxa" w:w="120"/>
            </w:tcMar>
          </w:tcPr>
          <w:p>
            <w:r>
              <w:rPr>
                <w:b w:val="false"/>
                <w:bCs w:val="false"/>
              </w:rPr>
              <w:t xml:space="preserve">Latency</w:t>
            </w:r>
          </w:p>
        </w:tc>
        <w:tc>
          <w:tcPr>
            <w:tcW w:type="dxa" w:w="2493"/>
            <w:shd w:fill="FFFFFF" w:color="auto" w:val="clear"/>
            <w:tcMar>
              <w:top w:type="dxa" w:w="100"/>
              <w:left w:type="dxa" w:w="120"/>
              <w:bottom w:type="dxa" w:w="100"/>
              <w:right w:type="dxa" w:w="120"/>
            </w:tcMar>
          </w:tcPr>
          <w:p>
            <w:r>
              <w:rPr>
                <w:b w:val="false"/>
                <w:bCs w:val="false"/>
              </w:rPr>
              <w:t xml:space="preserve">Real-time (streaming)</w:t>
            </w:r>
          </w:p>
        </w:tc>
        <w:tc>
          <w:tcPr>
            <w:tcW w:type="dxa" w:w="2493"/>
            <w:shd w:fill="FFFFFF" w:color="auto" w:val="clear"/>
            <w:tcMar>
              <w:top w:type="dxa" w:w="100"/>
              <w:left w:type="dxa" w:w="120"/>
              <w:bottom w:type="dxa" w:w="100"/>
              <w:right w:type="dxa" w:w="120"/>
            </w:tcMar>
          </w:tcPr>
          <w:p>
            <w:r>
              <w:rPr>
                <w:b w:val="false"/>
                <w:bCs w:val="false"/>
              </w:rPr>
              <w:t xml:space="preserve">Near-real-time (micro-batch, seconds)</w:t>
            </w:r>
          </w:p>
        </w:tc>
        <w:tc>
          <w:tcPr>
            <w:tcW w:type="dxa" w:w="2493"/>
            <w:shd w:fill="FFFFFF" w:color="auto" w:val="clear"/>
            <w:tcMar>
              <w:top w:type="dxa" w:w="100"/>
              <w:left w:type="dxa" w:w="120"/>
              <w:bottom w:type="dxa" w:w="100"/>
              <w:right w:type="dxa" w:w="120"/>
            </w:tcMar>
          </w:tcPr>
          <w:p>
            <w:r>
              <w:rPr>
                <w:b w:val="false"/>
                <w:bCs w:val="false"/>
              </w:rPr>
              <w:t xml:space="preserve">Near-real-time (poll interval)</w:t>
            </w:r>
          </w:p>
        </w:tc>
      </w:tr>
      <w:tr>
        <w:tc>
          <w:tcPr>
            <w:tcW w:type="dxa" w:w="2600"/>
            <w:shd w:fill="F2F2F2" w:color="auto" w:val="clear"/>
            <w:tcMar>
              <w:top w:type="dxa" w:w="100"/>
              <w:left w:type="dxa" w:w="120"/>
              <w:bottom w:type="dxa" w:w="100"/>
              <w:right w:type="dxa" w:w="120"/>
            </w:tcMar>
          </w:tcPr>
          <w:p>
            <w:r>
              <w:rPr>
                <w:b w:val="false"/>
                <w:bCs w:val="false"/>
              </w:rPr>
              <w:t xml:space="preserve">New infra to build</w:t>
            </w:r>
          </w:p>
        </w:tc>
        <w:tc>
          <w:tcPr>
            <w:tcW w:type="dxa" w:w="2493"/>
            <w:shd w:fill="F2F2F2" w:color="auto" w:val="clear"/>
            <w:tcMar>
              <w:top w:type="dxa" w:w="100"/>
              <w:left w:type="dxa" w:w="120"/>
              <w:bottom w:type="dxa" w:w="100"/>
              <w:right w:type="dxa" w:w="120"/>
            </w:tcMar>
          </w:tcPr>
          <w:p>
            <w:r>
              <w:rPr>
                <w:b w:val="false"/>
                <w:bCs w:val="false"/>
              </w:rPr>
              <w:t xml:space="preserve">Stream app + N sink connectors</w:t>
            </w:r>
          </w:p>
        </w:tc>
        <w:tc>
          <w:tcPr>
            <w:tcW w:type="dxa" w:w="2493"/>
            <w:shd w:fill="F2F2F2" w:color="auto" w:val="clear"/>
            <w:tcMar>
              <w:top w:type="dxa" w:w="100"/>
              <w:left w:type="dxa" w:w="120"/>
              <w:bottom w:type="dxa" w:w="100"/>
              <w:right w:type="dxa" w:w="120"/>
            </w:tcMar>
          </w:tcPr>
          <w:p>
            <w:r>
              <w:rPr>
                <w:b w:val="false"/>
                <w:bCs w:val="false"/>
              </w:rPr>
              <w:t xml:space="preserve">One staging table + T-SQL job</w:t>
            </w:r>
          </w:p>
        </w:tc>
        <w:tc>
          <w:tcPr>
            <w:tcW w:type="dxa" w:w="2493"/>
            <w:shd w:fill="F2F2F2" w:color="auto" w:val="clear"/>
            <w:tcMar>
              <w:top w:type="dxa" w:w="100"/>
              <w:left w:type="dxa" w:w="120"/>
              <w:bottom w:type="dxa" w:w="100"/>
              <w:right w:type="dxa" w:w="120"/>
            </w:tcMar>
          </w:tcPr>
          <w:p>
            <w:r>
              <w:rPr>
                <w:b w:val="false"/>
                <w:bCs w:val="false"/>
              </w:rPr>
              <w:t xml:space="preserve">One Python service/job</w:t>
            </w:r>
          </w:p>
        </w:tc>
      </w:tr>
      <w:tr>
        <w:tc>
          <w:tcPr>
            <w:tcW w:type="dxa" w:w="2600"/>
            <w:shd w:fill="FFFFFF" w:color="auto" w:val="clear"/>
            <w:tcMar>
              <w:top w:type="dxa" w:w="100"/>
              <w:left w:type="dxa" w:w="120"/>
              <w:bottom w:type="dxa" w:w="100"/>
              <w:right w:type="dxa" w:w="120"/>
            </w:tcMar>
          </w:tcPr>
          <w:p>
            <w:r>
              <w:rPr>
                <w:b w:val="false"/>
                <w:bCs w:val="false"/>
              </w:rPr>
              <w:t xml:space="preserve">Primary skill required</w:t>
            </w:r>
          </w:p>
        </w:tc>
        <w:tc>
          <w:tcPr>
            <w:tcW w:type="dxa" w:w="2493"/>
            <w:shd w:fill="FFFFFF" w:color="auto" w:val="clear"/>
            <w:tcMar>
              <w:top w:type="dxa" w:w="100"/>
              <w:left w:type="dxa" w:w="120"/>
              <w:bottom w:type="dxa" w:w="100"/>
              <w:right w:type="dxa" w:w="120"/>
            </w:tcMar>
          </w:tcPr>
          <w:p>
            <w:r>
              <w:rPr>
                <w:b w:val="false"/>
                <w:bCs w:val="false"/>
              </w:rPr>
              <w:t xml:space="preserve">Kafka Streams / ksqlDB</w:t>
            </w:r>
          </w:p>
        </w:tc>
        <w:tc>
          <w:tcPr>
            <w:tcW w:type="dxa" w:w="2493"/>
            <w:shd w:fill="FFFFFF" w:color="auto" w:val="clear"/>
            <w:tcMar>
              <w:top w:type="dxa" w:w="100"/>
              <w:left w:type="dxa" w:w="120"/>
              <w:bottom w:type="dxa" w:w="100"/>
              <w:right w:type="dxa" w:w="120"/>
            </w:tcMar>
          </w:tcPr>
          <w:p>
            <w:r>
              <w:rPr>
                <w:b w:val="false"/>
                <w:bCs w:val="false"/>
              </w:rPr>
              <w:t xml:space="preserve">T-SQL</w:t>
            </w:r>
          </w:p>
        </w:tc>
        <w:tc>
          <w:tcPr>
            <w:tcW w:type="dxa" w:w="2493"/>
            <w:shd w:fill="FFFFFF" w:color="auto" w:val="clear"/>
            <w:tcMar>
              <w:top w:type="dxa" w:w="100"/>
              <w:left w:type="dxa" w:w="120"/>
              <w:bottom w:type="dxa" w:w="100"/>
              <w:right w:type="dxa" w:w="120"/>
            </w:tcMar>
          </w:tcPr>
          <w:p>
            <w:r>
              <w:rPr>
                <w:b w:val="false"/>
                <w:bCs w:val="false"/>
              </w:rPr>
              <w:t xml:space="preserve">Python + Kafka client</w:t>
            </w:r>
          </w:p>
        </w:tc>
      </w:tr>
      <w:tr>
        <w:tc>
          <w:tcPr>
            <w:tcW w:type="dxa" w:w="2600"/>
            <w:shd w:fill="F2F2F2" w:color="auto" w:val="clear"/>
            <w:tcMar>
              <w:top w:type="dxa" w:w="100"/>
              <w:left w:type="dxa" w:w="120"/>
              <w:bottom w:type="dxa" w:w="100"/>
              <w:right w:type="dxa" w:w="120"/>
            </w:tcMar>
          </w:tcPr>
          <w:p>
            <w:r>
              <w:rPr>
                <w:b w:val="false"/>
                <w:bCs w:val="false"/>
              </w:rPr>
              <w:t xml:space="preserve">Mapping logic lives in</w:t>
            </w:r>
          </w:p>
        </w:tc>
        <w:tc>
          <w:tcPr>
            <w:tcW w:type="dxa" w:w="2493"/>
            <w:shd w:fill="F2F2F2" w:color="auto" w:val="clear"/>
            <w:tcMar>
              <w:top w:type="dxa" w:w="100"/>
              <w:left w:type="dxa" w:w="120"/>
              <w:bottom w:type="dxa" w:w="100"/>
              <w:right w:type="dxa" w:w="120"/>
            </w:tcMar>
          </w:tcPr>
          <w:p>
            <w:r>
              <w:rPr>
                <w:b w:val="false"/>
                <w:bCs w:val="false"/>
              </w:rPr>
              <w:t xml:space="preserve">Streaming layer (KTable join)</w:t>
            </w:r>
          </w:p>
        </w:tc>
        <w:tc>
          <w:tcPr>
            <w:tcW w:type="dxa" w:w="2493"/>
            <w:shd w:fill="F2F2F2" w:color="auto" w:val="clear"/>
            <w:tcMar>
              <w:top w:type="dxa" w:w="100"/>
              <w:left w:type="dxa" w:w="120"/>
              <w:bottom w:type="dxa" w:w="100"/>
              <w:right w:type="dxa" w:w="120"/>
            </w:tcMar>
          </w:tcPr>
          <w:p>
            <w:r>
              <w:rPr>
                <w:b w:val="false"/>
                <w:bCs w:val="false"/>
              </w:rPr>
              <w:t xml:space="preserve">SQL stored procedures</w:t>
            </w:r>
          </w:p>
        </w:tc>
        <w:tc>
          <w:tcPr>
            <w:tcW w:type="dxa" w:w="2493"/>
            <w:shd w:fill="F2F2F2" w:color="auto" w:val="clear"/>
            <w:tcMar>
              <w:top w:type="dxa" w:w="100"/>
              <w:left w:type="dxa" w:w="120"/>
              <w:bottom w:type="dxa" w:w="100"/>
              <w:right w:type="dxa" w:w="120"/>
            </w:tcMar>
          </w:tcPr>
          <w:p>
            <w:r>
              <w:rPr>
                <w:b w:val="false"/>
                <w:bCs w:val="false"/>
              </w:rPr>
              <w:t xml:space="preserve">Application code</w:t>
            </w:r>
          </w:p>
        </w:tc>
      </w:tr>
      <w:tr>
        <w:tc>
          <w:tcPr>
            <w:tcW w:type="dxa" w:w="2600"/>
            <w:shd w:fill="FFFFFF" w:color="auto" w:val="clear"/>
            <w:tcMar>
              <w:top w:type="dxa" w:w="100"/>
              <w:left w:type="dxa" w:w="120"/>
              <w:bottom w:type="dxa" w:w="100"/>
              <w:right w:type="dxa" w:w="120"/>
            </w:tcMar>
          </w:tcPr>
          <w:p>
            <w:r>
              <w:rPr>
                <w:b w:val="false"/>
                <w:bCs w:val="false"/>
              </w:rPr>
              <w:t xml:space="preserve">Fits existing scheduling (Stonebranch)</w:t>
            </w:r>
          </w:p>
        </w:tc>
        <w:tc>
          <w:tcPr>
            <w:tcW w:type="dxa" w:w="2493"/>
            <w:shd w:fill="FFFFFF" w:color="auto" w:val="clear"/>
            <w:tcMar>
              <w:top w:type="dxa" w:w="100"/>
              <w:left w:type="dxa" w:w="120"/>
              <w:bottom w:type="dxa" w:w="100"/>
              <w:right w:type="dxa" w:w="120"/>
            </w:tcMar>
          </w:tcPr>
          <w:p>
            <w:r>
              <w:rPr>
                <w:b w:val="false"/>
                <w:bCs w:val="false"/>
              </w:rPr>
              <w:t xml:space="preserve">No</w:t>
            </w:r>
          </w:p>
        </w:tc>
        <w:tc>
          <w:tcPr>
            <w:tcW w:type="dxa" w:w="2493"/>
            <w:shd w:fill="FFFFFF" w:color="auto" w:val="clear"/>
            <w:tcMar>
              <w:top w:type="dxa" w:w="100"/>
              <w:left w:type="dxa" w:w="120"/>
              <w:bottom w:type="dxa" w:w="100"/>
              <w:right w:type="dxa" w:w="120"/>
            </w:tcMar>
          </w:tcPr>
          <w:p>
            <w:r>
              <w:rPr>
                <w:b w:val="false"/>
                <w:bCs w:val="false"/>
              </w:rPr>
              <w:t xml:space="preserve">Partial (SQL Agent instead)</w:t>
            </w:r>
          </w:p>
        </w:tc>
        <w:tc>
          <w:tcPr>
            <w:tcW w:type="dxa" w:w="2493"/>
            <w:shd w:fill="FFFFFF" w:color="auto" w:val="clear"/>
            <w:tcMar>
              <w:top w:type="dxa" w:w="100"/>
              <w:left w:type="dxa" w:w="120"/>
              <w:bottom w:type="dxa" w:w="100"/>
              <w:right w:type="dxa" w:w="120"/>
            </w:tcMar>
          </w:tcPr>
          <w:p>
            <w:r>
              <w:rPr>
                <w:b w:val="false"/>
                <w:bCs w:val="false"/>
              </w:rPr>
              <w:t xml:space="preserve">Yes</w:t>
            </w:r>
          </w:p>
        </w:tc>
      </w:tr>
      <w:tr>
        <w:tc>
          <w:tcPr>
            <w:tcW w:type="dxa" w:w="2600"/>
            <w:shd w:fill="F2F2F2" w:color="auto" w:val="clear"/>
            <w:tcMar>
              <w:top w:type="dxa" w:w="100"/>
              <w:left w:type="dxa" w:w="120"/>
              <w:bottom w:type="dxa" w:w="100"/>
              <w:right w:type="dxa" w:w="120"/>
            </w:tcMar>
          </w:tcPr>
          <w:p>
            <w:r>
              <w:rPr>
                <w:b w:val="false"/>
                <w:bCs w:val="false"/>
              </w:rPr>
              <w:t xml:space="preserve">Effort to add a new target table</w:t>
            </w:r>
          </w:p>
        </w:tc>
        <w:tc>
          <w:tcPr>
            <w:tcW w:type="dxa" w:w="2493"/>
            <w:shd w:fill="F2F2F2" w:color="auto" w:val="clear"/>
            <w:tcMar>
              <w:top w:type="dxa" w:w="100"/>
              <w:left w:type="dxa" w:w="120"/>
              <w:bottom w:type="dxa" w:w="100"/>
              <w:right w:type="dxa" w:w="120"/>
            </w:tcMar>
          </w:tcPr>
          <w:p>
            <w:r>
              <w:rPr>
                <w:b w:val="false"/>
                <w:bCs w:val="false"/>
              </w:rPr>
              <w:t xml:space="preserve">New topic + new connector</w:t>
            </w:r>
          </w:p>
        </w:tc>
        <w:tc>
          <w:tcPr>
            <w:tcW w:type="dxa" w:w="2493"/>
            <w:shd w:fill="F2F2F2" w:color="auto" w:val="clear"/>
            <w:tcMar>
              <w:top w:type="dxa" w:w="100"/>
              <w:left w:type="dxa" w:w="120"/>
              <w:bottom w:type="dxa" w:w="100"/>
              <w:right w:type="dxa" w:w="120"/>
            </w:tcMar>
          </w:tcPr>
          <w:p>
            <w:r>
              <w:rPr>
                <w:b w:val="false"/>
                <w:bCs w:val="false"/>
              </w:rPr>
              <w:t xml:space="preserve">New registry rows only</w:t>
            </w:r>
          </w:p>
        </w:tc>
        <w:tc>
          <w:tcPr>
            <w:tcW w:type="dxa" w:w="2493"/>
            <w:shd w:fill="F2F2F2" w:color="auto" w:val="clear"/>
            <w:tcMar>
              <w:top w:type="dxa" w:w="100"/>
              <w:left w:type="dxa" w:w="120"/>
              <w:bottom w:type="dxa" w:w="100"/>
              <w:right w:type="dxa" w:w="120"/>
            </w:tcMar>
          </w:tcPr>
          <w:p>
            <w:r>
              <w:rPr>
                <w:b w:val="false"/>
                <w:bCs w:val="false"/>
              </w:rPr>
              <w:t xml:space="preserve">New registry rows only</w:t>
            </w:r>
          </w:p>
        </w:tc>
      </w:tr>
      <w:tr>
        <w:tc>
          <w:tcPr>
            <w:tcW w:type="dxa" w:w="2600"/>
            <w:shd w:fill="FFFFFF" w:color="auto" w:val="clear"/>
            <w:tcMar>
              <w:top w:type="dxa" w:w="100"/>
              <w:left w:type="dxa" w:w="120"/>
              <w:bottom w:type="dxa" w:w="100"/>
              <w:right w:type="dxa" w:w="120"/>
            </w:tcMar>
          </w:tcPr>
          <w:p>
            <w:r>
              <w:rPr>
                <w:b w:val="false"/>
                <w:bCs w:val="false"/>
              </w:rPr>
              <w:t xml:space="preserve">Couchbase add-on later</w:t>
            </w:r>
          </w:p>
        </w:tc>
        <w:tc>
          <w:tcPr>
            <w:tcW w:type="dxa" w:w="2493"/>
            <w:shd w:fill="FFFFFF" w:color="auto" w:val="clear"/>
            <w:tcMar>
              <w:top w:type="dxa" w:w="100"/>
              <w:left w:type="dxa" w:w="120"/>
              <w:bottom w:type="dxa" w:w="100"/>
              <w:right w:type="dxa" w:w="120"/>
            </w:tcMar>
          </w:tcPr>
          <w:p>
            <w:r>
              <w:rPr>
                <w:b w:val="false"/>
                <w:bCs w:val="false"/>
              </w:rPr>
              <w:t xml:space="preserve">Independent sink off raw topic</w:t>
            </w:r>
          </w:p>
        </w:tc>
        <w:tc>
          <w:tcPr>
            <w:tcW w:type="dxa" w:w="2493"/>
            <w:shd w:fill="FFFFFF" w:color="auto" w:val="clear"/>
            <w:tcMar>
              <w:top w:type="dxa" w:w="100"/>
              <w:left w:type="dxa" w:w="120"/>
              <w:bottom w:type="dxa" w:w="100"/>
              <w:right w:type="dxa" w:w="120"/>
            </w:tcMar>
          </w:tcPr>
          <w:p>
            <w:r>
              <w:rPr>
                <w:b w:val="false"/>
                <w:bCs w:val="false"/>
              </w:rPr>
              <w:t xml:space="preserve">Independent sink off raw topic</w:t>
            </w:r>
          </w:p>
        </w:tc>
        <w:tc>
          <w:tcPr>
            <w:tcW w:type="dxa" w:w="2493"/>
            <w:shd w:fill="FFFFFF" w:color="auto" w:val="clear"/>
            <w:tcMar>
              <w:top w:type="dxa" w:w="100"/>
              <w:left w:type="dxa" w:w="120"/>
              <w:bottom w:type="dxa" w:w="100"/>
              <w:right w:type="dxa" w:w="120"/>
            </w:tcMar>
          </w:tcPr>
          <w:p>
            <w:r>
              <w:rPr>
                <w:b w:val="false"/>
                <w:bCs w:val="false"/>
              </w:rPr>
              <w:t xml:space="preserve">Independent sink off raw topic</w:t>
            </w:r>
          </w:p>
        </w:tc>
      </w:tr>
    </w:tbl>
    <w:p>
      <w:pPr>
        <w:pStyle w:val="Heading1"/>
        <w:spacing w:after="160" w:before="360"/>
      </w:pPr>
      <w:r>
        <w:t xml:space="preserve">Practical Implementation Walkthrough: Option 1 (Kafka-side routing)</w:t>
      </w:r>
    </w:p>
    <w:p>
      <w:pPr>
        <w:spacing w:after="160"/>
      </w:pPr>
      <w:r>
        <w:t xml:space="preserve">This section works through a real Encompass Developer Connect payload end to end, using the actual Excel mapping for Borrower SSN (field 65) and Borrower Marital Status (field 52), to show concretely how ksqlDB resolves a field to a table/column and how the JDBC Sink Connector applies it — including a wrinkle the mapping surfaced that an earlier draft of this document did not account for: repeating borrower fields. A sample of the data at each stage is shown directly under its code, so the flow can be followed without running anything.</w:t>
      </w:r>
    </w:p>
    <w:p>
      <w:pPr>
        <w:pStyle w:val="Heading2"/>
        <w:spacing w:after="120" w:before="280"/>
      </w:pPr>
      <w:r>
        <w:t xml:space="preserve">The wrinkle: occurrence-suffixed fields</w:t>
      </w:r>
    </w:p>
    <w:p>
      <w:pPr>
        <w:spacing w:after="160"/>
      </w:pPr>
      <w:r>
        <w:t xml:space="preserve">Both field 65 (Borrower SSN) and field 52 (Borrower Marital Status) repeat once per borrower on the loan. In the webhook payload this shows up as modifiedField "65" / "52" for borrower 1, "65#2" / "52#2" for borrower 2, and so on, with parentFieldId always the base number. The mapping sheet confirms the target table shifts with the occurrence: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4480"/>
      </w:tblGrid>
      <w:tr>
        <w:tc>
          <w:tcPr>
            <w:tcW w:type="dxa" w:w="1600"/>
            <w:shd w:fill="44546A" w:color="auto" w:val="clear"/>
            <w:tcMar>
              <w:top w:type="dxa" w:w="100"/>
              <w:left w:type="dxa" w:w="120"/>
              <w:bottom w:type="dxa" w:w="100"/>
              <w:right w:type="dxa" w:w="120"/>
            </w:tcMar>
          </w:tcPr>
          <w:p>
            <w:r>
              <w:rPr>
                <w:b/>
                <w:bCs/>
                <w:color w:val="FFFFFF"/>
              </w:rPr>
              <w:t xml:space="preserve">modifiedField</w:t>
            </w:r>
          </w:p>
        </w:tc>
        <w:tc>
          <w:tcPr>
            <w:tcW w:type="dxa" w:w="1600"/>
            <w:shd w:fill="44546A" w:color="auto" w:val="clear"/>
            <w:tcMar>
              <w:top w:type="dxa" w:w="100"/>
              <w:left w:type="dxa" w:w="120"/>
              <w:bottom w:type="dxa" w:w="100"/>
              <w:right w:type="dxa" w:w="120"/>
            </w:tcMar>
          </w:tcPr>
          <w:p>
            <w:r>
              <w:rPr>
                <w:b/>
                <w:bCs/>
                <w:color w:val="FFFFFF"/>
              </w:rPr>
              <w:t xml:space="preserve">parentFieldId</w:t>
            </w:r>
          </w:p>
        </w:tc>
        <w:tc>
          <w:tcPr>
            <w:tcW w:type="dxa" w:w="2400"/>
            <w:shd w:fill="44546A" w:color="auto" w:val="clear"/>
            <w:tcMar>
              <w:top w:type="dxa" w:w="100"/>
              <w:left w:type="dxa" w:w="120"/>
              <w:bottom w:type="dxa" w:w="100"/>
              <w:right w:type="dxa" w:w="120"/>
            </w:tcMar>
          </w:tcPr>
          <w:p>
            <w:r>
              <w:rPr>
                <w:b/>
                <w:bCs/>
                <w:color w:val="FFFFFF"/>
              </w:rPr>
              <w:t xml:space="preserve">Target table</w:t>
            </w:r>
          </w:p>
        </w:tc>
        <w:tc>
          <w:tcPr>
            <w:tcW w:type="dxa" w:w="4480"/>
            <w:shd w:fill="44546A" w:color="auto" w:val="clear"/>
            <w:tcMar>
              <w:top w:type="dxa" w:w="100"/>
              <w:left w:type="dxa" w:w="120"/>
              <w:bottom w:type="dxa" w:w="100"/>
              <w:right w:type="dxa" w:w="120"/>
            </w:tcMar>
          </w:tcPr>
          <w:p>
            <w:r>
              <w:rPr>
                <w:b/>
                <w:bCs/>
                <w:color w:val="FFFFFF"/>
              </w:rPr>
              <w:t xml:space="preserve">Target column</w:t>
            </w:r>
          </w:p>
        </w:tc>
      </w:tr>
      <w:tr>
        <w:tc>
          <w:tcPr>
            <w:tcW w:type="dxa" w:w="1600"/>
            <w:shd w:fill="FFFFFF" w:color="auto" w:val="clear"/>
            <w:tcMar>
              <w:top w:type="dxa" w:w="100"/>
              <w:left w:type="dxa" w:w="120"/>
              <w:bottom w:type="dxa" w:w="100"/>
              <w:right w:type="dxa" w:w="120"/>
            </w:tcMar>
          </w:tcPr>
          <w:p>
            <w:r>
              <w:rPr>
                <w:b w:val="false"/>
                <w:bCs w:val="false"/>
              </w:rPr>
              <w:t xml:space="preserve">65</w:t>
            </w:r>
          </w:p>
        </w:tc>
        <w:tc>
          <w:tcPr>
            <w:tcW w:type="dxa" w:w="1600"/>
            <w:shd w:fill="FFFFFF" w:color="auto" w:val="clear"/>
            <w:tcMar>
              <w:top w:type="dxa" w:w="100"/>
              <w:left w:type="dxa" w:w="120"/>
              <w:bottom w:type="dxa" w:w="100"/>
              <w:right w:type="dxa" w:w="120"/>
            </w:tcMar>
          </w:tcPr>
          <w:p>
            <w:r>
              <w:rPr>
                <w:b w:val="false"/>
                <w:bCs w:val="false"/>
              </w:rPr>
              <w:t xml:space="preserve">65</w:t>
            </w:r>
          </w:p>
        </w:tc>
        <w:tc>
          <w:tcPr>
            <w:tcW w:type="dxa" w:w="2400"/>
            <w:shd w:fill="FFFFFF" w:color="auto" w:val="clear"/>
            <w:tcMar>
              <w:top w:type="dxa" w:w="100"/>
              <w:left w:type="dxa" w:w="120"/>
              <w:bottom w:type="dxa" w:w="100"/>
              <w:right w:type="dxa" w:w="120"/>
            </w:tcMar>
          </w:tcPr>
          <w:p>
            <w:r>
              <w:rPr>
                <w:b w:val="false"/>
                <w:bCs w:val="false"/>
              </w:rPr>
              <w:t xml:space="preserve">Borrower1Information</w:t>
            </w:r>
          </w:p>
        </w:tc>
        <w:tc>
          <w:tcPr>
            <w:tcW w:type="dxa" w:w="4480"/>
            <w:shd w:fill="FFFFFF" w:color="auto" w:val="clear"/>
            <w:tcMar>
              <w:top w:type="dxa" w:w="100"/>
              <w:left w:type="dxa" w:w="120"/>
              <w:bottom w:type="dxa" w:w="100"/>
              <w:right w:type="dxa" w:w="120"/>
            </w:tcMar>
          </w:tcPr>
          <w:p>
            <w:r>
              <w:rPr>
                <w:b w:val="false"/>
                <w:bCs w:val="false"/>
              </w:rPr>
              <w:t xml:space="preserve">BORR1_SSN</w:t>
            </w:r>
          </w:p>
        </w:tc>
      </w:tr>
      <w:tr>
        <w:tc>
          <w:tcPr>
            <w:tcW w:type="dxa" w:w="1600"/>
            <w:shd w:fill="F2F2F2" w:color="auto" w:val="clear"/>
            <w:tcMar>
              <w:top w:type="dxa" w:w="100"/>
              <w:left w:type="dxa" w:w="120"/>
              <w:bottom w:type="dxa" w:w="100"/>
              <w:right w:type="dxa" w:w="120"/>
            </w:tcMar>
          </w:tcPr>
          <w:p>
            <w:r>
              <w:rPr>
                <w:b w:val="false"/>
                <w:bCs w:val="false"/>
              </w:rPr>
              <w:t xml:space="preserve">65#2</w:t>
            </w:r>
          </w:p>
        </w:tc>
        <w:tc>
          <w:tcPr>
            <w:tcW w:type="dxa" w:w="1600"/>
            <w:shd w:fill="F2F2F2" w:color="auto" w:val="clear"/>
            <w:tcMar>
              <w:top w:type="dxa" w:w="100"/>
              <w:left w:type="dxa" w:w="120"/>
              <w:bottom w:type="dxa" w:w="100"/>
              <w:right w:type="dxa" w:w="120"/>
            </w:tcMar>
          </w:tcPr>
          <w:p>
            <w:r>
              <w:rPr>
                <w:b w:val="false"/>
                <w:bCs w:val="false"/>
              </w:rPr>
              <w:t xml:space="preserve">65</w:t>
            </w:r>
          </w:p>
        </w:tc>
        <w:tc>
          <w:tcPr>
            <w:tcW w:type="dxa" w:w="2400"/>
            <w:shd w:fill="F2F2F2" w:color="auto" w:val="clear"/>
            <w:tcMar>
              <w:top w:type="dxa" w:w="100"/>
              <w:left w:type="dxa" w:w="120"/>
              <w:bottom w:type="dxa" w:w="100"/>
              <w:right w:type="dxa" w:w="120"/>
            </w:tcMar>
          </w:tcPr>
          <w:p>
            <w:r>
              <w:rPr>
                <w:b w:val="false"/>
                <w:bCs w:val="false"/>
              </w:rPr>
              <w:t xml:space="preserve">Borrower2Information</w:t>
            </w:r>
          </w:p>
        </w:tc>
        <w:tc>
          <w:tcPr>
            <w:tcW w:type="dxa" w:w="4480"/>
            <w:shd w:fill="F2F2F2" w:color="auto" w:val="clear"/>
            <w:tcMar>
              <w:top w:type="dxa" w:w="100"/>
              <w:left w:type="dxa" w:w="120"/>
              <w:bottom w:type="dxa" w:w="100"/>
              <w:right w:type="dxa" w:w="120"/>
            </w:tcMar>
          </w:tcPr>
          <w:p>
            <w:r>
              <w:rPr>
                <w:b w:val="false"/>
                <w:bCs w:val="false"/>
              </w:rPr>
              <w:t xml:space="preserve">BORR2_SSN</w:t>
            </w:r>
          </w:p>
        </w:tc>
      </w:tr>
      <w:tr>
        <w:tc>
          <w:tcPr>
            <w:tcW w:type="dxa" w:w="1600"/>
            <w:shd w:fill="FFFFFF" w:color="auto" w:val="clear"/>
            <w:tcMar>
              <w:top w:type="dxa" w:w="100"/>
              <w:left w:type="dxa" w:w="120"/>
              <w:bottom w:type="dxa" w:w="100"/>
              <w:right w:type="dxa" w:w="120"/>
            </w:tcMar>
          </w:tcPr>
          <w:p>
            <w:r>
              <w:rPr>
                <w:b w:val="false"/>
                <w:bCs w:val="false"/>
              </w:rPr>
              <w:t xml:space="preserve">52</w:t>
            </w:r>
          </w:p>
        </w:tc>
        <w:tc>
          <w:tcPr>
            <w:tcW w:type="dxa" w:w="1600"/>
            <w:shd w:fill="FFFFFF" w:color="auto" w:val="clear"/>
            <w:tcMar>
              <w:top w:type="dxa" w:w="100"/>
              <w:left w:type="dxa" w:w="120"/>
              <w:bottom w:type="dxa" w:w="100"/>
              <w:right w:type="dxa" w:w="120"/>
            </w:tcMar>
          </w:tcPr>
          <w:p>
            <w:r>
              <w:rPr>
                <w:b w:val="false"/>
                <w:bCs w:val="false"/>
              </w:rPr>
              <w:t xml:space="preserve">52</w:t>
            </w:r>
          </w:p>
        </w:tc>
        <w:tc>
          <w:tcPr>
            <w:tcW w:type="dxa" w:w="2400"/>
            <w:shd w:fill="FFFFFF" w:color="auto" w:val="clear"/>
            <w:tcMar>
              <w:top w:type="dxa" w:w="100"/>
              <w:left w:type="dxa" w:w="120"/>
              <w:bottom w:type="dxa" w:w="100"/>
              <w:right w:type="dxa" w:w="120"/>
            </w:tcMar>
          </w:tcPr>
          <w:p>
            <w:r>
              <w:rPr>
                <w:b w:val="false"/>
                <w:bCs w:val="false"/>
              </w:rPr>
              <w:t xml:space="preserve">Borrower1Information</w:t>
            </w:r>
          </w:p>
        </w:tc>
        <w:tc>
          <w:tcPr>
            <w:tcW w:type="dxa" w:w="4480"/>
            <w:shd w:fill="FFFFFF" w:color="auto" w:val="clear"/>
            <w:tcMar>
              <w:top w:type="dxa" w:w="100"/>
              <w:left w:type="dxa" w:w="120"/>
              <w:bottom w:type="dxa" w:w="100"/>
              <w:right w:type="dxa" w:w="120"/>
            </w:tcMar>
          </w:tcPr>
          <w:p>
            <w:r>
              <w:rPr>
                <w:b w:val="false"/>
                <w:bCs w:val="false"/>
              </w:rPr>
              <w:t xml:space="preserve">BORR1_MARITAL_STATUS</w:t>
            </w:r>
          </w:p>
        </w:tc>
      </w:tr>
      <w:tr>
        <w:tc>
          <w:tcPr>
            <w:tcW w:type="dxa" w:w="1600"/>
            <w:shd w:fill="F2F2F2" w:color="auto" w:val="clear"/>
            <w:tcMar>
              <w:top w:type="dxa" w:w="100"/>
              <w:left w:type="dxa" w:w="120"/>
              <w:bottom w:type="dxa" w:w="100"/>
              <w:right w:type="dxa" w:w="120"/>
            </w:tcMar>
          </w:tcPr>
          <w:p>
            <w:r>
              <w:rPr>
                <w:b w:val="false"/>
                <w:bCs w:val="false"/>
              </w:rPr>
              <w:t xml:space="preserve">52#2</w:t>
            </w:r>
          </w:p>
        </w:tc>
        <w:tc>
          <w:tcPr>
            <w:tcW w:type="dxa" w:w="1600"/>
            <w:shd w:fill="F2F2F2" w:color="auto" w:val="clear"/>
            <w:tcMar>
              <w:top w:type="dxa" w:w="100"/>
              <w:left w:type="dxa" w:w="120"/>
              <w:bottom w:type="dxa" w:w="100"/>
              <w:right w:type="dxa" w:w="120"/>
            </w:tcMar>
          </w:tcPr>
          <w:p>
            <w:r>
              <w:rPr>
                <w:b w:val="false"/>
                <w:bCs w:val="false"/>
              </w:rPr>
              <w:t xml:space="preserve">52</w:t>
            </w:r>
          </w:p>
        </w:tc>
        <w:tc>
          <w:tcPr>
            <w:tcW w:type="dxa" w:w="2400"/>
            <w:shd w:fill="F2F2F2" w:color="auto" w:val="clear"/>
            <w:tcMar>
              <w:top w:type="dxa" w:w="100"/>
              <w:left w:type="dxa" w:w="120"/>
              <w:bottom w:type="dxa" w:w="100"/>
              <w:right w:type="dxa" w:w="120"/>
            </w:tcMar>
          </w:tcPr>
          <w:p>
            <w:r>
              <w:rPr>
                <w:b w:val="false"/>
                <w:bCs w:val="false"/>
              </w:rPr>
              <w:t xml:space="preserve">Borrower2Information</w:t>
            </w:r>
          </w:p>
        </w:tc>
        <w:tc>
          <w:tcPr>
            <w:tcW w:type="dxa" w:w="4480"/>
            <w:shd w:fill="F2F2F2" w:color="auto" w:val="clear"/>
            <w:tcMar>
              <w:top w:type="dxa" w:w="100"/>
              <w:left w:type="dxa" w:w="120"/>
              <w:bottom w:type="dxa" w:w="100"/>
              <w:right w:type="dxa" w:w="120"/>
            </w:tcMar>
          </w:tcPr>
          <w:p>
            <w:r>
              <w:rPr>
                <w:b w:val="false"/>
                <w:bCs w:val="false"/>
              </w:rPr>
              <w:t xml:space="preserve">BORR2_MARITAL_STATUS</w:t>
            </w:r>
          </w:p>
        </w:tc>
      </w:tr>
    </w:tbl>
    <w:p>
      <w:pPr>
        <w:spacing w:after="160"/>
      </w:pPr>
      <w:r>
        <w:t xml:space="preserve">This means the field registry cannot be keyed on parentFieldId alone — it needs a composite key of (parentFieldId, occurrence), otherwise borrower 2's values could resolve to the same columns as borrower 1's.</w:t>
      </w:r>
    </w:p>
    <w:p>
      <w:pPr>
        <w:spacing w:after="160"/>
      </w:pPr>
      <w:r>
        <w:t xml:space="preserve">Worked example used throughout this section: a single webhook event changes SSN and marital status for both borrower 1 and borrower 2 on the same loan (loanId 2efe890e-191d-4d85-868e-dc492e53ab55). If these arrived in separate chunks instead, each chunk would just contribute a subset of the same rows shown below — the pipeline logic does not change.</w:t>
      </w:r>
    </w:p>
    <w:p>
      <w:pPr>
        <w:pStyle w:val="Heading2"/>
        <w:spacing w:after="120" w:before="280"/>
      </w:pPr>
      <w:r>
        <w:t xml:space="preserve">Step 1: Raw stream matching the actual payload shape</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STREAM webhook_raw (</w:t>
      </w:r>
      <w:r>
        <w:br/>
        <w:t xml:space="preserve"/>
      </w:r>
      <w:r>
        <w:rPr>
          <w:rFonts w:ascii="Consolas" w:cs="Consolas" w:eastAsia="Consolas" w:hAnsi="Consolas"/>
          <w:sz w:val="18"/>
          <w:szCs w:val="18"/>
        </w:rPr>
        <w:t xml:space="preserve">    eventId    VARCHAR,</w:t>
      </w:r>
      <w:r>
        <w:br/>
        <w:t xml:space="preserve"/>
      </w:r>
      <w:r>
        <w:rPr>
          <w:rFonts w:ascii="Consolas" w:cs="Consolas" w:eastAsia="Consolas" w:hAnsi="Consolas"/>
          <w:sz w:val="18"/>
          <w:szCs w:val="18"/>
        </w:rPr>
        <w:t xml:space="preserve">    eventTime  VARCHAR,</w:t>
      </w:r>
      <w:r>
        <w:br/>
        <w:t xml:space="preserve"/>
      </w:r>
      <w:r>
        <w:rPr>
          <w:rFonts w:ascii="Consolas" w:cs="Consolas" w:eastAsia="Consolas" w:hAnsi="Consolas"/>
          <w:sz w:val="18"/>
          <w:szCs w:val="18"/>
        </w:rPr>
        <w:t xml:space="preserve">    meta STRUCT&lt;</w:t>
      </w:r>
      <w:r>
        <w:br/>
        <w:t xml:space="preserve"/>
      </w:r>
      <w:r>
        <w:rPr>
          <w:rFonts w:ascii="Consolas" w:cs="Consolas" w:eastAsia="Consolas" w:hAnsi="Consolas"/>
          <w:sz w:val="18"/>
          <w:szCs w:val="18"/>
        </w:rPr>
        <w:t xml:space="preserve">      resourceId VARCHAR,</w:t>
      </w:r>
      <w:r>
        <w:br/>
        <w:t xml:space="preserve"/>
      </w:r>
      <w:r>
        <w:rPr>
          <w:rFonts w:ascii="Consolas" w:cs="Consolas" w:eastAsia="Consolas" w:hAnsi="Consolas"/>
          <w:sz w:val="18"/>
          <w:szCs w:val="18"/>
        </w:rPr>
        <w:t xml:space="preserve">      payload STRUCT&lt;</w:t>
      </w:r>
      <w:r>
        <w:br/>
        <w:t xml:space="preserve"/>
      </w:r>
      <w:r>
        <w:rPr>
          <w:rFonts w:ascii="Consolas" w:cs="Consolas" w:eastAsia="Consolas" w:hAnsi="Consolas"/>
          <w:sz w:val="18"/>
          <w:szCs w:val="18"/>
        </w:rPr>
        <w:t xml:space="preserve">        event STRUCT&lt;</w:t>
      </w:r>
      <w:r>
        <w:br/>
        <w:t xml:space="preserve"/>
      </w:r>
      <w:r>
        <w:rPr>
          <w:rFonts w:ascii="Consolas" w:cs="Consolas" w:eastAsia="Consolas" w:hAnsi="Consolas"/>
          <w:sz w:val="18"/>
          <w:szCs w:val="18"/>
        </w:rPr>
        <w:t xml:space="preserve">          multipartIndicator VARCHAR,</w:t>
      </w:r>
      <w:r>
        <w:br/>
        <w:t xml:space="preserve"/>
      </w:r>
      <w:r>
        <w:rPr>
          <w:rFonts w:ascii="Consolas" w:cs="Consolas" w:eastAsia="Consolas" w:hAnsi="Consolas"/>
          <w:sz w:val="18"/>
          <w:szCs w:val="18"/>
        </w:rPr>
        <w:t xml:space="preserve">          fieldChangeEvents ARRAY&lt;STRUCT&lt;</w:t>
      </w:r>
      <w:r>
        <w:br/>
        <w:t xml:space="preserve"/>
      </w:r>
      <w:r>
        <w:rPr>
          <w:rFonts w:ascii="Consolas" w:cs="Consolas" w:eastAsia="Consolas" w:hAnsi="Consolas"/>
          <w:sz w:val="18"/>
          <w:szCs w:val="18"/>
        </w:rPr>
        <w:t xml:space="preserve">            modifiedField VARCHAR,</w:t>
      </w:r>
      <w:r>
        <w:br/>
        <w:t xml:space="preserve"/>
      </w:r>
      <w:r>
        <w:rPr>
          <w:rFonts w:ascii="Consolas" w:cs="Consolas" w:eastAsia="Consolas" w:hAnsi="Consolas"/>
          <w:sz w:val="18"/>
          <w:szCs w:val="18"/>
        </w:rPr>
        <w:t xml:space="preserve">            parentFieldId VARCHAR,</w:t>
      </w:r>
      <w:r>
        <w:br/>
        <w:t xml:space="preserve"/>
      </w:r>
      <w:r>
        <w:rPr>
          <w:rFonts w:ascii="Consolas" w:cs="Consolas" w:eastAsia="Consolas" w:hAnsi="Consolas"/>
          <w:sz w:val="18"/>
          <w:szCs w:val="18"/>
        </w:rPr>
        <w:t xml:space="preserve">            encompass STRUCT&lt;previousValue VARCHAR, newValue VARCHAR&gt;</w:t>
      </w:r>
      <w:r>
        <w:br/>
        <w:t xml:space="preserve"/>
      </w:r>
      <w:r>
        <w:rPr>
          <w:rFonts w:ascii="Consolas" w:cs="Consolas" w:eastAsia="Consolas" w:hAnsi="Consolas"/>
          <w:sz w:val="18"/>
          <w:szCs w:val="18"/>
        </w:rPr>
        <w:t xml:space="preserve">          &gt;&gt;</w:t>
      </w:r>
      <w:r>
        <w:br/>
        <w:t xml:space="preserve"/>
      </w:r>
      <w:r>
        <w:rPr>
          <w:rFonts w:ascii="Consolas" w:cs="Consolas" w:eastAsia="Consolas" w:hAnsi="Consolas"/>
          <w:sz w:val="18"/>
          <w:szCs w:val="18"/>
        </w:rPr>
        <w:t xml:space="preserve">        &gt;</w:t>
      </w:r>
      <w:r>
        <w:br/>
        <w:t xml:space="preserve"/>
      </w:r>
      <w:r>
        <w:rPr>
          <w:rFonts w:ascii="Consolas" w:cs="Consolas" w:eastAsia="Consolas" w:hAnsi="Consolas"/>
          <w:sz w:val="18"/>
          <w:szCs w:val="18"/>
        </w:rPr>
        <w:t xml:space="preserve">      &gt;</w:t>
      </w:r>
      <w:r>
        <w:br/>
        <w:t xml:space="preserve"/>
      </w:r>
      <w:r>
        <w:rPr>
          <w:rFonts w:ascii="Consolas" w:cs="Consolas" w:eastAsia="Consolas" w:hAnsi="Consolas"/>
          <w:sz w:val="18"/>
          <w:szCs w:val="18"/>
        </w:rPr>
        <w:t xml:space="preserve">    &gt;</w:t>
      </w:r>
      <w:r>
        <w:br/>
        <w:t xml:space="preserve"/>
      </w:r>
      <w:r>
        <w:rPr>
          <w:rFonts w:ascii="Consolas" w:cs="Consolas" w:eastAsia="Consolas" w:hAnsi="Consolas"/>
          <w:sz w:val="18"/>
          <w:szCs w:val="18"/>
        </w:rPr>
        <w:t xml:space="preserve">) WITH (KAFKA_TOPIC='encompass.webhook.raw', VALUE_FORMAT='JSON', PARTITIONS=6);</w:t>
      </w:r>
    </w:p>
    <w:p>
      <w:pPr>
        <w:spacing w:after="40"/>
      </w:pPr>
      <w:r>
        <w:t xml:space="preserve">Sample output — the message that lands on encompass.webhook.raw (key = loanId):</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key: "2efe890e-191d-4d85-868e-dc492e53ab55"</w:t>
      </w:r>
      <w:r>
        <w:br/>
        <w:t xml:space="preserve"/>
      </w:r>
      <w:r>
        <w:rPr>
          <w:rFonts w:ascii="Consolas" w:cs="Consolas" w:eastAsia="Consolas" w:hAnsi="Consolas"/>
          <w:sz w:val="18"/>
          <w:szCs w:val="18"/>
        </w:rPr>
        <w:t xml:space="preserve">value: {</w:t>
      </w:r>
      <w:r>
        <w:br/>
        <w:t xml:space="preserve"/>
      </w:r>
      <w:r>
        <w:rPr>
          <w:rFonts w:ascii="Consolas" w:cs="Consolas" w:eastAsia="Consolas" w:hAnsi="Consolas"/>
          <w:sz w:val="18"/>
          <w:szCs w:val="18"/>
        </w:rPr>
        <w:t xml:space="preserve">  "eventId": "b1e9f8aa-1186-4611-a59d-71709cbfb150",</w:t>
      </w:r>
      <w:r>
        <w:br/>
        <w:t xml:space="preserve"/>
      </w:r>
      <w:r>
        <w:rPr>
          <w:rFonts w:ascii="Consolas" w:cs="Consolas" w:eastAsia="Consolas" w:hAnsi="Consolas"/>
          <w:sz w:val="18"/>
          <w:szCs w:val="18"/>
        </w:rPr>
        <w:t xml:space="preserve">  "eventTime": "2024-04-03T16:17:14.361Z",</w:t>
      </w:r>
      <w:r>
        <w:br/>
        <w:t xml:space="preserve"/>
      </w:r>
      <w:r>
        <w:rPr>
          <w:rFonts w:ascii="Consolas" w:cs="Consolas" w:eastAsia="Consolas" w:hAnsi="Consolas"/>
          <w:sz w:val="18"/>
          <w:szCs w:val="18"/>
        </w:rPr>
        <w:t xml:space="preserve">  "meta": {</w:t>
      </w:r>
      <w:r>
        <w:br/>
        <w:t xml:space="preserve"/>
      </w:r>
      <w:r>
        <w:rPr>
          <w:rFonts w:ascii="Consolas" w:cs="Consolas" w:eastAsia="Consolas" w:hAnsi="Consolas"/>
          <w:sz w:val="18"/>
          <w:szCs w:val="18"/>
        </w:rPr>
        <w:t xml:space="preserve">    "resourceId": "2efe890e-191d-4d85-868e-dc492e53ab55",</w:t>
      </w:r>
      <w:r>
        <w:br/>
        <w:t xml:space="preserve"/>
      </w:r>
      <w:r>
        <w:rPr>
          <w:rFonts w:ascii="Consolas" w:cs="Consolas" w:eastAsia="Consolas" w:hAnsi="Consolas"/>
          <w:sz w:val="18"/>
          <w:szCs w:val="18"/>
        </w:rPr>
        <w:t xml:space="preserve">    "payload": { "event": {</w:t>
      </w:r>
      <w:r>
        <w:br/>
        <w:t xml:space="preserve"/>
      </w:r>
      <w:r>
        <w:rPr>
          <w:rFonts w:ascii="Consolas" w:cs="Consolas" w:eastAsia="Consolas" w:hAnsi="Consolas"/>
          <w:sz w:val="18"/>
          <w:szCs w:val="18"/>
        </w:rPr>
        <w:t xml:space="preserve">      "multipartIndicator": "1/1",</w:t>
      </w:r>
      <w:r>
        <w:br/>
        <w:t xml:space="preserve"/>
      </w:r>
      <w:r>
        <w:rPr>
          <w:rFonts w:ascii="Consolas" w:cs="Consolas" w:eastAsia="Consolas" w:hAnsi="Consolas"/>
          <w:sz w:val="18"/>
          <w:szCs w:val="18"/>
        </w:rPr>
        <w:t xml:space="preserve">      "fieldChangeEvents": [</w:t>
      </w:r>
      <w:r>
        <w:br/>
        <w:t xml:space="preserve"/>
      </w:r>
      <w:r>
        <w:rPr>
          <w:rFonts w:ascii="Consolas" w:cs="Consolas" w:eastAsia="Consolas" w:hAnsi="Consolas"/>
          <w:sz w:val="18"/>
          <w:szCs w:val="18"/>
        </w:rPr>
        <w:t xml:space="preserve">        {"modifiedField":"65",   "parentFieldId":"65", "encompass":{"newValue":"111-22-3333"}},</w:t>
      </w:r>
      <w:r>
        <w:br/>
        <w:t xml:space="preserve"/>
      </w:r>
      <w:r>
        <w:rPr>
          <w:rFonts w:ascii="Consolas" w:cs="Consolas" w:eastAsia="Consolas" w:hAnsi="Consolas"/>
          <w:sz w:val="18"/>
          <w:szCs w:val="18"/>
        </w:rPr>
        <w:t xml:space="preserve">        {"modifiedField":"52",   "parentFieldId":"52", "encompass":{"newValue":"Single"}},</w:t>
      </w:r>
      <w:r>
        <w:br/>
        <w:t xml:space="preserve"/>
      </w:r>
      <w:r>
        <w:rPr>
          <w:rFonts w:ascii="Consolas" w:cs="Consolas" w:eastAsia="Consolas" w:hAnsi="Consolas"/>
          <w:sz w:val="18"/>
          <w:szCs w:val="18"/>
        </w:rPr>
        <w:t xml:space="preserve">        {"modifiedField":"65#2", "parentFieldId":"65", "encompass":{"newValue":"123-45-6789"}},</w:t>
      </w:r>
      <w:r>
        <w:br/>
        <w:t xml:space="preserve"/>
      </w:r>
      <w:r>
        <w:rPr>
          <w:rFonts w:ascii="Consolas" w:cs="Consolas" w:eastAsia="Consolas" w:hAnsi="Consolas"/>
          <w:sz w:val="18"/>
          <w:szCs w:val="18"/>
        </w:rPr>
        <w:t xml:space="preserve">        {"modifiedField":"52#2", "parentFieldId":"52", "encompass":{"newValue":"Married"}}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spacing w:after="120" w:before="280"/>
      </w:pPr>
      <w:r>
        <w:t xml:space="preserve">Step 2: Explode the array into one row per field change</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STREAM webhook_fields_flat AS</w:t>
      </w:r>
      <w:r>
        <w:br/>
        <w:t xml:space="preserve"/>
      </w:r>
      <w:r>
        <w:rPr>
          <w:rFonts w:ascii="Consolas" w:cs="Consolas" w:eastAsia="Consolas" w:hAnsi="Consolas"/>
          <w:sz w:val="18"/>
          <w:szCs w:val="18"/>
        </w:rPr>
        <w:t xml:space="preserve">SELECT</w:t>
      </w:r>
      <w:r>
        <w:br/>
        <w:t xml:space="preserve"/>
      </w:r>
      <w:r>
        <w:rPr>
          <w:rFonts w:ascii="Consolas" w:cs="Consolas" w:eastAsia="Consolas" w:hAnsi="Consolas"/>
          <w:sz w:val="18"/>
          <w:szCs w:val="18"/>
        </w:rPr>
        <w:t xml:space="preserve">    meta-&gt;resourceId AS loanId,</w:t>
      </w:r>
      <w:r>
        <w:br/>
        <w:t xml:space="preserve"/>
      </w:r>
      <w:r>
        <w:rPr>
          <w:rFonts w:ascii="Consolas" w:cs="Consolas" w:eastAsia="Consolas" w:hAnsi="Consolas"/>
          <w:sz w:val="18"/>
          <w:szCs w:val="18"/>
        </w:rPr>
        <w:t xml:space="preserve">    eventId,</w:t>
      </w:r>
      <w:r>
        <w:br/>
        <w:t xml:space="preserve"/>
      </w:r>
      <w:r>
        <w:rPr>
          <w:rFonts w:ascii="Consolas" w:cs="Consolas" w:eastAsia="Consolas" w:hAnsi="Consolas"/>
          <w:sz w:val="18"/>
          <w:szCs w:val="18"/>
        </w:rPr>
        <w:t xml:space="preserve">    eventTime,</w:t>
      </w:r>
      <w:r>
        <w:br/>
        <w:t xml:space="preserve"/>
      </w:r>
      <w:r>
        <w:rPr>
          <w:rFonts w:ascii="Consolas" w:cs="Consolas" w:eastAsia="Consolas" w:hAnsi="Consolas"/>
          <w:sz w:val="18"/>
          <w:szCs w:val="18"/>
        </w:rPr>
        <w:t xml:space="preserve">    EXPLODE(meta-&gt;payload-&gt;event-&gt;fieldChangeEvents)-&gt;modifiedField AS modifiedField,</w:t>
      </w:r>
      <w:r>
        <w:br/>
        <w:t xml:space="preserve"/>
      </w:r>
      <w:r>
        <w:rPr>
          <w:rFonts w:ascii="Consolas" w:cs="Consolas" w:eastAsia="Consolas" w:hAnsi="Consolas"/>
          <w:sz w:val="18"/>
          <w:szCs w:val="18"/>
        </w:rPr>
        <w:t xml:space="preserve">    EXPLODE(meta-&gt;payload-&gt;event-&gt;fieldChangeEvents)-&gt;parentFieldId AS parentFieldId,</w:t>
      </w:r>
      <w:r>
        <w:br/>
        <w:t xml:space="preserve"/>
      </w:r>
      <w:r>
        <w:rPr>
          <w:rFonts w:ascii="Consolas" w:cs="Consolas" w:eastAsia="Consolas" w:hAnsi="Consolas"/>
          <w:sz w:val="18"/>
          <w:szCs w:val="18"/>
        </w:rPr>
        <w:t xml:space="preserve">    EXPLODE(meta-&gt;payload-&gt;event-&gt;fieldChangeEvents)-&gt;encompass-&gt;newValue AS newValue</w:t>
      </w:r>
      <w:r>
        <w:br/>
        <w:t xml:space="preserve"/>
      </w:r>
      <w:r>
        <w:rPr>
          <w:rFonts w:ascii="Consolas" w:cs="Consolas" w:eastAsia="Consolas" w:hAnsi="Consolas"/>
          <w:sz w:val="18"/>
          <w:szCs w:val="18"/>
        </w:rPr>
        <w:t xml:space="preserve">FROM webhook_raw</w:t>
      </w:r>
      <w:r>
        <w:br/>
        <w:t xml:space="preserve"/>
      </w:r>
      <w:r>
        <w:rPr>
          <w:rFonts w:ascii="Consolas" w:cs="Consolas" w:eastAsia="Consolas" w:hAnsi="Consolas"/>
          <w:sz w:val="18"/>
          <w:szCs w:val="18"/>
        </w:rPr>
        <w:t xml:space="preserve">EMIT CHANGES;</w:t>
      </w:r>
    </w:p>
    <w:p>
      <w:pPr>
        <w:spacing w:after="40"/>
      </w:pPr>
      <w:r>
        <w:t xml:space="preserve">Sample output — one row per field change, same event exploded into four: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4280"/>
      </w:tblGrid>
      <w:tr>
        <w:tc>
          <w:tcPr>
            <w:tcW w:type="dxa" w:w="2200"/>
            <w:shd w:fill="44546A" w:color="auto" w:val="clear"/>
            <w:tcMar>
              <w:top w:type="dxa" w:w="100"/>
              <w:left w:type="dxa" w:w="120"/>
              <w:bottom w:type="dxa" w:w="100"/>
              <w:right w:type="dxa" w:w="120"/>
            </w:tcMar>
          </w:tcPr>
          <w:p>
            <w:r>
              <w:rPr>
                <w:b/>
                <w:bCs/>
                <w:color w:val="FFFFFF"/>
              </w:rPr>
              <w:t xml:space="preserve">loanId</w:t>
            </w:r>
          </w:p>
        </w:tc>
        <w:tc>
          <w:tcPr>
            <w:tcW w:type="dxa" w:w="1800"/>
            <w:shd w:fill="44546A" w:color="auto" w:val="clear"/>
            <w:tcMar>
              <w:top w:type="dxa" w:w="100"/>
              <w:left w:type="dxa" w:w="120"/>
              <w:bottom w:type="dxa" w:w="100"/>
              <w:right w:type="dxa" w:w="120"/>
            </w:tcMar>
          </w:tcPr>
          <w:p>
            <w:r>
              <w:rPr>
                <w:b/>
                <w:bCs/>
                <w:color w:val="FFFFFF"/>
              </w:rPr>
              <w:t xml:space="preserve">modifiedField</w:t>
            </w:r>
          </w:p>
        </w:tc>
        <w:tc>
          <w:tcPr>
            <w:tcW w:type="dxa" w:w="1800"/>
            <w:shd w:fill="44546A" w:color="auto" w:val="clear"/>
            <w:tcMar>
              <w:top w:type="dxa" w:w="100"/>
              <w:left w:type="dxa" w:w="120"/>
              <w:bottom w:type="dxa" w:w="100"/>
              <w:right w:type="dxa" w:w="120"/>
            </w:tcMar>
          </w:tcPr>
          <w:p>
            <w:r>
              <w:rPr>
                <w:b/>
                <w:bCs/>
                <w:color w:val="FFFFFF"/>
              </w:rPr>
              <w:t xml:space="preserve">parentFieldId</w:t>
            </w:r>
          </w:p>
        </w:tc>
        <w:tc>
          <w:tcPr>
            <w:tcW w:type="dxa" w:w="4280"/>
            <w:shd w:fill="44546A" w:color="auto" w:val="clear"/>
            <w:tcMar>
              <w:top w:type="dxa" w:w="100"/>
              <w:left w:type="dxa" w:w="120"/>
              <w:bottom w:type="dxa" w:w="100"/>
              <w:right w:type="dxa" w:w="120"/>
            </w:tcMar>
          </w:tcPr>
          <w:p>
            <w:r>
              <w:rPr>
                <w:b/>
                <w:bCs/>
                <w:color w:val="FFFFFF"/>
              </w:rPr>
              <w:t xml:space="preserve">newValue</w:t>
            </w:r>
          </w:p>
        </w:tc>
      </w:tr>
      <w:tr>
        <w:tc>
          <w:tcPr>
            <w:tcW w:type="dxa" w:w="2200"/>
            <w:shd w:fill="FFFFFF" w:color="auto" w:val="clear"/>
            <w:tcMar>
              <w:top w:type="dxa" w:w="100"/>
              <w:left w:type="dxa" w:w="120"/>
              <w:bottom w:type="dxa" w:w="100"/>
              <w:right w:type="dxa" w:w="120"/>
            </w:tcMar>
          </w:tcPr>
          <w:p>
            <w:r>
              <w:rPr>
                <w:b w:val="false"/>
                <w:bCs w:val="false"/>
              </w:rPr>
              <w:t xml:space="preserve">2efe890e...</w:t>
            </w:r>
          </w:p>
        </w:tc>
        <w:tc>
          <w:tcPr>
            <w:tcW w:type="dxa" w:w="1800"/>
            <w:shd w:fill="FFFFFF" w:color="auto" w:val="clear"/>
            <w:tcMar>
              <w:top w:type="dxa" w:w="100"/>
              <w:left w:type="dxa" w:w="120"/>
              <w:bottom w:type="dxa" w:w="100"/>
              <w:right w:type="dxa" w:w="120"/>
            </w:tcMar>
          </w:tcPr>
          <w:p>
            <w:r>
              <w:rPr>
                <w:b w:val="false"/>
                <w:bCs w:val="false"/>
              </w:rPr>
              <w:t xml:space="preserve">65</w:t>
            </w:r>
          </w:p>
        </w:tc>
        <w:tc>
          <w:tcPr>
            <w:tcW w:type="dxa" w:w="1800"/>
            <w:shd w:fill="FFFFFF" w:color="auto" w:val="clear"/>
            <w:tcMar>
              <w:top w:type="dxa" w:w="100"/>
              <w:left w:type="dxa" w:w="120"/>
              <w:bottom w:type="dxa" w:w="100"/>
              <w:right w:type="dxa" w:w="120"/>
            </w:tcMar>
          </w:tcPr>
          <w:p>
            <w:r>
              <w:rPr>
                <w:b w:val="false"/>
                <w:bCs w:val="false"/>
              </w:rPr>
              <w:t xml:space="preserve">65</w:t>
            </w:r>
          </w:p>
        </w:tc>
        <w:tc>
          <w:tcPr>
            <w:tcW w:type="dxa" w:w="4280"/>
            <w:shd w:fill="FFFFFF" w:color="auto" w:val="clear"/>
            <w:tcMar>
              <w:top w:type="dxa" w:w="100"/>
              <w:left w:type="dxa" w:w="120"/>
              <w:bottom w:type="dxa" w:w="100"/>
              <w:right w:type="dxa" w:w="120"/>
            </w:tcMar>
          </w:tcPr>
          <w:p>
            <w:r>
              <w:rPr>
                <w:b w:val="false"/>
                <w:bCs w:val="false"/>
              </w:rPr>
              <w:t xml:space="preserve">111-22-3333</w:t>
            </w:r>
          </w:p>
        </w:tc>
      </w:tr>
      <w:tr>
        <w:tc>
          <w:tcPr>
            <w:tcW w:type="dxa" w:w="2200"/>
            <w:shd w:fill="F2F2F2" w:color="auto" w:val="clear"/>
            <w:tcMar>
              <w:top w:type="dxa" w:w="100"/>
              <w:left w:type="dxa" w:w="120"/>
              <w:bottom w:type="dxa" w:w="100"/>
              <w:right w:type="dxa" w:w="120"/>
            </w:tcMar>
          </w:tcPr>
          <w:p>
            <w:r>
              <w:rPr>
                <w:b w:val="false"/>
                <w:bCs w:val="false"/>
              </w:rPr>
              <w:t xml:space="preserve">2efe890e...</w:t>
            </w:r>
          </w:p>
        </w:tc>
        <w:tc>
          <w:tcPr>
            <w:tcW w:type="dxa" w:w="1800"/>
            <w:shd w:fill="F2F2F2" w:color="auto" w:val="clear"/>
            <w:tcMar>
              <w:top w:type="dxa" w:w="100"/>
              <w:left w:type="dxa" w:w="120"/>
              <w:bottom w:type="dxa" w:w="100"/>
              <w:right w:type="dxa" w:w="120"/>
            </w:tcMar>
          </w:tcPr>
          <w:p>
            <w:r>
              <w:rPr>
                <w:b w:val="false"/>
                <w:bCs w:val="false"/>
              </w:rPr>
              <w:t xml:space="preserve">52</w:t>
            </w:r>
          </w:p>
        </w:tc>
        <w:tc>
          <w:tcPr>
            <w:tcW w:type="dxa" w:w="1800"/>
            <w:shd w:fill="F2F2F2" w:color="auto" w:val="clear"/>
            <w:tcMar>
              <w:top w:type="dxa" w:w="100"/>
              <w:left w:type="dxa" w:w="120"/>
              <w:bottom w:type="dxa" w:w="100"/>
              <w:right w:type="dxa" w:w="120"/>
            </w:tcMar>
          </w:tcPr>
          <w:p>
            <w:r>
              <w:rPr>
                <w:b w:val="false"/>
                <w:bCs w:val="false"/>
              </w:rPr>
              <w:t xml:space="preserve">52</w:t>
            </w:r>
          </w:p>
        </w:tc>
        <w:tc>
          <w:tcPr>
            <w:tcW w:type="dxa" w:w="4280"/>
            <w:shd w:fill="F2F2F2" w:color="auto" w:val="clear"/>
            <w:tcMar>
              <w:top w:type="dxa" w:w="100"/>
              <w:left w:type="dxa" w:w="120"/>
              <w:bottom w:type="dxa" w:w="100"/>
              <w:right w:type="dxa" w:w="120"/>
            </w:tcMar>
          </w:tcPr>
          <w:p>
            <w:r>
              <w:rPr>
                <w:b w:val="false"/>
                <w:bCs w:val="false"/>
              </w:rPr>
              <w:t xml:space="preserve">Single</w:t>
            </w:r>
          </w:p>
        </w:tc>
      </w:tr>
      <w:tr>
        <w:tc>
          <w:tcPr>
            <w:tcW w:type="dxa" w:w="2200"/>
            <w:shd w:fill="FFFFFF" w:color="auto" w:val="clear"/>
            <w:tcMar>
              <w:top w:type="dxa" w:w="100"/>
              <w:left w:type="dxa" w:w="120"/>
              <w:bottom w:type="dxa" w:w="100"/>
              <w:right w:type="dxa" w:w="120"/>
            </w:tcMar>
          </w:tcPr>
          <w:p>
            <w:r>
              <w:rPr>
                <w:b w:val="false"/>
                <w:bCs w:val="false"/>
              </w:rPr>
              <w:t xml:space="preserve">2efe890e...</w:t>
            </w:r>
          </w:p>
        </w:tc>
        <w:tc>
          <w:tcPr>
            <w:tcW w:type="dxa" w:w="1800"/>
            <w:shd w:fill="FFFFFF" w:color="auto" w:val="clear"/>
            <w:tcMar>
              <w:top w:type="dxa" w:w="100"/>
              <w:left w:type="dxa" w:w="120"/>
              <w:bottom w:type="dxa" w:w="100"/>
              <w:right w:type="dxa" w:w="120"/>
            </w:tcMar>
          </w:tcPr>
          <w:p>
            <w:r>
              <w:rPr>
                <w:b w:val="false"/>
                <w:bCs w:val="false"/>
              </w:rPr>
              <w:t xml:space="preserve">65#2</w:t>
            </w:r>
          </w:p>
        </w:tc>
        <w:tc>
          <w:tcPr>
            <w:tcW w:type="dxa" w:w="1800"/>
            <w:shd w:fill="FFFFFF" w:color="auto" w:val="clear"/>
            <w:tcMar>
              <w:top w:type="dxa" w:w="100"/>
              <w:left w:type="dxa" w:w="120"/>
              <w:bottom w:type="dxa" w:w="100"/>
              <w:right w:type="dxa" w:w="120"/>
            </w:tcMar>
          </w:tcPr>
          <w:p>
            <w:r>
              <w:rPr>
                <w:b w:val="false"/>
                <w:bCs w:val="false"/>
              </w:rPr>
              <w:t xml:space="preserve">65</w:t>
            </w:r>
          </w:p>
        </w:tc>
        <w:tc>
          <w:tcPr>
            <w:tcW w:type="dxa" w:w="4280"/>
            <w:shd w:fill="FFFFFF" w:color="auto" w:val="clear"/>
            <w:tcMar>
              <w:top w:type="dxa" w:w="100"/>
              <w:left w:type="dxa" w:w="120"/>
              <w:bottom w:type="dxa" w:w="100"/>
              <w:right w:type="dxa" w:w="120"/>
            </w:tcMar>
          </w:tcPr>
          <w:p>
            <w:r>
              <w:rPr>
                <w:b w:val="false"/>
                <w:bCs w:val="false"/>
              </w:rPr>
              <w:t xml:space="preserve">123-45-6789</w:t>
            </w:r>
          </w:p>
        </w:tc>
      </w:tr>
      <w:tr>
        <w:tc>
          <w:tcPr>
            <w:tcW w:type="dxa" w:w="2200"/>
            <w:shd w:fill="F2F2F2" w:color="auto" w:val="clear"/>
            <w:tcMar>
              <w:top w:type="dxa" w:w="100"/>
              <w:left w:type="dxa" w:w="120"/>
              <w:bottom w:type="dxa" w:w="100"/>
              <w:right w:type="dxa" w:w="120"/>
            </w:tcMar>
          </w:tcPr>
          <w:p>
            <w:r>
              <w:rPr>
                <w:b w:val="false"/>
                <w:bCs w:val="false"/>
              </w:rPr>
              <w:t xml:space="preserve">2efe890e...</w:t>
            </w:r>
          </w:p>
        </w:tc>
        <w:tc>
          <w:tcPr>
            <w:tcW w:type="dxa" w:w="1800"/>
            <w:shd w:fill="F2F2F2" w:color="auto" w:val="clear"/>
            <w:tcMar>
              <w:top w:type="dxa" w:w="100"/>
              <w:left w:type="dxa" w:w="120"/>
              <w:bottom w:type="dxa" w:w="100"/>
              <w:right w:type="dxa" w:w="120"/>
            </w:tcMar>
          </w:tcPr>
          <w:p>
            <w:r>
              <w:rPr>
                <w:b w:val="false"/>
                <w:bCs w:val="false"/>
              </w:rPr>
              <w:t xml:space="preserve">52#2</w:t>
            </w:r>
          </w:p>
        </w:tc>
        <w:tc>
          <w:tcPr>
            <w:tcW w:type="dxa" w:w="1800"/>
            <w:shd w:fill="F2F2F2" w:color="auto" w:val="clear"/>
            <w:tcMar>
              <w:top w:type="dxa" w:w="100"/>
              <w:left w:type="dxa" w:w="120"/>
              <w:bottom w:type="dxa" w:w="100"/>
              <w:right w:type="dxa" w:w="120"/>
            </w:tcMar>
          </w:tcPr>
          <w:p>
            <w:r>
              <w:rPr>
                <w:b w:val="false"/>
                <w:bCs w:val="false"/>
              </w:rPr>
              <w:t xml:space="preserve">52</w:t>
            </w:r>
          </w:p>
        </w:tc>
        <w:tc>
          <w:tcPr>
            <w:tcW w:type="dxa" w:w="4280"/>
            <w:shd w:fill="F2F2F2" w:color="auto" w:val="clear"/>
            <w:tcMar>
              <w:top w:type="dxa" w:w="100"/>
              <w:left w:type="dxa" w:w="120"/>
              <w:bottom w:type="dxa" w:w="100"/>
              <w:right w:type="dxa" w:w="120"/>
            </w:tcMar>
          </w:tcPr>
          <w:p>
            <w:r>
              <w:rPr>
                <w:b w:val="false"/>
                <w:bCs w:val="false"/>
              </w:rPr>
              <w:t xml:space="preserve">Married</w:t>
            </w:r>
          </w:p>
        </w:tc>
      </w:tr>
    </w:tbl>
    <w:p>
      <w:pPr>
        <w:pStyle w:val="Heading2"/>
        <w:spacing w:after="120" w:before="280"/>
      </w:pPr>
      <w:r>
        <w:t xml:space="preserve">Step 3: Derive the occurrence and build a composite registry key</w:t>
      </w:r>
    </w:p>
    <w:p>
      <w:pPr>
        <w:spacing w:after="160"/>
      </w:pPr>
      <w:r>
        <w:t xml:space="preserve">The occurrence is whatever follows "#" in modifiedField; no suffix means occurrence 1 (the base borrower).</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STREAM webhook_fields_keyed AS</w:t>
      </w:r>
      <w:r>
        <w:br/>
        <w:t xml:space="preserve"/>
      </w:r>
      <w:r>
        <w:rPr>
          <w:rFonts w:ascii="Consolas" w:cs="Consolas" w:eastAsia="Consolas" w:hAnsi="Consolas"/>
          <w:sz w:val="18"/>
          <w:szCs w:val="18"/>
        </w:rPr>
        <w:t xml:space="preserve">SELECT</w:t>
      </w:r>
      <w:r>
        <w:br/>
        <w:t xml:space="preserve"/>
      </w:r>
      <w:r>
        <w:rPr>
          <w:rFonts w:ascii="Consolas" w:cs="Consolas" w:eastAsia="Consolas" w:hAnsi="Consolas"/>
          <w:sz w:val="18"/>
          <w:szCs w:val="18"/>
        </w:rPr>
        <w:t xml:space="preserve">    loanId,</w:t>
      </w:r>
      <w:r>
        <w:br/>
        <w:t xml:space="preserve"/>
      </w:r>
      <w:r>
        <w:rPr>
          <w:rFonts w:ascii="Consolas" w:cs="Consolas" w:eastAsia="Consolas" w:hAnsi="Consolas"/>
          <w:sz w:val="18"/>
          <w:szCs w:val="18"/>
        </w:rPr>
        <w:t xml:space="preserve">    eventId,</w:t>
      </w:r>
      <w:r>
        <w:br/>
        <w:t xml:space="preserve"/>
      </w:r>
      <w:r>
        <w:rPr>
          <w:rFonts w:ascii="Consolas" w:cs="Consolas" w:eastAsia="Consolas" w:hAnsi="Consolas"/>
          <w:sz w:val="18"/>
          <w:szCs w:val="18"/>
        </w:rPr>
        <w:t xml:space="preserve">    eventTime,</w:t>
      </w:r>
      <w:r>
        <w:br/>
        <w:t xml:space="preserve"/>
      </w:r>
      <w:r>
        <w:rPr>
          <w:rFonts w:ascii="Consolas" w:cs="Consolas" w:eastAsia="Consolas" w:hAnsi="Consolas"/>
          <w:sz w:val="18"/>
          <w:szCs w:val="18"/>
        </w:rPr>
        <w:t xml:space="preserve">    newValue,</w:t>
      </w:r>
      <w:r>
        <w:br/>
        <w:t xml:space="preserve"/>
      </w:r>
      <w:r>
        <w:rPr>
          <w:rFonts w:ascii="Consolas" w:cs="Consolas" w:eastAsia="Consolas" w:hAnsi="Consolas"/>
          <w:sz w:val="18"/>
          <w:szCs w:val="18"/>
        </w:rPr>
        <w:t xml:space="preserve">    CASE</w:t>
      </w:r>
      <w:r>
        <w:br/>
        <w:t xml:space="preserve"/>
      </w:r>
      <w:r>
        <w:rPr>
          <w:rFonts w:ascii="Consolas" w:cs="Consolas" w:eastAsia="Consolas" w:hAnsi="Consolas"/>
          <w:sz w:val="18"/>
          <w:szCs w:val="18"/>
        </w:rPr>
        <w:t xml:space="preserve">      WHEN INSTR(modifiedField, '#') = 0 THEN CONCAT(parentFieldId, '_1')</w:t>
      </w:r>
      <w:r>
        <w:br/>
        <w:t xml:space="preserve"/>
      </w:r>
      <w:r>
        <w:rPr>
          <w:rFonts w:ascii="Consolas" w:cs="Consolas" w:eastAsia="Consolas" w:hAnsi="Consolas"/>
          <w:sz w:val="18"/>
          <w:szCs w:val="18"/>
        </w:rPr>
        <w:t xml:space="preserve">      ELSE CONCAT(parentFieldId, '_', SUBSTRING(modifiedField, INSTR(modifiedField, '#') + 1))</w:t>
      </w:r>
      <w:r>
        <w:br/>
        <w:t xml:space="preserve"/>
      </w:r>
      <w:r>
        <w:rPr>
          <w:rFonts w:ascii="Consolas" w:cs="Consolas" w:eastAsia="Consolas" w:hAnsi="Consolas"/>
          <w:sz w:val="18"/>
          <w:szCs w:val="18"/>
        </w:rPr>
        <w:t xml:space="preserve">    END AS registryKey</w:t>
      </w:r>
      <w:r>
        <w:br/>
        <w:t xml:space="preserve"/>
      </w:r>
      <w:r>
        <w:rPr>
          <w:rFonts w:ascii="Consolas" w:cs="Consolas" w:eastAsia="Consolas" w:hAnsi="Consolas"/>
          <w:sz w:val="18"/>
          <w:szCs w:val="18"/>
        </w:rPr>
        <w:t xml:space="preserve">FROM webhook_fields_flat</w:t>
      </w:r>
      <w:r>
        <w:br/>
        <w:t xml:space="preserve"/>
      </w:r>
      <w:r>
        <w:rPr>
          <w:rFonts w:ascii="Consolas" w:cs="Consolas" w:eastAsia="Consolas" w:hAnsi="Consolas"/>
          <w:sz w:val="18"/>
          <w:szCs w:val="18"/>
        </w:rPr>
        <w:t xml:space="preserve">EMIT CHANGES;</w:t>
      </w:r>
    </w:p>
    <w:p>
      <w:pPr>
        <w:spacing w:after="40"/>
      </w:pPr>
      <w:r>
        <w:t xml:space="preserve">Sample output — same four rows, now carrying the resolved registryKey: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c>
          <w:tcPr>
            <w:tcW w:type="dxa" w:w="2200"/>
            <w:shd w:fill="44546A" w:color="auto" w:val="clear"/>
            <w:tcMar>
              <w:top w:type="dxa" w:w="100"/>
              <w:left w:type="dxa" w:w="120"/>
              <w:bottom w:type="dxa" w:w="100"/>
              <w:right w:type="dxa" w:w="120"/>
            </w:tcMar>
          </w:tcPr>
          <w:p>
            <w:r>
              <w:rPr>
                <w:b/>
                <w:bCs/>
                <w:color w:val="FFFFFF"/>
              </w:rPr>
              <w:t xml:space="preserve">loanId</w:t>
            </w:r>
          </w:p>
        </w:tc>
        <w:tc>
          <w:tcPr>
            <w:tcW w:type="dxa" w:w="2600"/>
            <w:shd w:fill="44546A" w:color="auto" w:val="clear"/>
            <w:tcMar>
              <w:top w:type="dxa" w:w="100"/>
              <w:left w:type="dxa" w:w="120"/>
              <w:bottom w:type="dxa" w:w="100"/>
              <w:right w:type="dxa" w:w="120"/>
            </w:tcMar>
          </w:tcPr>
          <w:p>
            <w:r>
              <w:rPr>
                <w:b/>
                <w:bCs/>
                <w:color w:val="FFFFFF"/>
              </w:rPr>
              <w:t xml:space="preserve">newValue</w:t>
            </w:r>
          </w:p>
        </w:tc>
        <w:tc>
          <w:tcPr>
            <w:tcW w:type="dxa" w:w="5280"/>
            <w:shd w:fill="44546A" w:color="auto" w:val="clear"/>
            <w:tcMar>
              <w:top w:type="dxa" w:w="100"/>
              <w:left w:type="dxa" w:w="120"/>
              <w:bottom w:type="dxa" w:w="100"/>
              <w:right w:type="dxa" w:w="120"/>
            </w:tcMar>
          </w:tcPr>
          <w:p>
            <w:r>
              <w:rPr>
                <w:b/>
                <w:bCs/>
                <w:color w:val="FFFFFF"/>
              </w:rPr>
              <w:t xml:space="preserve">registryKey</w:t>
            </w:r>
          </w:p>
        </w:tc>
      </w:tr>
      <w:tr>
        <w:tc>
          <w:tcPr>
            <w:tcW w:type="dxa" w:w="2200"/>
            <w:shd w:fill="FFFFFF" w:color="auto" w:val="clear"/>
            <w:tcMar>
              <w:top w:type="dxa" w:w="100"/>
              <w:left w:type="dxa" w:w="120"/>
              <w:bottom w:type="dxa" w:w="100"/>
              <w:right w:type="dxa" w:w="120"/>
            </w:tcMar>
          </w:tcPr>
          <w:p>
            <w:r>
              <w:rPr>
                <w:b w:val="false"/>
                <w:bCs w:val="false"/>
              </w:rPr>
              <w:t xml:space="preserve">2efe890e...</w:t>
            </w:r>
          </w:p>
        </w:tc>
        <w:tc>
          <w:tcPr>
            <w:tcW w:type="dxa" w:w="2600"/>
            <w:shd w:fill="FFFFFF" w:color="auto" w:val="clear"/>
            <w:tcMar>
              <w:top w:type="dxa" w:w="100"/>
              <w:left w:type="dxa" w:w="120"/>
              <w:bottom w:type="dxa" w:w="100"/>
              <w:right w:type="dxa" w:w="120"/>
            </w:tcMar>
          </w:tcPr>
          <w:p>
            <w:r>
              <w:rPr>
                <w:b w:val="false"/>
                <w:bCs w:val="false"/>
              </w:rPr>
              <w:t xml:space="preserve">111-22-3333</w:t>
            </w:r>
          </w:p>
        </w:tc>
        <w:tc>
          <w:tcPr>
            <w:tcW w:type="dxa" w:w="5280"/>
            <w:shd w:fill="FFFFFF" w:color="auto" w:val="clear"/>
            <w:tcMar>
              <w:top w:type="dxa" w:w="100"/>
              <w:left w:type="dxa" w:w="120"/>
              <w:bottom w:type="dxa" w:w="100"/>
              <w:right w:type="dxa" w:w="120"/>
            </w:tcMar>
          </w:tcPr>
          <w:p>
            <w:r>
              <w:rPr>
                <w:b w:val="false"/>
                <w:bCs w:val="false"/>
              </w:rPr>
              <w:t xml:space="preserve">65_1</w:t>
            </w:r>
          </w:p>
        </w:tc>
      </w:tr>
      <w:tr>
        <w:tc>
          <w:tcPr>
            <w:tcW w:type="dxa" w:w="2200"/>
            <w:shd w:fill="F2F2F2" w:color="auto" w:val="clear"/>
            <w:tcMar>
              <w:top w:type="dxa" w:w="100"/>
              <w:left w:type="dxa" w:w="120"/>
              <w:bottom w:type="dxa" w:w="100"/>
              <w:right w:type="dxa" w:w="120"/>
            </w:tcMar>
          </w:tcPr>
          <w:p>
            <w:r>
              <w:rPr>
                <w:b w:val="false"/>
                <w:bCs w:val="false"/>
              </w:rPr>
              <w:t xml:space="preserve">2efe890e...</w:t>
            </w:r>
          </w:p>
        </w:tc>
        <w:tc>
          <w:tcPr>
            <w:tcW w:type="dxa" w:w="2600"/>
            <w:shd w:fill="F2F2F2" w:color="auto" w:val="clear"/>
            <w:tcMar>
              <w:top w:type="dxa" w:w="100"/>
              <w:left w:type="dxa" w:w="120"/>
              <w:bottom w:type="dxa" w:w="100"/>
              <w:right w:type="dxa" w:w="120"/>
            </w:tcMar>
          </w:tcPr>
          <w:p>
            <w:r>
              <w:rPr>
                <w:b w:val="false"/>
                <w:bCs w:val="false"/>
              </w:rPr>
              <w:t xml:space="preserve">Single</w:t>
            </w:r>
          </w:p>
        </w:tc>
        <w:tc>
          <w:tcPr>
            <w:tcW w:type="dxa" w:w="5280"/>
            <w:shd w:fill="F2F2F2" w:color="auto" w:val="clear"/>
            <w:tcMar>
              <w:top w:type="dxa" w:w="100"/>
              <w:left w:type="dxa" w:w="120"/>
              <w:bottom w:type="dxa" w:w="100"/>
              <w:right w:type="dxa" w:w="120"/>
            </w:tcMar>
          </w:tcPr>
          <w:p>
            <w:r>
              <w:rPr>
                <w:b w:val="false"/>
                <w:bCs w:val="false"/>
              </w:rPr>
              <w:t xml:space="preserve">52_1</w:t>
            </w:r>
          </w:p>
        </w:tc>
      </w:tr>
      <w:tr>
        <w:tc>
          <w:tcPr>
            <w:tcW w:type="dxa" w:w="2200"/>
            <w:shd w:fill="FFFFFF" w:color="auto" w:val="clear"/>
            <w:tcMar>
              <w:top w:type="dxa" w:w="100"/>
              <w:left w:type="dxa" w:w="120"/>
              <w:bottom w:type="dxa" w:w="100"/>
              <w:right w:type="dxa" w:w="120"/>
            </w:tcMar>
          </w:tcPr>
          <w:p>
            <w:r>
              <w:rPr>
                <w:b w:val="false"/>
                <w:bCs w:val="false"/>
              </w:rPr>
              <w:t xml:space="preserve">2efe890e...</w:t>
            </w:r>
          </w:p>
        </w:tc>
        <w:tc>
          <w:tcPr>
            <w:tcW w:type="dxa" w:w="2600"/>
            <w:shd w:fill="FFFFFF" w:color="auto" w:val="clear"/>
            <w:tcMar>
              <w:top w:type="dxa" w:w="100"/>
              <w:left w:type="dxa" w:w="120"/>
              <w:bottom w:type="dxa" w:w="100"/>
              <w:right w:type="dxa" w:w="120"/>
            </w:tcMar>
          </w:tcPr>
          <w:p>
            <w:r>
              <w:rPr>
                <w:b w:val="false"/>
                <w:bCs w:val="false"/>
              </w:rPr>
              <w:t xml:space="preserve">123-45-6789</w:t>
            </w:r>
          </w:p>
        </w:tc>
        <w:tc>
          <w:tcPr>
            <w:tcW w:type="dxa" w:w="5280"/>
            <w:shd w:fill="FFFFFF" w:color="auto" w:val="clear"/>
            <w:tcMar>
              <w:top w:type="dxa" w:w="100"/>
              <w:left w:type="dxa" w:w="120"/>
              <w:bottom w:type="dxa" w:w="100"/>
              <w:right w:type="dxa" w:w="120"/>
            </w:tcMar>
          </w:tcPr>
          <w:p>
            <w:r>
              <w:rPr>
                <w:b w:val="false"/>
                <w:bCs w:val="false"/>
              </w:rPr>
              <w:t xml:space="preserve">65_2</w:t>
            </w:r>
          </w:p>
        </w:tc>
      </w:tr>
      <w:tr>
        <w:tc>
          <w:tcPr>
            <w:tcW w:type="dxa" w:w="2200"/>
            <w:shd w:fill="F2F2F2" w:color="auto" w:val="clear"/>
            <w:tcMar>
              <w:top w:type="dxa" w:w="100"/>
              <w:left w:type="dxa" w:w="120"/>
              <w:bottom w:type="dxa" w:w="100"/>
              <w:right w:type="dxa" w:w="120"/>
            </w:tcMar>
          </w:tcPr>
          <w:p>
            <w:r>
              <w:rPr>
                <w:b w:val="false"/>
                <w:bCs w:val="false"/>
              </w:rPr>
              <w:t xml:space="preserve">2efe890e...</w:t>
            </w:r>
          </w:p>
        </w:tc>
        <w:tc>
          <w:tcPr>
            <w:tcW w:type="dxa" w:w="2600"/>
            <w:shd w:fill="F2F2F2" w:color="auto" w:val="clear"/>
            <w:tcMar>
              <w:top w:type="dxa" w:w="100"/>
              <w:left w:type="dxa" w:w="120"/>
              <w:bottom w:type="dxa" w:w="100"/>
              <w:right w:type="dxa" w:w="120"/>
            </w:tcMar>
          </w:tcPr>
          <w:p>
            <w:r>
              <w:rPr>
                <w:b w:val="false"/>
                <w:bCs w:val="false"/>
              </w:rPr>
              <w:t xml:space="preserve">Married</w:t>
            </w:r>
          </w:p>
        </w:tc>
        <w:tc>
          <w:tcPr>
            <w:tcW w:type="dxa" w:w="5280"/>
            <w:shd w:fill="F2F2F2" w:color="auto" w:val="clear"/>
            <w:tcMar>
              <w:top w:type="dxa" w:w="100"/>
              <w:left w:type="dxa" w:w="120"/>
              <w:bottom w:type="dxa" w:w="100"/>
              <w:right w:type="dxa" w:w="120"/>
            </w:tcMar>
          </w:tcPr>
          <w:p>
            <w:r>
              <w:rPr>
                <w:b w:val="false"/>
                <w:bCs w:val="false"/>
              </w:rPr>
              <w:t xml:space="preserve">52_2</w:t>
            </w:r>
          </w:p>
        </w:tc>
      </w:tr>
    </w:tbl>
    <w:p>
      <w:pPr>
        <w:pStyle w:val="Heading2"/>
        <w:spacing w:after="120" w:before="280"/>
      </w:pPr>
      <w:r>
        <w:t xml:space="preserve">Step 4: Field registry keyed the same way</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TABLE field_registry (</w:t>
      </w:r>
      <w:r>
        <w:br/>
        <w:t xml:space="preserve"/>
      </w:r>
      <w:r>
        <w:rPr>
          <w:rFonts w:ascii="Consolas" w:cs="Consolas" w:eastAsia="Consolas" w:hAnsi="Consolas"/>
          <w:sz w:val="18"/>
          <w:szCs w:val="18"/>
        </w:rPr>
        <w:t xml:space="preserve">    registryKey  VARCHAR PRIMARY KEY,</w:t>
      </w:r>
      <w:r>
        <w:br/>
        <w:t xml:space="preserve"/>
      </w:r>
      <w:r>
        <w:rPr>
          <w:rFonts w:ascii="Consolas" w:cs="Consolas" w:eastAsia="Consolas" w:hAnsi="Consolas"/>
          <w:sz w:val="18"/>
          <w:szCs w:val="18"/>
        </w:rPr>
        <w:t xml:space="preserve">    targetTable  VARCHAR,</w:t>
      </w:r>
      <w:r>
        <w:br/>
        <w:t xml:space="preserve"/>
      </w:r>
      <w:r>
        <w:rPr>
          <w:rFonts w:ascii="Consolas" w:cs="Consolas" w:eastAsia="Consolas" w:hAnsi="Consolas"/>
          <w:sz w:val="18"/>
          <w:szCs w:val="18"/>
        </w:rPr>
        <w:t xml:space="preserve">    targetColumn VARCHAR</w:t>
      </w:r>
      <w:r>
        <w:br/>
        <w:t xml:space="preserve"/>
      </w:r>
      <w:r>
        <w:rPr>
          <w:rFonts w:ascii="Consolas" w:cs="Consolas" w:eastAsia="Consolas" w:hAnsi="Consolas"/>
          <w:sz w:val="18"/>
          <w:szCs w:val="18"/>
        </w:rPr>
        <w:t xml:space="preserve">) WITH (KAFKA_TOPIC='field.registry', VALUE_FORMAT='JSON');</w:t>
      </w:r>
    </w:p>
    <w:p>
      <w:pPr>
        <w:spacing w:after="40"/>
      </w:pPr>
      <w:r>
        <w:t xml:space="preserve">Sample output — the registry rows this example resolves against (seeded from the Excel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c>
          <w:tcPr>
            <w:tcW w:type="dxa" w:w="2000"/>
            <w:shd w:fill="44546A" w:color="auto" w:val="clear"/>
            <w:tcMar>
              <w:top w:type="dxa" w:w="100"/>
              <w:left w:type="dxa" w:w="120"/>
              <w:bottom w:type="dxa" w:w="100"/>
              <w:right w:type="dxa" w:w="120"/>
            </w:tcMar>
          </w:tcPr>
          <w:p>
            <w:r>
              <w:rPr>
                <w:b/>
                <w:bCs/>
                <w:color w:val="FFFFFF"/>
              </w:rPr>
              <w:t xml:space="preserve">registryKey</w:t>
            </w:r>
          </w:p>
        </w:tc>
        <w:tc>
          <w:tcPr>
            <w:tcW w:type="dxa" w:w="3000"/>
            <w:shd w:fill="44546A" w:color="auto" w:val="clear"/>
            <w:tcMar>
              <w:top w:type="dxa" w:w="100"/>
              <w:left w:type="dxa" w:w="120"/>
              <w:bottom w:type="dxa" w:w="100"/>
              <w:right w:type="dxa" w:w="120"/>
            </w:tcMar>
          </w:tcPr>
          <w:p>
            <w:r>
              <w:rPr>
                <w:b/>
                <w:bCs/>
                <w:color w:val="FFFFFF"/>
              </w:rPr>
              <w:t xml:space="preserve">targetTable</w:t>
            </w:r>
          </w:p>
        </w:tc>
        <w:tc>
          <w:tcPr>
            <w:tcW w:type="dxa" w:w="5080"/>
            <w:shd w:fill="44546A" w:color="auto" w:val="clear"/>
            <w:tcMar>
              <w:top w:type="dxa" w:w="100"/>
              <w:left w:type="dxa" w:w="120"/>
              <w:bottom w:type="dxa" w:w="100"/>
              <w:right w:type="dxa" w:w="120"/>
            </w:tcMar>
          </w:tcPr>
          <w:p>
            <w:r>
              <w:rPr>
                <w:b/>
                <w:bCs/>
                <w:color w:val="FFFFFF"/>
              </w:rPr>
              <w:t xml:space="preserve">targetColumn</w:t>
            </w:r>
          </w:p>
        </w:tc>
      </w:tr>
      <w:tr>
        <w:tc>
          <w:tcPr>
            <w:tcW w:type="dxa" w:w="2000"/>
            <w:shd w:fill="FFFFFF" w:color="auto" w:val="clear"/>
            <w:tcMar>
              <w:top w:type="dxa" w:w="100"/>
              <w:left w:type="dxa" w:w="120"/>
              <w:bottom w:type="dxa" w:w="100"/>
              <w:right w:type="dxa" w:w="120"/>
            </w:tcMar>
          </w:tcPr>
          <w:p>
            <w:r>
              <w:rPr>
                <w:b w:val="false"/>
                <w:bCs w:val="false"/>
              </w:rPr>
              <w:t xml:space="preserve">65_1</w:t>
            </w:r>
          </w:p>
        </w:tc>
        <w:tc>
          <w:tcPr>
            <w:tcW w:type="dxa" w:w="3000"/>
            <w:shd w:fill="FFFFFF" w:color="auto" w:val="clear"/>
            <w:tcMar>
              <w:top w:type="dxa" w:w="100"/>
              <w:left w:type="dxa" w:w="120"/>
              <w:bottom w:type="dxa" w:w="100"/>
              <w:right w:type="dxa" w:w="120"/>
            </w:tcMar>
          </w:tcPr>
          <w:p>
            <w:r>
              <w:rPr>
                <w:b w:val="false"/>
                <w:bCs w:val="false"/>
              </w:rPr>
              <w:t xml:space="preserve">Borrower1Information</w:t>
            </w:r>
          </w:p>
        </w:tc>
        <w:tc>
          <w:tcPr>
            <w:tcW w:type="dxa" w:w="5080"/>
            <w:shd w:fill="FFFFFF" w:color="auto" w:val="clear"/>
            <w:tcMar>
              <w:top w:type="dxa" w:w="100"/>
              <w:left w:type="dxa" w:w="120"/>
              <w:bottom w:type="dxa" w:w="100"/>
              <w:right w:type="dxa" w:w="120"/>
            </w:tcMar>
          </w:tcPr>
          <w:p>
            <w:r>
              <w:rPr>
                <w:b w:val="false"/>
                <w:bCs w:val="false"/>
              </w:rPr>
              <w:t xml:space="preserve">BORR1_SSN</w:t>
            </w:r>
          </w:p>
        </w:tc>
      </w:tr>
      <w:tr>
        <w:tc>
          <w:tcPr>
            <w:tcW w:type="dxa" w:w="2000"/>
            <w:shd w:fill="F2F2F2" w:color="auto" w:val="clear"/>
            <w:tcMar>
              <w:top w:type="dxa" w:w="100"/>
              <w:left w:type="dxa" w:w="120"/>
              <w:bottom w:type="dxa" w:w="100"/>
              <w:right w:type="dxa" w:w="120"/>
            </w:tcMar>
          </w:tcPr>
          <w:p>
            <w:r>
              <w:rPr>
                <w:b w:val="false"/>
                <w:bCs w:val="false"/>
              </w:rPr>
              <w:t xml:space="preserve">65_2</w:t>
            </w:r>
          </w:p>
        </w:tc>
        <w:tc>
          <w:tcPr>
            <w:tcW w:type="dxa" w:w="3000"/>
            <w:shd w:fill="F2F2F2" w:color="auto" w:val="clear"/>
            <w:tcMar>
              <w:top w:type="dxa" w:w="100"/>
              <w:left w:type="dxa" w:w="120"/>
              <w:bottom w:type="dxa" w:w="100"/>
              <w:right w:type="dxa" w:w="120"/>
            </w:tcMar>
          </w:tcPr>
          <w:p>
            <w:r>
              <w:rPr>
                <w:b w:val="false"/>
                <w:bCs w:val="false"/>
              </w:rPr>
              <w:t xml:space="preserve">Borrower2Information</w:t>
            </w:r>
          </w:p>
        </w:tc>
        <w:tc>
          <w:tcPr>
            <w:tcW w:type="dxa" w:w="5080"/>
            <w:shd w:fill="F2F2F2" w:color="auto" w:val="clear"/>
            <w:tcMar>
              <w:top w:type="dxa" w:w="100"/>
              <w:left w:type="dxa" w:w="120"/>
              <w:bottom w:type="dxa" w:w="100"/>
              <w:right w:type="dxa" w:w="120"/>
            </w:tcMar>
          </w:tcPr>
          <w:p>
            <w:r>
              <w:rPr>
                <w:b w:val="false"/>
                <w:bCs w:val="false"/>
              </w:rPr>
              <w:t xml:space="preserve">BORR2_SSN</w:t>
            </w:r>
          </w:p>
        </w:tc>
      </w:tr>
      <w:tr>
        <w:tc>
          <w:tcPr>
            <w:tcW w:type="dxa" w:w="2000"/>
            <w:shd w:fill="FFFFFF" w:color="auto" w:val="clear"/>
            <w:tcMar>
              <w:top w:type="dxa" w:w="100"/>
              <w:left w:type="dxa" w:w="120"/>
              <w:bottom w:type="dxa" w:w="100"/>
              <w:right w:type="dxa" w:w="120"/>
            </w:tcMar>
          </w:tcPr>
          <w:p>
            <w:r>
              <w:rPr>
                <w:b w:val="false"/>
                <w:bCs w:val="false"/>
              </w:rPr>
              <w:t xml:space="preserve">52_1</w:t>
            </w:r>
          </w:p>
        </w:tc>
        <w:tc>
          <w:tcPr>
            <w:tcW w:type="dxa" w:w="3000"/>
            <w:shd w:fill="FFFFFF" w:color="auto" w:val="clear"/>
            <w:tcMar>
              <w:top w:type="dxa" w:w="100"/>
              <w:left w:type="dxa" w:w="120"/>
              <w:bottom w:type="dxa" w:w="100"/>
              <w:right w:type="dxa" w:w="120"/>
            </w:tcMar>
          </w:tcPr>
          <w:p>
            <w:r>
              <w:rPr>
                <w:b w:val="false"/>
                <w:bCs w:val="false"/>
              </w:rPr>
              <w:t xml:space="preserve">Borrower1Information</w:t>
            </w:r>
          </w:p>
        </w:tc>
        <w:tc>
          <w:tcPr>
            <w:tcW w:type="dxa" w:w="5080"/>
            <w:shd w:fill="FFFFFF" w:color="auto" w:val="clear"/>
            <w:tcMar>
              <w:top w:type="dxa" w:w="100"/>
              <w:left w:type="dxa" w:w="120"/>
              <w:bottom w:type="dxa" w:w="100"/>
              <w:right w:type="dxa" w:w="120"/>
            </w:tcMar>
          </w:tcPr>
          <w:p>
            <w:r>
              <w:rPr>
                <w:b w:val="false"/>
                <w:bCs w:val="false"/>
              </w:rPr>
              <w:t xml:space="preserve">BORR1_MARITAL_STATUS</w:t>
            </w:r>
          </w:p>
        </w:tc>
      </w:tr>
      <w:tr>
        <w:tc>
          <w:tcPr>
            <w:tcW w:type="dxa" w:w="2000"/>
            <w:shd w:fill="F2F2F2" w:color="auto" w:val="clear"/>
            <w:tcMar>
              <w:top w:type="dxa" w:w="100"/>
              <w:left w:type="dxa" w:w="120"/>
              <w:bottom w:type="dxa" w:w="100"/>
              <w:right w:type="dxa" w:w="120"/>
            </w:tcMar>
          </w:tcPr>
          <w:p>
            <w:r>
              <w:rPr>
                <w:b w:val="false"/>
                <w:bCs w:val="false"/>
              </w:rPr>
              <w:t xml:space="preserve">52_2</w:t>
            </w:r>
          </w:p>
        </w:tc>
        <w:tc>
          <w:tcPr>
            <w:tcW w:type="dxa" w:w="3000"/>
            <w:shd w:fill="F2F2F2" w:color="auto" w:val="clear"/>
            <w:tcMar>
              <w:top w:type="dxa" w:w="100"/>
              <w:left w:type="dxa" w:w="120"/>
              <w:bottom w:type="dxa" w:w="100"/>
              <w:right w:type="dxa" w:w="120"/>
            </w:tcMar>
          </w:tcPr>
          <w:p>
            <w:r>
              <w:rPr>
                <w:b w:val="false"/>
                <w:bCs w:val="false"/>
              </w:rPr>
              <w:t xml:space="preserve">Borrower2Information</w:t>
            </w:r>
          </w:p>
        </w:tc>
        <w:tc>
          <w:tcPr>
            <w:tcW w:type="dxa" w:w="5080"/>
            <w:shd w:fill="F2F2F2" w:color="auto" w:val="clear"/>
            <w:tcMar>
              <w:top w:type="dxa" w:w="100"/>
              <w:left w:type="dxa" w:w="120"/>
              <w:bottom w:type="dxa" w:w="100"/>
              <w:right w:type="dxa" w:w="120"/>
            </w:tcMar>
          </w:tcPr>
          <w:p>
            <w:r>
              <w:rPr>
                <w:b w:val="false"/>
                <w:bCs w:val="false"/>
              </w:rPr>
              <w:t xml:space="preserve">BORR2_MARITAL_STATUS</w:t>
            </w:r>
          </w:p>
        </w:tc>
      </w:tr>
    </w:tbl>
    <w:p>
      <w:pPr>
        <w:pStyle w:val="Heading2"/>
        <w:spacing w:after="120" w:before="280"/>
      </w:pPr>
      <w:r>
        <w:t xml:space="preserve">Step 5: Join, then split by target table</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STREAM webhook_fields_mapped AS</w:t>
      </w:r>
      <w:r>
        <w:br/>
        <w:t xml:space="preserve"/>
      </w:r>
      <w:r>
        <w:rPr>
          <w:rFonts w:ascii="Consolas" w:cs="Consolas" w:eastAsia="Consolas" w:hAnsi="Consolas"/>
          <w:sz w:val="18"/>
          <w:szCs w:val="18"/>
        </w:rPr>
        <w:t xml:space="preserve">SELECT k.loanId AS loanId, r.targetTable AS targetTable,</w:t>
      </w:r>
      <w:r>
        <w:br/>
        <w:t xml:space="preserve"/>
      </w:r>
      <w:r>
        <w:rPr>
          <w:rFonts w:ascii="Consolas" w:cs="Consolas" w:eastAsia="Consolas" w:hAnsi="Consolas"/>
          <w:sz w:val="18"/>
          <w:szCs w:val="18"/>
        </w:rPr>
        <w:t xml:space="preserve">       r.targetColumn AS col, k.newValue AS val</w:t>
      </w:r>
      <w:r>
        <w:br/>
        <w:t xml:space="preserve"/>
      </w:r>
      <w:r>
        <w:rPr>
          <w:rFonts w:ascii="Consolas" w:cs="Consolas" w:eastAsia="Consolas" w:hAnsi="Consolas"/>
          <w:sz w:val="18"/>
          <w:szCs w:val="18"/>
        </w:rPr>
        <w:t xml:space="preserve">FROM webhook_fields_keyed k</w:t>
      </w:r>
      <w:r>
        <w:br/>
        <w:t xml:space="preserve"/>
      </w:r>
      <w:r>
        <w:rPr>
          <w:rFonts w:ascii="Consolas" w:cs="Consolas" w:eastAsia="Consolas" w:hAnsi="Consolas"/>
          <w:sz w:val="18"/>
          <w:szCs w:val="18"/>
        </w:rPr>
        <w:t xml:space="preserve">JOIN field_registry r ON k.registryKey = r.registryKey</w:t>
      </w:r>
      <w:r>
        <w:br/>
        <w:t xml:space="preserve"/>
      </w:r>
      <w:r>
        <w:rPr>
          <w:rFonts w:ascii="Consolas" w:cs="Consolas" w:eastAsia="Consolas" w:hAnsi="Consolas"/>
          <w:sz w:val="18"/>
          <w:szCs w:val="18"/>
        </w:rPr>
        <w:t xml:space="preserve">EMIT CHANGES;</w:t>
      </w:r>
    </w:p>
    <w:p>
      <w:pPr>
        <w:spacing w:after="40"/>
      </w:pPr>
      <w:r>
        <w:t xml:space="preserve">Sample output — every field now knows its target table and column: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c>
          <w:tcPr>
            <w:tcW w:type="dxa" w:w="1800"/>
            <w:shd w:fill="44546A" w:color="auto" w:val="clear"/>
            <w:tcMar>
              <w:top w:type="dxa" w:w="100"/>
              <w:left w:type="dxa" w:w="120"/>
              <w:bottom w:type="dxa" w:w="100"/>
              <w:right w:type="dxa" w:w="120"/>
            </w:tcMar>
          </w:tcPr>
          <w:p>
            <w:r>
              <w:rPr>
                <w:b/>
                <w:bCs/>
                <w:color w:val="FFFFFF"/>
              </w:rPr>
              <w:t xml:space="preserve">loanId</w:t>
            </w:r>
          </w:p>
        </w:tc>
        <w:tc>
          <w:tcPr>
            <w:tcW w:type="dxa" w:w="2400"/>
            <w:shd w:fill="44546A" w:color="auto" w:val="clear"/>
            <w:tcMar>
              <w:top w:type="dxa" w:w="100"/>
              <w:left w:type="dxa" w:w="120"/>
              <w:bottom w:type="dxa" w:w="100"/>
              <w:right w:type="dxa" w:w="120"/>
            </w:tcMar>
          </w:tcPr>
          <w:p>
            <w:r>
              <w:rPr>
                <w:b/>
                <w:bCs/>
                <w:color w:val="FFFFFF"/>
              </w:rPr>
              <w:t xml:space="preserve">targetTable</w:t>
            </w:r>
          </w:p>
        </w:tc>
        <w:tc>
          <w:tcPr>
            <w:tcW w:type="dxa" w:w="2400"/>
            <w:shd w:fill="44546A" w:color="auto" w:val="clear"/>
            <w:tcMar>
              <w:top w:type="dxa" w:w="100"/>
              <w:left w:type="dxa" w:w="120"/>
              <w:bottom w:type="dxa" w:w="100"/>
              <w:right w:type="dxa" w:w="120"/>
            </w:tcMar>
          </w:tcPr>
          <w:p>
            <w:r>
              <w:rPr>
                <w:b/>
                <w:bCs/>
                <w:color w:val="FFFFFF"/>
              </w:rPr>
              <w:t xml:space="preserve">col</w:t>
            </w:r>
          </w:p>
        </w:tc>
        <w:tc>
          <w:tcPr>
            <w:tcW w:type="dxa" w:w="3480"/>
            <w:shd w:fill="44546A" w:color="auto" w:val="clear"/>
            <w:tcMar>
              <w:top w:type="dxa" w:w="100"/>
              <w:left w:type="dxa" w:w="120"/>
              <w:bottom w:type="dxa" w:w="100"/>
              <w:right w:type="dxa" w:w="120"/>
            </w:tcMar>
          </w:tcPr>
          <w:p>
            <w:r>
              <w:rPr>
                <w:b/>
                <w:bCs/>
                <w:color w:val="FFFFFF"/>
              </w:rPr>
              <w:t xml:space="preserve">val</w:t>
            </w:r>
          </w:p>
        </w:tc>
      </w:tr>
      <w:tr>
        <w:tc>
          <w:tcPr>
            <w:tcW w:type="dxa" w:w="1800"/>
            <w:shd w:fill="FFFFFF" w:color="auto" w:val="clear"/>
            <w:tcMar>
              <w:top w:type="dxa" w:w="100"/>
              <w:left w:type="dxa" w:w="120"/>
              <w:bottom w:type="dxa" w:w="100"/>
              <w:right w:type="dxa" w:w="120"/>
            </w:tcMar>
          </w:tcPr>
          <w:p>
            <w:r>
              <w:rPr>
                <w:b w:val="false"/>
                <w:bCs w:val="false"/>
              </w:rPr>
              <w:t xml:space="preserve">2efe890e...</w:t>
            </w:r>
          </w:p>
        </w:tc>
        <w:tc>
          <w:tcPr>
            <w:tcW w:type="dxa" w:w="2400"/>
            <w:shd w:fill="FFFFFF" w:color="auto" w:val="clear"/>
            <w:tcMar>
              <w:top w:type="dxa" w:w="100"/>
              <w:left w:type="dxa" w:w="120"/>
              <w:bottom w:type="dxa" w:w="100"/>
              <w:right w:type="dxa" w:w="120"/>
            </w:tcMar>
          </w:tcPr>
          <w:p>
            <w:r>
              <w:rPr>
                <w:b w:val="false"/>
                <w:bCs w:val="false"/>
              </w:rPr>
              <w:t xml:space="preserve">Borrower1Information</w:t>
            </w:r>
          </w:p>
        </w:tc>
        <w:tc>
          <w:tcPr>
            <w:tcW w:type="dxa" w:w="2400"/>
            <w:shd w:fill="FFFFFF" w:color="auto" w:val="clear"/>
            <w:tcMar>
              <w:top w:type="dxa" w:w="100"/>
              <w:left w:type="dxa" w:w="120"/>
              <w:bottom w:type="dxa" w:w="100"/>
              <w:right w:type="dxa" w:w="120"/>
            </w:tcMar>
          </w:tcPr>
          <w:p>
            <w:r>
              <w:rPr>
                <w:b w:val="false"/>
                <w:bCs w:val="false"/>
              </w:rPr>
              <w:t xml:space="preserve">BORR1_SSN</w:t>
            </w:r>
          </w:p>
        </w:tc>
        <w:tc>
          <w:tcPr>
            <w:tcW w:type="dxa" w:w="3480"/>
            <w:shd w:fill="FFFFFF" w:color="auto" w:val="clear"/>
            <w:tcMar>
              <w:top w:type="dxa" w:w="100"/>
              <w:left w:type="dxa" w:w="120"/>
              <w:bottom w:type="dxa" w:w="100"/>
              <w:right w:type="dxa" w:w="120"/>
            </w:tcMar>
          </w:tcPr>
          <w:p>
            <w:r>
              <w:rPr>
                <w:b w:val="false"/>
                <w:bCs w:val="false"/>
              </w:rPr>
              <w:t xml:space="preserve">111-22-3333</w:t>
            </w:r>
          </w:p>
        </w:tc>
      </w:tr>
      <w:tr>
        <w:tc>
          <w:tcPr>
            <w:tcW w:type="dxa" w:w="1800"/>
            <w:shd w:fill="F2F2F2" w:color="auto" w:val="clear"/>
            <w:tcMar>
              <w:top w:type="dxa" w:w="100"/>
              <w:left w:type="dxa" w:w="120"/>
              <w:bottom w:type="dxa" w:w="100"/>
              <w:right w:type="dxa" w:w="120"/>
            </w:tcMar>
          </w:tcPr>
          <w:p>
            <w:r>
              <w:rPr>
                <w:b w:val="false"/>
                <w:bCs w:val="false"/>
              </w:rPr>
              <w:t xml:space="preserve">2efe890e...</w:t>
            </w:r>
          </w:p>
        </w:tc>
        <w:tc>
          <w:tcPr>
            <w:tcW w:type="dxa" w:w="2400"/>
            <w:shd w:fill="F2F2F2" w:color="auto" w:val="clear"/>
            <w:tcMar>
              <w:top w:type="dxa" w:w="100"/>
              <w:left w:type="dxa" w:w="120"/>
              <w:bottom w:type="dxa" w:w="100"/>
              <w:right w:type="dxa" w:w="120"/>
            </w:tcMar>
          </w:tcPr>
          <w:p>
            <w:r>
              <w:rPr>
                <w:b w:val="false"/>
                <w:bCs w:val="false"/>
              </w:rPr>
              <w:t xml:space="preserve">Borrower1Information</w:t>
            </w:r>
          </w:p>
        </w:tc>
        <w:tc>
          <w:tcPr>
            <w:tcW w:type="dxa" w:w="2400"/>
            <w:shd w:fill="F2F2F2" w:color="auto" w:val="clear"/>
            <w:tcMar>
              <w:top w:type="dxa" w:w="100"/>
              <w:left w:type="dxa" w:w="120"/>
              <w:bottom w:type="dxa" w:w="100"/>
              <w:right w:type="dxa" w:w="120"/>
            </w:tcMar>
          </w:tcPr>
          <w:p>
            <w:r>
              <w:rPr>
                <w:b w:val="false"/>
                <w:bCs w:val="false"/>
              </w:rPr>
              <w:t xml:space="preserve">BORR1_MARITAL_STATUS</w:t>
            </w:r>
          </w:p>
        </w:tc>
        <w:tc>
          <w:tcPr>
            <w:tcW w:type="dxa" w:w="3480"/>
            <w:shd w:fill="F2F2F2" w:color="auto" w:val="clear"/>
            <w:tcMar>
              <w:top w:type="dxa" w:w="100"/>
              <w:left w:type="dxa" w:w="120"/>
              <w:bottom w:type="dxa" w:w="100"/>
              <w:right w:type="dxa" w:w="120"/>
            </w:tcMar>
          </w:tcPr>
          <w:p>
            <w:r>
              <w:rPr>
                <w:b w:val="false"/>
                <w:bCs w:val="false"/>
              </w:rPr>
              <w:t xml:space="preserve">Single</w:t>
            </w:r>
          </w:p>
        </w:tc>
      </w:tr>
      <w:tr>
        <w:tc>
          <w:tcPr>
            <w:tcW w:type="dxa" w:w="1800"/>
            <w:shd w:fill="FFFFFF" w:color="auto" w:val="clear"/>
            <w:tcMar>
              <w:top w:type="dxa" w:w="100"/>
              <w:left w:type="dxa" w:w="120"/>
              <w:bottom w:type="dxa" w:w="100"/>
              <w:right w:type="dxa" w:w="120"/>
            </w:tcMar>
          </w:tcPr>
          <w:p>
            <w:r>
              <w:rPr>
                <w:b w:val="false"/>
                <w:bCs w:val="false"/>
              </w:rPr>
              <w:t xml:space="preserve">2efe890e...</w:t>
            </w:r>
          </w:p>
        </w:tc>
        <w:tc>
          <w:tcPr>
            <w:tcW w:type="dxa" w:w="2400"/>
            <w:shd w:fill="FFFFFF" w:color="auto" w:val="clear"/>
            <w:tcMar>
              <w:top w:type="dxa" w:w="100"/>
              <w:left w:type="dxa" w:w="120"/>
              <w:bottom w:type="dxa" w:w="100"/>
              <w:right w:type="dxa" w:w="120"/>
            </w:tcMar>
          </w:tcPr>
          <w:p>
            <w:r>
              <w:rPr>
                <w:b w:val="false"/>
                <w:bCs w:val="false"/>
              </w:rPr>
              <w:t xml:space="preserve">Borrower2Information</w:t>
            </w:r>
          </w:p>
        </w:tc>
        <w:tc>
          <w:tcPr>
            <w:tcW w:type="dxa" w:w="2400"/>
            <w:shd w:fill="FFFFFF" w:color="auto" w:val="clear"/>
            <w:tcMar>
              <w:top w:type="dxa" w:w="100"/>
              <w:left w:type="dxa" w:w="120"/>
              <w:bottom w:type="dxa" w:w="100"/>
              <w:right w:type="dxa" w:w="120"/>
            </w:tcMar>
          </w:tcPr>
          <w:p>
            <w:r>
              <w:rPr>
                <w:b w:val="false"/>
                <w:bCs w:val="false"/>
              </w:rPr>
              <w:t xml:space="preserve">BORR2_SSN</w:t>
            </w:r>
          </w:p>
        </w:tc>
        <w:tc>
          <w:tcPr>
            <w:tcW w:type="dxa" w:w="3480"/>
            <w:shd w:fill="FFFFFF" w:color="auto" w:val="clear"/>
            <w:tcMar>
              <w:top w:type="dxa" w:w="100"/>
              <w:left w:type="dxa" w:w="120"/>
              <w:bottom w:type="dxa" w:w="100"/>
              <w:right w:type="dxa" w:w="120"/>
            </w:tcMar>
          </w:tcPr>
          <w:p>
            <w:r>
              <w:rPr>
                <w:b w:val="false"/>
                <w:bCs w:val="false"/>
              </w:rPr>
              <w:t xml:space="preserve">123-45-6789</w:t>
            </w:r>
          </w:p>
        </w:tc>
      </w:tr>
      <w:tr>
        <w:tc>
          <w:tcPr>
            <w:tcW w:type="dxa" w:w="1800"/>
            <w:shd w:fill="F2F2F2" w:color="auto" w:val="clear"/>
            <w:tcMar>
              <w:top w:type="dxa" w:w="100"/>
              <w:left w:type="dxa" w:w="120"/>
              <w:bottom w:type="dxa" w:w="100"/>
              <w:right w:type="dxa" w:w="120"/>
            </w:tcMar>
          </w:tcPr>
          <w:p>
            <w:r>
              <w:rPr>
                <w:b w:val="false"/>
                <w:bCs w:val="false"/>
              </w:rPr>
              <w:t xml:space="preserve">2efe890e...</w:t>
            </w:r>
          </w:p>
        </w:tc>
        <w:tc>
          <w:tcPr>
            <w:tcW w:type="dxa" w:w="2400"/>
            <w:shd w:fill="F2F2F2" w:color="auto" w:val="clear"/>
            <w:tcMar>
              <w:top w:type="dxa" w:w="100"/>
              <w:left w:type="dxa" w:w="120"/>
              <w:bottom w:type="dxa" w:w="100"/>
              <w:right w:type="dxa" w:w="120"/>
            </w:tcMar>
          </w:tcPr>
          <w:p>
            <w:r>
              <w:rPr>
                <w:b w:val="false"/>
                <w:bCs w:val="false"/>
              </w:rPr>
              <w:t xml:space="preserve">Borrower2Information</w:t>
            </w:r>
          </w:p>
        </w:tc>
        <w:tc>
          <w:tcPr>
            <w:tcW w:type="dxa" w:w="2400"/>
            <w:shd w:fill="F2F2F2" w:color="auto" w:val="clear"/>
            <w:tcMar>
              <w:top w:type="dxa" w:w="100"/>
              <w:left w:type="dxa" w:w="120"/>
              <w:bottom w:type="dxa" w:w="100"/>
              <w:right w:type="dxa" w:w="120"/>
            </w:tcMar>
          </w:tcPr>
          <w:p>
            <w:r>
              <w:rPr>
                <w:b w:val="false"/>
                <w:bCs w:val="false"/>
              </w:rPr>
              <w:t xml:space="preserve">BORR2_MARITAL_STATUS</w:t>
            </w:r>
          </w:p>
        </w:tc>
        <w:tc>
          <w:tcPr>
            <w:tcW w:type="dxa" w:w="3480"/>
            <w:shd w:fill="F2F2F2" w:color="auto" w:val="clear"/>
            <w:tcMar>
              <w:top w:type="dxa" w:w="100"/>
              <w:left w:type="dxa" w:w="120"/>
              <w:bottom w:type="dxa" w:w="100"/>
              <w:right w:type="dxa" w:w="120"/>
            </w:tcMar>
          </w:tcPr>
          <w:p>
            <w:r>
              <w:rPr>
                <w:b w:val="false"/>
                <w:bCs w:val="false"/>
              </w:rPr>
              <w:t xml:space="preserve">Married</w:t>
            </w:r>
          </w:p>
        </w:tc>
      </w:tr>
    </w:tbl>
    <w:p>
      <w:pPr>
        <w:pStyle w:val="Heading2"/>
        <w:spacing w:after="120" w:before="280"/>
      </w:pPr>
      <w:r>
        <w:t xml:space="preserve">Step 6: Aggregate into one wide row per table, per loan</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STREAM b1_fields AS</w:t>
      </w:r>
      <w:r>
        <w:br/>
        <w:t xml:space="preserve"/>
      </w:r>
      <w:r>
        <w:rPr>
          <w:rFonts w:ascii="Consolas" w:cs="Consolas" w:eastAsia="Consolas" w:hAnsi="Consolas"/>
          <w:sz w:val="18"/>
          <w:szCs w:val="18"/>
        </w:rPr>
        <w:t xml:space="preserve">  SELECT loanId, col, val FROM webhook_fields_mapped</w:t>
      </w:r>
      <w:r>
        <w:br/>
        <w:t xml:space="preserve"/>
      </w:r>
      <w:r>
        <w:rPr>
          <w:rFonts w:ascii="Consolas" w:cs="Consolas" w:eastAsia="Consolas" w:hAnsi="Consolas"/>
          <w:sz w:val="18"/>
          <w:szCs w:val="18"/>
        </w:rPr>
        <w:t xml:space="preserve">  WHERE targetTable = 'Borrower1Information' EMIT CHANGES;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CREATE STREAM b2_fields AS</w:t>
      </w:r>
      <w:r>
        <w:br/>
        <w:t xml:space="preserve"/>
      </w:r>
      <w:r>
        <w:rPr>
          <w:rFonts w:ascii="Consolas" w:cs="Consolas" w:eastAsia="Consolas" w:hAnsi="Consolas"/>
          <w:sz w:val="18"/>
          <w:szCs w:val="18"/>
        </w:rPr>
        <w:t xml:space="preserve">  SELECT loanId, col, val FROM webhook_fields_mapped</w:t>
      </w:r>
      <w:r>
        <w:br/>
        <w:t xml:space="preserve"/>
      </w:r>
      <w:r>
        <w:rPr>
          <w:rFonts w:ascii="Consolas" w:cs="Consolas" w:eastAsia="Consolas" w:hAnsi="Consolas"/>
          <w:sz w:val="18"/>
          <w:szCs w:val="18"/>
        </w:rPr>
        <w:t xml:space="preserve">  WHERE targetTable = 'Borrower2Information' EMIT CHANGES;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CREATE TABLE sql_borrower1information AS</w:t>
      </w:r>
      <w:r>
        <w:br/>
        <w:t xml:space="preserve"/>
      </w:r>
      <w:r>
        <w:rPr>
          <w:rFonts w:ascii="Consolas" w:cs="Consolas" w:eastAsia="Consolas" w:hAnsi="Consolas"/>
          <w:sz w:val="18"/>
          <w:szCs w:val="18"/>
        </w:rPr>
        <w:t xml:space="preserve">SELECT loanId,</w:t>
      </w:r>
      <w:r>
        <w:br/>
        <w:t xml:space="preserve"/>
      </w:r>
      <w:r>
        <w:rPr>
          <w:rFonts w:ascii="Consolas" w:cs="Consolas" w:eastAsia="Consolas" w:hAnsi="Consolas"/>
          <w:sz w:val="18"/>
          <w:szCs w:val="18"/>
        </w:rPr>
        <w:t xml:space="preserve">    LATEST_BY_OFFSET(CASE WHEN col = 'BORR1_SSN' THEN val END) AS BORR1_SSN,</w:t>
      </w:r>
      <w:r>
        <w:br/>
        <w:t xml:space="preserve"/>
      </w:r>
      <w:r>
        <w:rPr>
          <w:rFonts w:ascii="Consolas" w:cs="Consolas" w:eastAsia="Consolas" w:hAnsi="Consolas"/>
          <w:sz w:val="18"/>
          <w:szCs w:val="18"/>
        </w:rPr>
        <w:t xml:space="preserve">    LATEST_BY_OFFSET(CASE WHEN col = 'BORR1_MARITAL_STATUS' THEN val END) AS BORR1_MARITAL_STATUS</w:t>
      </w:r>
      <w:r>
        <w:br/>
        <w:t xml:space="preserve"/>
      </w:r>
      <w:r>
        <w:rPr>
          <w:rFonts w:ascii="Consolas" w:cs="Consolas" w:eastAsia="Consolas" w:hAnsi="Consolas"/>
          <w:sz w:val="18"/>
          <w:szCs w:val="18"/>
        </w:rPr>
        <w:t xml:space="preserve">FROM b1_fields GROUP BY loanId EMIT CHANGES;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CREATE TABLE sql_borrower2information AS</w:t>
      </w:r>
      <w:r>
        <w:br/>
        <w:t xml:space="preserve"/>
      </w:r>
      <w:r>
        <w:rPr>
          <w:rFonts w:ascii="Consolas" w:cs="Consolas" w:eastAsia="Consolas" w:hAnsi="Consolas"/>
          <w:sz w:val="18"/>
          <w:szCs w:val="18"/>
        </w:rPr>
        <w:t xml:space="preserve">SELECT loanId,</w:t>
      </w:r>
      <w:r>
        <w:br/>
        <w:t xml:space="preserve"/>
      </w:r>
      <w:r>
        <w:rPr>
          <w:rFonts w:ascii="Consolas" w:cs="Consolas" w:eastAsia="Consolas" w:hAnsi="Consolas"/>
          <w:sz w:val="18"/>
          <w:szCs w:val="18"/>
        </w:rPr>
        <w:t xml:space="preserve">    LATEST_BY_OFFSET(CASE WHEN col = 'BORR2_SSN' THEN val END) AS BORR2_SSN,</w:t>
      </w:r>
      <w:r>
        <w:br/>
        <w:t xml:space="preserve"/>
      </w:r>
      <w:r>
        <w:rPr>
          <w:rFonts w:ascii="Consolas" w:cs="Consolas" w:eastAsia="Consolas" w:hAnsi="Consolas"/>
          <w:sz w:val="18"/>
          <w:szCs w:val="18"/>
        </w:rPr>
        <w:t xml:space="preserve">    LATEST_BY_OFFSET(CASE WHEN col = 'BORR2_MARITAL_STATUS' THEN val END) AS BORR2_MARITAL_STATUS</w:t>
      </w:r>
      <w:r>
        <w:br/>
        <w:t xml:space="preserve"/>
      </w:r>
      <w:r>
        <w:rPr>
          <w:rFonts w:ascii="Consolas" w:cs="Consolas" w:eastAsia="Consolas" w:hAnsi="Consolas"/>
          <w:sz w:val="18"/>
          <w:szCs w:val="18"/>
        </w:rPr>
        <w:t xml:space="preserve">FROM b2_fields GROUP BY loanId EMIT CHANGES;</w:t>
      </w:r>
    </w:p>
    <w:p>
      <w:pPr>
        <w:spacing w:after="40"/>
      </w:pPr>
      <w:r>
        <w:t xml:space="preserve">Sample output — the current-state row ksqlDB now holds for each table (this is what gets republished on every update, not just the field that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3080"/>
      </w:tblGrid>
      <w:tr>
        <w:tc>
          <w:tcPr>
            <w:tcW w:type="dxa" w:w="2600"/>
            <w:shd w:fill="44546A" w:color="auto" w:val="clear"/>
            <w:tcMar>
              <w:top w:type="dxa" w:w="100"/>
              <w:left w:type="dxa" w:w="120"/>
              <w:bottom w:type="dxa" w:w="100"/>
              <w:right w:type="dxa" w:w="120"/>
            </w:tcMar>
          </w:tcPr>
          <w:p>
            <w:r>
              <w:rPr>
                <w:b/>
                <w:bCs/>
                <w:color w:val="FFFFFF"/>
              </w:rPr>
              <w:t xml:space="preserve">Table (ksqlDB)</w:t>
            </w:r>
          </w:p>
        </w:tc>
        <w:tc>
          <w:tcPr>
            <w:tcW w:type="dxa" w:w="2200"/>
            <w:shd w:fill="44546A" w:color="auto" w:val="clear"/>
            <w:tcMar>
              <w:top w:type="dxa" w:w="100"/>
              <w:left w:type="dxa" w:w="120"/>
              <w:bottom w:type="dxa" w:w="100"/>
              <w:right w:type="dxa" w:w="120"/>
            </w:tcMar>
          </w:tcPr>
          <w:p>
            <w:r>
              <w:rPr>
                <w:b/>
                <w:bCs/>
                <w:color w:val="FFFFFF"/>
              </w:rPr>
              <w:t xml:space="preserve">loanId</w:t>
            </w:r>
          </w:p>
        </w:tc>
        <w:tc>
          <w:tcPr>
            <w:tcW w:type="dxa" w:w="2200"/>
            <w:shd w:fill="44546A" w:color="auto" w:val="clear"/>
            <w:tcMar>
              <w:top w:type="dxa" w:w="100"/>
              <w:left w:type="dxa" w:w="120"/>
              <w:bottom w:type="dxa" w:w="100"/>
              <w:right w:type="dxa" w:w="120"/>
            </w:tcMar>
          </w:tcPr>
          <w:p>
            <w:r>
              <w:rPr>
                <w:b/>
                <w:bCs/>
                <w:color w:val="FFFFFF"/>
              </w:rPr>
              <w:t xml:space="preserve">BORR*_SSN</w:t>
            </w:r>
          </w:p>
        </w:tc>
        <w:tc>
          <w:tcPr>
            <w:tcW w:type="dxa" w:w="3080"/>
            <w:shd w:fill="44546A" w:color="auto" w:val="clear"/>
            <w:tcMar>
              <w:top w:type="dxa" w:w="100"/>
              <w:left w:type="dxa" w:w="120"/>
              <w:bottom w:type="dxa" w:w="100"/>
              <w:right w:type="dxa" w:w="120"/>
            </w:tcMar>
          </w:tcPr>
          <w:p>
            <w:r>
              <w:rPr>
                <w:b/>
                <w:bCs/>
                <w:color w:val="FFFFFF"/>
              </w:rPr>
              <w:t xml:space="preserve">BORR*_MARITAL_STATUS</w:t>
            </w:r>
          </w:p>
        </w:tc>
      </w:tr>
      <w:tr>
        <w:tc>
          <w:tcPr>
            <w:tcW w:type="dxa" w:w="2600"/>
            <w:shd w:fill="FFFFFF" w:color="auto" w:val="clear"/>
            <w:tcMar>
              <w:top w:type="dxa" w:w="100"/>
              <w:left w:type="dxa" w:w="120"/>
              <w:bottom w:type="dxa" w:w="100"/>
              <w:right w:type="dxa" w:w="120"/>
            </w:tcMar>
          </w:tcPr>
          <w:p>
            <w:r>
              <w:rPr>
                <w:b w:val="false"/>
                <w:bCs w:val="false"/>
              </w:rPr>
              <w:t xml:space="preserve">sql_borrower1information</w:t>
            </w:r>
          </w:p>
        </w:tc>
        <w:tc>
          <w:tcPr>
            <w:tcW w:type="dxa" w:w="2200"/>
            <w:shd w:fill="FFFFFF" w:color="auto" w:val="clear"/>
            <w:tcMar>
              <w:top w:type="dxa" w:w="100"/>
              <w:left w:type="dxa" w:w="120"/>
              <w:bottom w:type="dxa" w:w="100"/>
              <w:right w:type="dxa" w:w="120"/>
            </w:tcMar>
          </w:tcPr>
          <w:p>
            <w:r>
              <w:rPr>
                <w:b w:val="false"/>
                <w:bCs w:val="false"/>
              </w:rPr>
              <w:t xml:space="preserve">2efe890e...</w:t>
            </w:r>
          </w:p>
        </w:tc>
        <w:tc>
          <w:tcPr>
            <w:tcW w:type="dxa" w:w="2200"/>
            <w:shd w:fill="FFFFFF" w:color="auto" w:val="clear"/>
            <w:tcMar>
              <w:top w:type="dxa" w:w="100"/>
              <w:left w:type="dxa" w:w="120"/>
              <w:bottom w:type="dxa" w:w="100"/>
              <w:right w:type="dxa" w:w="120"/>
            </w:tcMar>
          </w:tcPr>
          <w:p>
            <w:r>
              <w:rPr>
                <w:b w:val="false"/>
                <w:bCs w:val="false"/>
              </w:rPr>
              <w:t xml:space="preserve">111-22-3333</w:t>
            </w:r>
          </w:p>
        </w:tc>
        <w:tc>
          <w:tcPr>
            <w:tcW w:type="dxa" w:w="3080"/>
            <w:shd w:fill="FFFFFF" w:color="auto" w:val="clear"/>
            <w:tcMar>
              <w:top w:type="dxa" w:w="100"/>
              <w:left w:type="dxa" w:w="120"/>
              <w:bottom w:type="dxa" w:w="100"/>
              <w:right w:type="dxa" w:w="120"/>
            </w:tcMar>
          </w:tcPr>
          <w:p>
            <w:r>
              <w:rPr>
                <w:b w:val="false"/>
                <w:bCs w:val="false"/>
              </w:rPr>
              <w:t xml:space="preserve">Single</w:t>
            </w:r>
          </w:p>
        </w:tc>
      </w:tr>
      <w:tr>
        <w:tc>
          <w:tcPr>
            <w:tcW w:type="dxa" w:w="2600"/>
            <w:shd w:fill="F2F2F2" w:color="auto" w:val="clear"/>
            <w:tcMar>
              <w:top w:type="dxa" w:w="100"/>
              <w:left w:type="dxa" w:w="120"/>
              <w:bottom w:type="dxa" w:w="100"/>
              <w:right w:type="dxa" w:w="120"/>
            </w:tcMar>
          </w:tcPr>
          <w:p>
            <w:r>
              <w:rPr>
                <w:b w:val="false"/>
                <w:bCs w:val="false"/>
              </w:rPr>
              <w:t xml:space="preserve">sql_borrower2information</w:t>
            </w:r>
          </w:p>
        </w:tc>
        <w:tc>
          <w:tcPr>
            <w:tcW w:type="dxa" w:w="2200"/>
            <w:shd w:fill="F2F2F2" w:color="auto" w:val="clear"/>
            <w:tcMar>
              <w:top w:type="dxa" w:w="100"/>
              <w:left w:type="dxa" w:w="120"/>
              <w:bottom w:type="dxa" w:w="100"/>
              <w:right w:type="dxa" w:w="120"/>
            </w:tcMar>
          </w:tcPr>
          <w:p>
            <w:r>
              <w:rPr>
                <w:b w:val="false"/>
                <w:bCs w:val="false"/>
              </w:rPr>
              <w:t xml:space="preserve">2efe890e...</w:t>
            </w:r>
          </w:p>
        </w:tc>
        <w:tc>
          <w:tcPr>
            <w:tcW w:type="dxa" w:w="2200"/>
            <w:shd w:fill="F2F2F2" w:color="auto" w:val="clear"/>
            <w:tcMar>
              <w:top w:type="dxa" w:w="100"/>
              <w:left w:type="dxa" w:w="120"/>
              <w:bottom w:type="dxa" w:w="100"/>
              <w:right w:type="dxa" w:w="120"/>
            </w:tcMar>
          </w:tcPr>
          <w:p>
            <w:r>
              <w:rPr>
                <w:b w:val="false"/>
                <w:bCs w:val="false"/>
              </w:rPr>
              <w:t xml:space="preserve">123-45-6789</w:t>
            </w:r>
          </w:p>
        </w:tc>
        <w:tc>
          <w:tcPr>
            <w:tcW w:type="dxa" w:w="3080"/>
            <w:shd w:fill="F2F2F2" w:color="auto" w:val="clear"/>
            <w:tcMar>
              <w:top w:type="dxa" w:w="100"/>
              <w:left w:type="dxa" w:w="120"/>
              <w:bottom w:type="dxa" w:w="100"/>
              <w:right w:type="dxa" w:w="120"/>
            </w:tcMar>
          </w:tcPr>
          <w:p>
            <w:r>
              <w:rPr>
                <w:b w:val="false"/>
                <w:bCs w:val="false"/>
              </w:rPr>
              <w:t xml:space="preserve">Married</w:t>
            </w:r>
          </w:p>
        </w:tc>
      </w:tr>
    </w:tbl>
    <w:p>
      <w:pPr>
        <w:pStyle w:val="Heading2"/>
        <w:spacing w:after="120" w:before="280"/>
      </w:pPr>
      <w:r>
        <w:t xml:space="preserve">Step 7: What lands on the per-table Kafka topics</w:t>
      </w:r>
    </w:p>
    <w:p>
      <w:pPr>
        <w:spacing w:after="160"/>
      </w:pPr>
      <w:r>
        <w:t xml:space="preserve">Each ksqlDB table above is backed by a Kafka topic that the JDBC Sink Connector reads. This is the exact message shape the connector sees:</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Topic: sql.borrower1information</w:t>
      </w:r>
      <w:r>
        <w:br/>
        <w:t xml:space="preserve"/>
      </w:r>
      <w:r>
        <w:rPr>
          <w:rFonts w:ascii="Consolas" w:cs="Consolas" w:eastAsia="Consolas" w:hAnsi="Consolas"/>
          <w:sz w:val="18"/>
          <w:szCs w:val="18"/>
        </w:rPr>
        <w:t xml:space="preserve">  key:   "2efe890e-191d-4d85-868e-dc492e53ab55"</w:t>
      </w:r>
      <w:r>
        <w:br/>
        <w:t xml:space="preserve"/>
      </w:r>
      <w:r>
        <w:rPr>
          <w:rFonts w:ascii="Consolas" w:cs="Consolas" w:eastAsia="Consolas" w:hAnsi="Consolas"/>
          <w:sz w:val="18"/>
          <w:szCs w:val="18"/>
        </w:rPr>
        <w:t xml:space="preserve">  value: {"BORR1_SSN": "111-22-3333", "BORR1_MARITAL_STATUS": "Single"}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Topic: sql.borrower2information</w:t>
      </w:r>
      <w:r>
        <w:br/>
        <w:t xml:space="preserve"/>
      </w:r>
      <w:r>
        <w:rPr>
          <w:rFonts w:ascii="Consolas" w:cs="Consolas" w:eastAsia="Consolas" w:hAnsi="Consolas"/>
          <w:sz w:val="18"/>
          <w:szCs w:val="18"/>
        </w:rPr>
        <w:t xml:space="preserve">  key:   "2efe890e-191d-4d85-868e-dc492e53ab55"</w:t>
      </w:r>
      <w:r>
        <w:br/>
        <w:t xml:space="preserve"/>
      </w:r>
      <w:r>
        <w:rPr>
          <w:rFonts w:ascii="Consolas" w:cs="Consolas" w:eastAsia="Consolas" w:hAnsi="Consolas"/>
          <w:sz w:val="18"/>
          <w:szCs w:val="18"/>
        </w:rPr>
        <w:t xml:space="preserve">  value: {"BORR2_SSN": "123-45-6789", "BORR2_MARITAL_STATUS": "Married"}</w:t>
      </w:r>
    </w:p>
    <w:p>
      <w:pPr>
        <w:pStyle w:val="Heading2"/>
        <w:spacing w:after="120" w:before="280"/>
      </w:pPr>
      <w:r>
        <w:t xml:space="preserve">Step 8: What actually happens in SQL Server</w:t>
      </w:r>
    </w:p>
    <w:p>
      <w:pPr>
        <w:spacing w:after="160"/>
      </w:pPr>
      <w:r>
        <w:t xml:space="preserve">Two separate JDBC Sink Connectors (insert.mode=upsert, pk.mode=record_key) each read one of the topics above and issue a MERGE against their own table:</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 from sql.borrower1information:</w:t>
      </w:r>
      <w:r>
        <w:br/>
        <w:t xml:space="preserve"/>
      </w:r>
      <w:r>
        <w:rPr>
          <w:rFonts w:ascii="Consolas" w:cs="Consolas" w:eastAsia="Consolas" w:hAnsi="Consolas"/>
          <w:sz w:val="18"/>
          <w:szCs w:val="18"/>
        </w:rPr>
        <w:t xml:space="preserve">MERGE Borrower1Information AS t</w:t>
      </w:r>
      <w:r>
        <w:br/>
        <w:t xml:space="preserve"/>
      </w:r>
      <w:r>
        <w:rPr>
          <w:rFonts w:ascii="Consolas" w:cs="Consolas" w:eastAsia="Consolas" w:hAnsi="Consolas"/>
          <w:sz w:val="18"/>
          <w:szCs w:val="18"/>
        </w:rPr>
        <w:t xml:space="preserve">USING (SELECT '2efe890e-191d-4d85-868e-dc492e53ab55' AS LoanId,</w:t>
      </w:r>
      <w:r>
        <w:br/>
        <w:t xml:space="preserve"/>
      </w:r>
      <w:r>
        <w:rPr>
          <w:rFonts w:ascii="Consolas" w:cs="Consolas" w:eastAsia="Consolas" w:hAnsi="Consolas"/>
          <w:sz w:val="18"/>
          <w:szCs w:val="18"/>
        </w:rPr>
        <w:t xml:space="preserve">              '111-22-3333' AS BORR1_SSN, 'Single' AS BORR1_MARITAL_STATUS) AS s</w:t>
      </w:r>
      <w:r>
        <w:br/>
        <w:t xml:space="preserve"/>
      </w:r>
      <w:r>
        <w:rPr>
          <w:rFonts w:ascii="Consolas" w:cs="Consolas" w:eastAsia="Consolas" w:hAnsi="Consolas"/>
          <w:sz w:val="18"/>
          <w:szCs w:val="18"/>
        </w:rPr>
        <w:t xml:space="preserve">ON t.LoanId = s.LoanId</w:t>
      </w:r>
      <w:r>
        <w:br/>
        <w:t xml:space="preserve"/>
      </w:r>
      <w:r>
        <w:rPr>
          <w:rFonts w:ascii="Consolas" w:cs="Consolas" w:eastAsia="Consolas" w:hAnsi="Consolas"/>
          <w:sz w:val="18"/>
          <w:szCs w:val="18"/>
        </w:rPr>
        <w:t xml:space="preserve">WHEN MATCHED THEN UPDATE SET BORR1_SSN = s.BORR1_SSN, BORR1_MARITAL_STATUS = s.BORR1_MARITAL_STATUS</w:t>
      </w:r>
      <w:r>
        <w:br/>
        <w:t xml:space="preserve"/>
      </w:r>
      <w:r>
        <w:rPr>
          <w:rFonts w:ascii="Consolas" w:cs="Consolas" w:eastAsia="Consolas" w:hAnsi="Consolas"/>
          <w:sz w:val="18"/>
          <w:szCs w:val="18"/>
        </w:rPr>
        <w:t xml:space="preserve">WHEN NOT MATCHED THEN INSERT (LoanId, BORR1_SSN, BORR1_MARITAL_STATUS)</w:t>
      </w:r>
      <w:r>
        <w:br/>
        <w:t xml:space="preserve"/>
      </w:r>
      <w:r>
        <w:rPr>
          <w:rFonts w:ascii="Consolas" w:cs="Consolas" w:eastAsia="Consolas" w:hAnsi="Consolas"/>
          <w:sz w:val="18"/>
          <w:szCs w:val="18"/>
        </w:rPr>
        <w:t xml:space="preserve">  VALUES (s.LoanId, s.BORR1_SSN, s.BORR1_MARITAL_STATUS);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from sql.borrower2information:</w:t>
      </w:r>
      <w:r>
        <w:br/>
        <w:t xml:space="preserve"/>
      </w:r>
      <w:r>
        <w:rPr>
          <w:rFonts w:ascii="Consolas" w:cs="Consolas" w:eastAsia="Consolas" w:hAnsi="Consolas"/>
          <w:sz w:val="18"/>
          <w:szCs w:val="18"/>
        </w:rPr>
        <w:t xml:space="preserve">MERGE Borrower2Information AS t</w:t>
      </w:r>
      <w:r>
        <w:br/>
        <w:t xml:space="preserve"/>
      </w:r>
      <w:r>
        <w:rPr>
          <w:rFonts w:ascii="Consolas" w:cs="Consolas" w:eastAsia="Consolas" w:hAnsi="Consolas"/>
          <w:sz w:val="18"/>
          <w:szCs w:val="18"/>
        </w:rPr>
        <w:t xml:space="preserve">USING (SELECT '2efe890e-191d-4d85-868e-dc492e53ab55' AS LoanId,</w:t>
      </w:r>
      <w:r>
        <w:br/>
        <w:t xml:space="preserve"/>
      </w:r>
      <w:r>
        <w:rPr>
          <w:rFonts w:ascii="Consolas" w:cs="Consolas" w:eastAsia="Consolas" w:hAnsi="Consolas"/>
          <w:sz w:val="18"/>
          <w:szCs w:val="18"/>
        </w:rPr>
        <w:t xml:space="preserve">              '123-45-6789' AS BORR2_SSN, 'Married' AS BORR2_MARITAL_STATUS) AS s</w:t>
      </w:r>
      <w:r>
        <w:br/>
        <w:t xml:space="preserve"/>
      </w:r>
      <w:r>
        <w:rPr>
          <w:rFonts w:ascii="Consolas" w:cs="Consolas" w:eastAsia="Consolas" w:hAnsi="Consolas"/>
          <w:sz w:val="18"/>
          <w:szCs w:val="18"/>
        </w:rPr>
        <w:t xml:space="preserve">ON t.LoanId = s.LoanId</w:t>
      </w:r>
      <w:r>
        <w:br/>
        <w:t xml:space="preserve"/>
      </w:r>
      <w:r>
        <w:rPr>
          <w:rFonts w:ascii="Consolas" w:cs="Consolas" w:eastAsia="Consolas" w:hAnsi="Consolas"/>
          <w:sz w:val="18"/>
          <w:szCs w:val="18"/>
        </w:rPr>
        <w:t xml:space="preserve">WHEN MATCHED THEN UPDATE SET BORR2_SSN = s.BORR2_SSN, BORR2_MARITAL_STATUS = s.BORR2_MARITAL_STATUS</w:t>
      </w:r>
      <w:r>
        <w:br/>
        <w:t xml:space="preserve"/>
      </w:r>
      <w:r>
        <w:rPr>
          <w:rFonts w:ascii="Consolas" w:cs="Consolas" w:eastAsia="Consolas" w:hAnsi="Consolas"/>
          <w:sz w:val="18"/>
          <w:szCs w:val="18"/>
        </w:rPr>
        <w:t xml:space="preserve">WHEN NOT MATCHED THEN INSERT (LoanId, BORR2_SSN, BORR2_MARITAL_STATUS)</w:t>
      </w:r>
      <w:r>
        <w:br/>
        <w:t xml:space="preserve"/>
      </w:r>
      <w:r>
        <w:rPr>
          <w:rFonts w:ascii="Consolas" w:cs="Consolas" w:eastAsia="Consolas" w:hAnsi="Consolas"/>
          <w:sz w:val="18"/>
          <w:szCs w:val="18"/>
        </w:rPr>
        <w:t xml:space="preserve">  VALUES (s.LoanId, s.BORR2_SSN, s.BORR2_MARITAL_STATUS);</w:t>
      </w:r>
    </w:p>
    <w:p>
      <w:pPr>
        <w:spacing w:after="40"/>
      </w:pPr>
      <w:r>
        <w:t xml:space="preserve">Sample output — the two SQL Server rows after both MERGEs run (columns not shown, e.g. BORR1_FIRST_NAME, BORR1_DOB, are left exactly as they were):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2280"/>
      </w:tblGrid>
      <w:tr>
        <w:tc>
          <w:tcPr>
            <w:tcW w:type="dxa" w:w="2400"/>
            <w:shd w:fill="44546A" w:color="auto" w:val="clear"/>
            <w:tcMar>
              <w:top w:type="dxa" w:w="100"/>
              <w:left w:type="dxa" w:w="120"/>
              <w:bottom w:type="dxa" w:w="100"/>
              <w:right w:type="dxa" w:w="120"/>
            </w:tcMar>
          </w:tcPr>
          <w:p>
            <w:r>
              <w:rPr>
                <w:b/>
                <w:bCs/>
                <w:color w:val="FFFFFF"/>
              </w:rPr>
              <w:t xml:space="preserve">Table</w:t>
            </w:r>
          </w:p>
        </w:tc>
        <w:tc>
          <w:tcPr>
            <w:tcW w:type="dxa" w:w="1800"/>
            <w:shd w:fill="44546A" w:color="auto" w:val="clear"/>
            <w:tcMar>
              <w:top w:type="dxa" w:w="100"/>
              <w:left w:type="dxa" w:w="120"/>
              <w:bottom w:type="dxa" w:w="100"/>
              <w:right w:type="dxa" w:w="120"/>
            </w:tcMar>
          </w:tcPr>
          <w:p>
            <w:r>
              <w:rPr>
                <w:b/>
                <w:bCs/>
                <w:color w:val="FFFFFF"/>
              </w:rPr>
              <w:t xml:space="preserve">LoanId</w:t>
            </w:r>
          </w:p>
        </w:tc>
        <w:tc>
          <w:tcPr>
            <w:tcW w:type="dxa" w:w="1800"/>
            <w:shd w:fill="44546A" w:color="auto" w:val="clear"/>
            <w:tcMar>
              <w:top w:type="dxa" w:w="100"/>
              <w:left w:type="dxa" w:w="120"/>
              <w:bottom w:type="dxa" w:w="100"/>
              <w:right w:type="dxa" w:w="120"/>
            </w:tcMar>
          </w:tcPr>
          <w:p>
            <w:r>
              <w:rPr>
                <w:b/>
                <w:bCs/>
                <w:color w:val="FFFFFF"/>
              </w:rPr>
              <w:t xml:space="preserve">SSN column</w:t>
            </w:r>
          </w:p>
        </w:tc>
        <w:tc>
          <w:tcPr>
            <w:tcW w:type="dxa" w:w="1800"/>
            <w:shd w:fill="44546A" w:color="auto" w:val="clear"/>
            <w:tcMar>
              <w:top w:type="dxa" w:w="100"/>
              <w:left w:type="dxa" w:w="120"/>
              <w:bottom w:type="dxa" w:w="100"/>
              <w:right w:type="dxa" w:w="120"/>
            </w:tcMar>
          </w:tcPr>
          <w:p>
            <w:r>
              <w:rPr>
                <w:b/>
                <w:bCs/>
                <w:color w:val="FFFFFF"/>
              </w:rPr>
              <w:t xml:space="preserve">Marital status column</w:t>
            </w:r>
          </w:p>
        </w:tc>
        <w:tc>
          <w:tcPr>
            <w:tcW w:type="dxa" w:w="2280"/>
            <w:shd w:fill="44546A" w:color="auto" w:val="clear"/>
            <w:tcMar>
              <w:top w:type="dxa" w:w="100"/>
              <w:left w:type="dxa" w:w="120"/>
              <w:bottom w:type="dxa" w:w="100"/>
              <w:right w:type="dxa" w:w="120"/>
            </w:tcMar>
          </w:tcPr>
          <w:p>
            <w:r>
              <w:rPr>
                <w:b/>
                <w:bCs/>
                <w:color w:val="FFFFFF"/>
              </w:rPr>
              <w:t xml:space="preserve">Other columns</w:t>
            </w:r>
          </w:p>
        </w:tc>
      </w:tr>
      <w:tr>
        <w:tc>
          <w:tcPr>
            <w:tcW w:type="dxa" w:w="2400"/>
            <w:shd w:fill="FFFFFF" w:color="auto" w:val="clear"/>
            <w:tcMar>
              <w:top w:type="dxa" w:w="100"/>
              <w:left w:type="dxa" w:w="120"/>
              <w:bottom w:type="dxa" w:w="100"/>
              <w:right w:type="dxa" w:w="120"/>
            </w:tcMar>
          </w:tcPr>
          <w:p>
            <w:r>
              <w:rPr>
                <w:b w:val="false"/>
                <w:bCs w:val="false"/>
              </w:rPr>
              <w:t xml:space="preserve">Borrower1Information</w:t>
            </w:r>
          </w:p>
        </w:tc>
        <w:tc>
          <w:tcPr>
            <w:tcW w:type="dxa" w:w="1800"/>
            <w:shd w:fill="FFFFFF" w:color="auto" w:val="clear"/>
            <w:tcMar>
              <w:top w:type="dxa" w:w="100"/>
              <w:left w:type="dxa" w:w="120"/>
              <w:bottom w:type="dxa" w:w="100"/>
              <w:right w:type="dxa" w:w="120"/>
            </w:tcMar>
          </w:tcPr>
          <w:p>
            <w:r>
              <w:rPr>
                <w:b w:val="false"/>
                <w:bCs w:val="false"/>
              </w:rPr>
              <w:t xml:space="preserve">2efe890e...</w:t>
            </w:r>
          </w:p>
        </w:tc>
        <w:tc>
          <w:tcPr>
            <w:tcW w:type="dxa" w:w="1800"/>
            <w:shd w:fill="FFFFFF" w:color="auto" w:val="clear"/>
            <w:tcMar>
              <w:top w:type="dxa" w:w="100"/>
              <w:left w:type="dxa" w:w="120"/>
              <w:bottom w:type="dxa" w:w="100"/>
              <w:right w:type="dxa" w:w="120"/>
            </w:tcMar>
          </w:tcPr>
          <w:p>
            <w:r>
              <w:rPr>
                <w:b w:val="false"/>
                <w:bCs w:val="false"/>
              </w:rPr>
              <w:t xml:space="preserve">111-22-3333</w:t>
            </w:r>
          </w:p>
        </w:tc>
        <w:tc>
          <w:tcPr>
            <w:tcW w:type="dxa" w:w="1800"/>
            <w:shd w:fill="FFFFFF" w:color="auto" w:val="clear"/>
            <w:tcMar>
              <w:top w:type="dxa" w:w="100"/>
              <w:left w:type="dxa" w:w="120"/>
              <w:bottom w:type="dxa" w:w="100"/>
              <w:right w:type="dxa" w:w="120"/>
            </w:tcMar>
          </w:tcPr>
          <w:p>
            <w:r>
              <w:rPr>
                <w:b w:val="false"/>
                <w:bCs w:val="false"/>
              </w:rPr>
              <w:t xml:space="preserve">Single</w:t>
            </w:r>
          </w:p>
        </w:tc>
        <w:tc>
          <w:tcPr>
            <w:tcW w:type="dxa" w:w="2280"/>
            <w:shd w:fill="FFFFFF" w:color="auto" w:val="clear"/>
            <w:tcMar>
              <w:top w:type="dxa" w:w="100"/>
              <w:left w:type="dxa" w:w="120"/>
              <w:bottom w:type="dxa" w:w="100"/>
              <w:right w:type="dxa" w:w="120"/>
            </w:tcMar>
          </w:tcPr>
          <w:p>
            <w:r>
              <w:rPr>
                <w:b w:val="false"/>
                <w:bCs w:val="false"/>
              </w:rPr>
              <w:t xml:space="preserve">(untouched)</w:t>
            </w:r>
          </w:p>
        </w:tc>
      </w:tr>
      <w:tr>
        <w:tc>
          <w:tcPr>
            <w:tcW w:type="dxa" w:w="2400"/>
            <w:shd w:fill="F2F2F2" w:color="auto" w:val="clear"/>
            <w:tcMar>
              <w:top w:type="dxa" w:w="100"/>
              <w:left w:type="dxa" w:w="120"/>
              <w:bottom w:type="dxa" w:w="100"/>
              <w:right w:type="dxa" w:w="120"/>
            </w:tcMar>
          </w:tcPr>
          <w:p>
            <w:r>
              <w:rPr>
                <w:b w:val="false"/>
                <w:bCs w:val="false"/>
              </w:rPr>
              <w:t xml:space="preserve">Borrower2Information</w:t>
            </w:r>
          </w:p>
        </w:tc>
        <w:tc>
          <w:tcPr>
            <w:tcW w:type="dxa" w:w="1800"/>
            <w:shd w:fill="F2F2F2" w:color="auto" w:val="clear"/>
            <w:tcMar>
              <w:top w:type="dxa" w:w="100"/>
              <w:left w:type="dxa" w:w="120"/>
              <w:bottom w:type="dxa" w:w="100"/>
              <w:right w:type="dxa" w:w="120"/>
            </w:tcMar>
          </w:tcPr>
          <w:p>
            <w:r>
              <w:rPr>
                <w:b w:val="false"/>
                <w:bCs w:val="false"/>
              </w:rPr>
              <w:t xml:space="preserve">2efe890e...</w:t>
            </w:r>
          </w:p>
        </w:tc>
        <w:tc>
          <w:tcPr>
            <w:tcW w:type="dxa" w:w="1800"/>
            <w:shd w:fill="F2F2F2" w:color="auto" w:val="clear"/>
            <w:tcMar>
              <w:top w:type="dxa" w:w="100"/>
              <w:left w:type="dxa" w:w="120"/>
              <w:bottom w:type="dxa" w:w="100"/>
              <w:right w:type="dxa" w:w="120"/>
            </w:tcMar>
          </w:tcPr>
          <w:p>
            <w:r>
              <w:rPr>
                <w:b w:val="false"/>
                <w:bCs w:val="false"/>
              </w:rPr>
              <w:t xml:space="preserve">123-45-6789</w:t>
            </w:r>
          </w:p>
        </w:tc>
        <w:tc>
          <w:tcPr>
            <w:tcW w:type="dxa" w:w="1800"/>
            <w:shd w:fill="F2F2F2" w:color="auto" w:val="clear"/>
            <w:tcMar>
              <w:top w:type="dxa" w:w="100"/>
              <w:left w:type="dxa" w:w="120"/>
              <w:bottom w:type="dxa" w:w="100"/>
              <w:right w:type="dxa" w:w="120"/>
            </w:tcMar>
          </w:tcPr>
          <w:p>
            <w:r>
              <w:rPr>
                <w:b w:val="false"/>
                <w:bCs w:val="false"/>
              </w:rPr>
              <w:t xml:space="preserve">Married</w:t>
            </w:r>
          </w:p>
        </w:tc>
        <w:tc>
          <w:tcPr>
            <w:tcW w:type="dxa" w:w="2280"/>
            <w:shd w:fill="F2F2F2" w:color="auto" w:val="clear"/>
            <w:tcMar>
              <w:top w:type="dxa" w:w="100"/>
              <w:left w:type="dxa" w:w="120"/>
              <w:bottom w:type="dxa" w:w="100"/>
              <w:right w:type="dxa" w:w="120"/>
            </w:tcMar>
          </w:tcPr>
          <w:p>
            <w:r>
              <w:rPr>
                <w:b w:val="false"/>
                <w:bCs w:val="false"/>
              </w:rPr>
              <w:t xml:space="preserve">(untouched)</w:t>
            </w:r>
          </w:p>
        </w:tc>
      </w:tr>
    </w:tbl>
    <w:p>
      <w:pPr>
        <w:spacing w:after="160"/>
      </w:pPr>
      <w:r>
        <w:t xml:space="preserve">End to end: one webhook event with four field changes resulted in two independent, targeted MERGE statements — one per borrower table — each touching only the two columns that actually changed. Fields 39 and (any others not yet confirmed in the mapping sheet) follow this identical path once their registry rows are added; no pipeline change is needed to onboard them, only a registry row (and, per the earlier caveat, a ksqlDB query edit to add the new column to the relevant sql_borrowerNinformation table definition).</w:t>
      </w:r>
    </w:p>
    <w:p>
      <w:pPr>
        <w:spacing w:after="80" w:before="200"/>
      </w:pPr>
      <w:r>
        <w:rPr>
          <w:b/>
          <w:bCs/>
        </w:rPr>
        <w:t xml:space="preserve">Diagram: end-to-end flow for this example</w:t>
      </w:r>
    </w:p>
    <w:p>
      <w:pPr>
        <w:spacing w:after="240"/>
        <w:jc w:val="center"/>
      </w:pPr>
      <w:r>
        <w:drawing>
          <wp:inline distT="0" distB="0" distL="0" distR="0">
            <wp:extent cx="4572000" cy="721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7210425"/>
                    </a:xfrm>
                    <a:prstGeom prst="rect">
                      <a:avLst/>
                    </a:prstGeom>
                  </pic:spPr>
                </pic:pic>
              </a:graphicData>
            </a:graphic>
          </wp:inline>
        </w:drawing>
      </w:r>
    </w:p>
    <w:p>
      <w:pPr>
        <w:pStyle w:val="Heading1"/>
        <w:spacing w:after="160" w:before="360"/>
      </w:pPr>
      <w:r>
        <w:t xml:space="preserve">Open questions for the brainstorm</w:t>
      </w:r>
    </w:p>
    <w:p>
      <w:pPr>
        <w:pStyle w:val="ListParagraph"/>
        <w:numPr>
          <w:ilvl w:val="0"/>
          <w:numId w:val="1"/>
        </w:numPr>
        <w:spacing w:after="80"/>
      </w:pPr>
      <w:r>
        <w:t xml:space="preserve">Expected event volume/frequency across all 16 banks — does this favor streaming-native scaling (Option 1) or is micro-batch (Options 2/3) comfortably sufficient?</w:t>
      </w:r>
    </w:p>
    <w:p>
      <w:pPr>
        <w:pStyle w:val="ListParagraph"/>
        <w:numPr>
          <w:ilvl w:val="0"/>
          <w:numId w:val="1"/>
        </w:numPr>
        <w:spacing w:after="80"/>
      </w:pPr>
      <w:r>
        <w:t xml:space="preserve">Team's current comfort with Kafka Streams/ksqlDB vs. T-SQL vs. Python — which skill set is deepest today, and which is worth investing in regardless of this decision?</w:t>
      </w:r>
    </w:p>
    <w:p>
      <w:pPr>
        <w:pStyle w:val="ListParagraph"/>
        <w:numPr>
          <w:ilvl w:val="0"/>
          <w:numId w:val="1"/>
        </w:numPr>
        <w:spacing w:after="80"/>
      </w:pPr>
      <w:r>
        <w:t xml:space="preserve">Does adding a new always-on service (Option 3, if not run via Stonebranch) fit existing ops/monitoring standards, or is it a harder sell than extending Kafka Connect or SQL Agent?</w:t>
      </w:r>
    </w:p>
    <w:p>
      <w:pPr>
        <w:pStyle w:val="ListParagraph"/>
        <w:numPr>
          <w:ilvl w:val="0"/>
          <w:numId w:val="1"/>
        </w:numPr>
        <w:spacing w:after="80"/>
      </w:pPr>
      <w:r>
        <w:t xml:space="preserve">How firm is the Couchbase timeline — does it change which option is easiest to extend first?</w:t>
      </w:r>
    </w:p>
    <w:p>
      <w:pPr>
        <w:pStyle w:val="ListParagraph"/>
        <w:numPr>
          <w:ilvl w:val="0"/>
          <w:numId w:val="1"/>
        </w:numPr>
        <w:spacing w:after="80"/>
      </w:pPr>
      <w:r>
        <w:t xml:space="preserve">Failure/retry strategy with Encompass (still TBD with vendor per the SRS) — does the chosen option need to handle webhook redelivery differently?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5bc97b2a09aebd187d99232b0eb04b913bf53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2026-09-23T18:09:01.860Z</dcterms:created>
  <dcterms:modified xsi:type="dcterms:W3CDTF">2026-09-23T18:09:01.869Z</dcterms:modified>
</cp:coreProperties>
</file>

<file path=docProps/custom.xml><?xml version="1.0" encoding="utf-8"?>
<Properties xmlns="http://schemas.openxmlformats.org/officeDocument/2006/custom-properties" xmlns:vt="http://schemas.openxmlformats.org/officeDocument/2006/docPropsVTypes"/>
</file>