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198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3529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ogramma-da-ver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529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Garamond" w:hAnsi="Garamond" w:cs="Garamond"/>
                <w:b w:val="0"/>
                <w:i w:val="0"/>
                <w:smallCaps/>
                <w:color w:val="222222"/>
                <w:sz w:val="18"/>
                <w:spacing w:val="20"/>
              </w:rPr>
              <w:t>Avv. Danilo Ansalone</w:t>
            </w:r>
            <w:r>
              <w:br/>
            </w:r>
            <w:r>
              <w:rPr>
                <w:rFonts w:ascii="Garamond" w:hAnsi="Garamond" w:cs="Garamond"/>
                <w:b w:val="0"/>
                <w:i w:val="0"/>
                <w:color w:val="222222"/>
                <w:sz w:val="18"/>
              </w:rPr>
              <w:t>Via F. P. Volpe n. 2 — 84122 Salerno</w:t>
            </w:r>
            <w:r>
              <w:br/>
            </w:r>
            <w:r>
              <w:rPr>
                <w:rFonts w:ascii="Garamond" w:hAnsi="Garamond" w:cs="Garamond"/>
                <w:b w:val="0"/>
                <w:i w:val="0"/>
                <w:color w:val="222222"/>
                <w:sz w:val="18"/>
              </w:rPr>
              <w:t>Tel +39 089 0978260 — consulenza@daniloansalone.it</w:t>
            </w:r>
            <w:r>
              <w:br/>
            </w:r>
            <w:r>
              <w:rPr>
                <w:rFonts w:ascii="Garamond" w:hAnsi="Garamond" w:cs="Garamond"/>
                <w:b w:val="0"/>
                <w:i w:val="0"/>
                <w:color w:val="222222"/>
                <w:sz w:val="18"/>
              </w:rPr>
              <w:t>PEC danilo.ansalone@pec.giuffre.it — www.daniloansalone.it</w:t>
            </w:r>
            <w:r>
              <w:br/>
            </w:r>
            <w:r>
              <w:rPr>
                <w:rFonts w:ascii="Garamond" w:hAnsi="Garamond" w:cs="Garamond"/>
                <w:b w:val="0"/>
                <w:i w:val="0"/>
                <w:color w:val="222222"/>
                <w:sz w:val="18"/>
              </w:rPr>
              <w:t>Ordine degli Avvocati di Salerno</w:t>
            </w:r>
          </w:p>
        </w:tc>
      </w:tr>
    </w:tbl>
    <w:p>
      <w:pPr>
        <w:spacing w:before="40" w:after="40"/>
        <w:pBdr>
          <w:bottom w:val="single" w:sz="4" w:space="2" w:color="222222"/>
        </w:pBdr>
      </w:pPr>
    </w:p>
    <w:p>
      <w:pPr>
        <w:spacing w:before="120" w:after="40"/>
        <w:jc w:val="center"/>
      </w:pPr>
      <w:r>
        <w:rPr>
          <w:rFonts w:ascii="Garamond" w:hAnsi="Garamond" w:cs="Garamond"/>
          <w:b/>
          <w:i w:val="0"/>
          <w:color w:val="1E4A38"/>
          <w:sz w:val="18"/>
          <w:spacing w:val="40"/>
        </w:rPr>
        <w:t>TARIFFARIO DEI COMPENSI PROFESSIONALI</w:t>
      </w:r>
    </w:p>
    <w:p>
      <w:pPr>
        <w:spacing w:after="40"/>
        <w:jc w:val="center"/>
      </w:pPr>
      <w:r>
        <w:rPr>
          <w:rFonts w:ascii="Garamond" w:hAnsi="Garamond" w:cs="Garamond"/>
          <w:b/>
          <w:i w:val="0"/>
          <w:color w:val="1E4A38"/>
          <w:sz w:val="36"/>
        </w:rPr>
        <w:t>Prosecuzione dello sfratto dopo l’opposizione</w:t>
      </w:r>
    </w:p>
    <w:p>
      <w:pPr>
        <w:spacing w:after="120"/>
        <w:jc w:val="center"/>
      </w:pPr>
      <w:r>
        <w:rPr>
          <w:rFonts w:ascii="Garamond" w:hAnsi="Garamond" w:cs="Garamond"/>
          <w:b w:val="0"/>
          <w:i/>
          <w:color w:val="6B6B6B"/>
          <w:sz w:val="21"/>
        </w:rPr>
        <w:t>Fase di merito successiva al mutamento del rito (art. 667 c.p.c.)</w:t>
      </w:r>
    </w:p>
    <w:p>
      <w:pPr>
        <w:spacing w:after="160"/>
        <w:jc w:val="both"/>
      </w:pPr>
      <w:r>
        <w:rPr>
          <w:rFonts w:ascii="Garamond" w:hAnsi="Garamond" w:cs="Garamond"/>
          <w:b w:val="0"/>
          <w:i w:val="0"/>
          <w:color w:val="222222"/>
          <w:sz w:val="21"/>
        </w:rPr>
        <w:t xml:space="preserve">Il compenso di </w:t>
      </w:r>
      <w:r>
        <w:rPr>
          <w:rFonts w:ascii="Garamond" w:hAnsi="Garamond" w:cs="Garamond"/>
          <w:b/>
          <w:i w:val="0"/>
          <w:color w:val="222222"/>
          <w:sz w:val="21"/>
        </w:rPr>
        <w:t>€ 1.300,00</w:t>
      </w:r>
      <w:r>
        <w:rPr>
          <w:rFonts w:ascii="Garamond" w:hAnsi="Garamond" w:cs="Garamond"/>
          <w:b w:val="0"/>
          <w:i w:val="0"/>
          <w:color w:val="222222"/>
          <w:sz w:val="21"/>
        </w:rPr>
        <w:t xml:space="preserve"> (IVA e CPA comprese) riguarda la </w:t>
      </w:r>
      <w:r>
        <w:rPr>
          <w:rFonts w:ascii="Garamond" w:hAnsi="Garamond" w:cs="Garamond"/>
          <w:b w:val="0"/>
          <w:i/>
          <w:color w:val="222222"/>
          <w:sz w:val="21"/>
        </w:rPr>
        <w:t>fase iniziale</w:t>
      </w:r>
      <w:r>
        <w:rPr>
          <w:rFonts w:ascii="Garamond" w:hAnsi="Garamond" w:cs="Garamond"/>
          <w:b w:val="0"/>
          <w:i w:val="0"/>
          <w:color w:val="222222"/>
          <w:sz w:val="21"/>
        </w:rPr>
        <w:t xml:space="preserve"> della procedura di sfratto — intimazione, notifica e udienza di convalida. In caso di opposizione dell’inquilino e prosecuzione del giudizio dopo il mutamento del rito, la causa entra nella fase di merito e si applicano, </w:t>
      </w:r>
      <w:r>
        <w:rPr>
          <w:rFonts w:ascii="Garamond" w:hAnsi="Garamond" w:cs="Garamond"/>
          <w:b/>
          <w:i w:val="0"/>
          <w:color w:val="222222"/>
          <w:sz w:val="21"/>
        </w:rPr>
        <w:t>in aggiunta al compenso della fase iniziale</w:t>
      </w:r>
      <w:r>
        <w:rPr>
          <w:rFonts w:ascii="Garamond" w:hAnsi="Garamond" w:cs="Garamond"/>
          <w:b w:val="0"/>
          <w:i w:val="0"/>
          <w:color w:val="222222"/>
          <w:sz w:val="21"/>
        </w:rPr>
        <w:t>, le tariffe indicate di seguito.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4819"/>
        <w:gridCol w:w="4819"/>
      </w:tblGrid>
      <w:tr>
        <w:tc>
          <w:tcPr>
            <w:tcW w:type="dxa" w:w="6803"/>
            <w:shd w:val="clear" w:color="auto" w:fill="F4F2E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aramond" w:hAnsi="Garamond" w:cs="Garamond"/>
                <w:b/>
                <w:i w:val="0"/>
                <w:color w:val="222222"/>
                <w:sz w:val="21"/>
              </w:rPr>
              <w:t>Fase iniziale</w:t>
            </w: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 xml:space="preserve"> — intimazione, notifica, udienza di convalida</w:t>
            </w:r>
          </w:p>
        </w:tc>
        <w:tc>
          <w:tcPr>
            <w:tcW w:type="dxa" w:w="2835"/>
            <w:shd w:val="clear" w:color="auto" w:fill="F4F2EC"/>
            <w:tcMar>
              <w:top w:w="60" w:type="dxa"/>
              <w:bottom w:w="6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Garamond" w:hAnsi="Garamond" w:cs="Garamond"/>
                <w:b/>
                <w:i w:val="0"/>
                <w:color w:val="1E4A38"/>
                <w:sz w:val="28"/>
              </w:rPr>
              <w:t>€ 1.300,00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1E4A38"/>
          <w:left w:val="single" w:sz="10" w:space="0" w:color="1E4A38"/>
          <w:bottom w:val="single" w:sz="10" w:space="0" w:color="1E4A38"/>
          <w:right w:val="single" w:sz="10" w:space="0" w:color="1E4A38"/>
          <w:insideH w:val="single" w:sz="10" w:space="0" w:color="1E4A38"/>
          <w:insideV w:val="single" w:sz="10" w:space="0" w:color="1E4A38"/>
        </w:tblBorders>
      </w:tblPr>
      <w:tblGrid>
        <w:gridCol w:w="4819"/>
        <w:gridCol w:w="4819"/>
      </w:tblGrid>
      <w:tr>
        <w:tc>
          <w:tcPr>
            <w:tcW w:type="dxa" w:w="6803"/>
            <w:shd w:val="clear" w:color="auto" w:fill="1E4A3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aramond" w:hAnsi="Garamond" w:cs="Garamond"/>
                <w:b/>
                <w:i w:val="0"/>
                <w:color w:val="FFFFFF"/>
                <w:sz w:val="26"/>
              </w:rPr>
              <w:t>Tariffa base</w:t>
            </w:r>
          </w:p>
        </w:tc>
        <w:tc>
          <w:tcPr>
            <w:tcW w:type="dxa" w:w="2835"/>
            <w:shd w:val="clear" w:color="auto" w:fill="1E4A3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Garamond" w:hAnsi="Garamond" w:cs="Garamond"/>
                <w:b/>
                <w:i w:val="0"/>
                <w:color w:val="FFFFFF"/>
                <w:sz w:val="32"/>
              </w:rPr>
              <w:t>€ 2.500,00</w:t>
            </w:r>
          </w:p>
        </w:tc>
      </w:tr>
      <w:tr>
        <w:tc>
          <w:tcPr>
            <w:tcW w:type="dxa" w:w="9638"/>
            <w:gridSpan w:val="2"/>
            <w:tcMar>
              <w:top w:w="120" w:type="dxa"/>
              <w:bottom w:w="14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Garamond" w:hAnsi="Garamond" w:cs="Garamond"/>
                <w:b w:val="0"/>
                <w:i/>
                <w:color w:val="6B6B6B"/>
                <w:sz w:val="20"/>
              </w:rPr>
              <w:t>Quando la causa non richiede prove testimoniali, consulenza tecnica o altra attività istruttoria.</w:t>
            </w:r>
          </w:p>
          <w:p>
            <w:pPr>
              <w:spacing w:after="40" w:before="40"/>
            </w:pPr>
            <w:r>
              <w:rPr>
                <w:rFonts w:ascii="Garamond" w:hAnsi="Garamond" w:cs="Garamond"/>
                <w:b/>
                <w:i w:val="0"/>
                <w:smallCaps/>
                <w:color w:val="1E4A38"/>
                <w:sz w:val="19"/>
                <w:spacing w:val="10"/>
              </w:rPr>
              <w:t>Comprende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studio dell’opposizione;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redazione e deposito delle memorie;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procedimento di mediazione obbligatoria;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partecipazione alle udienze;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attività difensiva fino alla sentenza.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0" w:space="0" w:color="1E4A38"/>
          <w:left w:val="single" w:sz="10" w:space="0" w:color="1E4A38"/>
          <w:bottom w:val="single" w:sz="10" w:space="0" w:color="1E4A38"/>
          <w:right w:val="single" w:sz="10" w:space="0" w:color="1E4A38"/>
          <w:insideH w:val="single" w:sz="10" w:space="0" w:color="1E4A38"/>
          <w:insideV w:val="single" w:sz="10" w:space="0" w:color="1E4A38"/>
        </w:tblBorders>
      </w:tblPr>
      <w:tblGrid>
        <w:gridCol w:w="4819"/>
        <w:gridCol w:w="4819"/>
      </w:tblGrid>
      <w:tr>
        <w:tc>
          <w:tcPr>
            <w:tcW w:type="dxa" w:w="6803"/>
            <w:shd w:val="clear" w:color="auto" w:fill="1E4A3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Garamond" w:hAnsi="Garamond" w:cs="Garamond"/>
                <w:b/>
                <w:i w:val="0"/>
                <w:color w:val="FFFFFF"/>
                <w:sz w:val="26"/>
              </w:rPr>
              <w:t>Tariffa completa</w:t>
            </w:r>
          </w:p>
        </w:tc>
        <w:tc>
          <w:tcPr>
            <w:tcW w:type="dxa" w:w="2835"/>
            <w:shd w:val="clear" w:color="auto" w:fill="1E4A3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Garamond" w:hAnsi="Garamond" w:cs="Garamond"/>
                <w:b/>
                <w:i w:val="0"/>
                <w:color w:val="FFFFFF"/>
                <w:sz w:val="32"/>
              </w:rPr>
              <w:t>€ 3.500,00</w:t>
            </w:r>
          </w:p>
        </w:tc>
      </w:tr>
      <w:tr>
        <w:tc>
          <w:tcPr>
            <w:tcW w:type="dxa" w:w="9638"/>
            <w:gridSpan w:val="2"/>
            <w:tcMar>
              <w:top w:w="120" w:type="dxa"/>
              <w:bottom w:w="14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Garamond" w:hAnsi="Garamond" w:cs="Garamond"/>
                <w:b w:val="0"/>
                <w:i/>
                <w:color w:val="6B6B6B"/>
                <w:sz w:val="20"/>
              </w:rPr>
              <w:t>Tariffa base più un supplemento di € 1.000,00, quando il giudizio richiede attività istruttoria. Comprende tutto quanto previsto dalla tariffa base.</w:t>
            </w:r>
          </w:p>
          <w:p>
            <w:pPr>
              <w:spacing w:after="40" w:before="40"/>
            </w:pPr>
            <w:r>
              <w:rPr>
                <w:rFonts w:ascii="Garamond" w:hAnsi="Garamond" w:cs="Garamond"/>
                <w:b/>
                <w:i w:val="0"/>
                <w:smallCaps/>
                <w:color w:val="1E4A38"/>
                <w:sz w:val="19"/>
                <w:spacing w:val="10"/>
              </w:rPr>
              <w:t>Il supplemento si applica quando ricorrono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prove testimoniali;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interrogatorio formale delle parti;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consulenza tecnica d’ufficio (CTU);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più udienze istruttorie;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attività difensiva particolarmente complessa.</w:t>
            </w:r>
          </w:p>
        </w:tc>
      </w:tr>
    </w:tbl>
    <w:p>
      <w:pPr>
        <w:spacing w:before="160" w:after="40"/>
      </w:pPr>
      <w:r>
        <w:rPr>
          <w:rFonts w:ascii="Garamond" w:hAnsi="Garamond" w:cs="Garamond"/>
          <w:b/>
          <w:i w:val="0"/>
          <w:smallCaps/>
          <w:color w:val="1E4A38"/>
          <w:sz w:val="22"/>
          <w:spacing w:val="10"/>
        </w:rPr>
        <w:t>RESTANO ESCLUSE (A CARICO DEL CLIENTE)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spese dell’organismo di mediazione;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contributo unificato e marca da bollo;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spese di notifica;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compensi di consulenti tecnici (CTU / CTP);</w:t>
            </w:r>
          </w:p>
        </w:tc>
        <w:tc>
          <w:tcPr>
            <w:tcW w:type="dxa" w:w="4819"/>
          </w:tcPr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spese vive e di trasferta;</w:t>
            </w:r>
          </w:p>
          <w:p>
            <w:pPr>
              <w:pStyle w:val="ListBullet"/>
              <w:spacing w:after="40" w:before="0" w:line="252" w:lineRule="auto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1"/>
              </w:rPr>
              <w:t>giudizio di appello.</w:t>
            </w:r>
          </w:p>
        </w:tc>
      </w:tr>
    </w:tbl>
    <w:p>
      <w:pPr>
        <w:spacing w:before="120" w:after="80"/>
        <w:pBdr>
          <w:bottom w:val="single" w:sz="4" w:space="2" w:color="D8D3C4"/>
        </w:pBdr>
      </w:pPr>
    </w:p>
    <w:p>
      <w:pPr>
        <w:spacing w:after="40" w:line="240" w:lineRule="auto"/>
        <w:ind w:left="227"/>
      </w:pPr>
      <w:r>
        <w:rPr>
          <w:rFonts w:ascii="Garamond" w:hAnsi="Garamond" w:cs="Garamond"/>
          <w:b w:val="0"/>
          <w:i w:val="0"/>
          <w:color w:val="1E4A38"/>
          <w:sz w:val="19"/>
        </w:rPr>
        <w:t xml:space="preserve">▪  </w:t>
      </w:r>
      <w:r>
        <w:rPr>
          <w:rFonts w:ascii="Garamond" w:hAnsi="Garamond" w:cs="Garamond"/>
          <w:b/>
          <w:i w:val="0"/>
          <w:color w:val="444444"/>
          <w:sz w:val="19"/>
        </w:rPr>
        <w:t>Pagamento della tariffa base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 in tre soluzioni: € 1.000,00 di acconto alla sottoscrizione, € 750,00 alla memoria integrativa, € 750,00 quando il Giudice trattiene la causa in decisione; con la tariffa completa, l’ulteriore € 1.000,00 quando il Giudice dispone i mezzi istruttori.</w:t>
      </w:r>
    </w:p>
    <w:p>
      <w:pPr>
        <w:spacing w:after="40" w:line="240" w:lineRule="auto"/>
        <w:ind w:left="227"/>
      </w:pPr>
      <w:r>
        <w:rPr>
          <w:rFonts w:ascii="Garamond" w:hAnsi="Garamond" w:cs="Garamond"/>
          <w:b w:val="0"/>
          <w:i w:val="0"/>
          <w:color w:val="1E4A38"/>
          <w:sz w:val="19"/>
        </w:rPr>
        <w:t xml:space="preserve">▪  </w:t>
      </w:r>
      <w:r>
        <w:rPr>
          <w:rFonts w:ascii="Garamond" w:hAnsi="Garamond" w:cs="Garamond"/>
          <w:b w:val="0"/>
          <w:i w:val="0"/>
          <w:color w:val="444444"/>
          <w:sz w:val="19"/>
        </w:rPr>
        <w:t>L’</w:t>
      </w:r>
      <w:r>
        <w:rPr>
          <w:rFonts w:ascii="Garamond" w:hAnsi="Garamond" w:cs="Garamond"/>
          <w:b/>
          <w:i w:val="0"/>
          <w:color w:val="444444"/>
          <w:sz w:val="19"/>
        </w:rPr>
        <w:t>attività esecutiva per il rilascio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 (preavviso di rilascio, ufficiale giudiziario) non rientra in questi importi: resta coperta </w:t>
      </w:r>
      <w:r>
        <w:rPr>
          <w:rFonts w:ascii="Garamond" w:hAnsi="Garamond" w:cs="Garamond"/>
          <w:b/>
          <w:i w:val="0"/>
          <w:color w:val="444444"/>
          <w:sz w:val="19"/>
        </w:rPr>
        <w:t>a titolo gratuito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 dal mandato della fase iniziale, salve le sole spese vive.</w:t>
      </w:r>
    </w:p>
    <w:p>
      <w:pPr>
        <w:spacing w:after="40" w:line="240" w:lineRule="auto"/>
        <w:ind w:left="227"/>
      </w:pPr>
      <w:r>
        <w:rPr>
          <w:rFonts w:ascii="Garamond" w:hAnsi="Garamond" w:cs="Garamond"/>
          <w:b w:val="0"/>
          <w:i w:val="0"/>
          <w:color w:val="1E4A38"/>
          <w:sz w:val="19"/>
        </w:rPr>
        <w:t xml:space="preserve">▪  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I compensi indicati si riferiscono al </w:t>
      </w:r>
      <w:r>
        <w:rPr>
          <w:rFonts w:ascii="Garamond" w:hAnsi="Garamond" w:cs="Garamond"/>
          <w:b/>
          <w:i w:val="0"/>
          <w:color w:val="444444"/>
          <w:sz w:val="19"/>
        </w:rPr>
        <w:t>solo primo grado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 di giudizio.</w:t>
      </w:r>
    </w:p>
    <w:p>
      <w:pPr>
        <w:spacing w:after="40" w:line="240" w:lineRule="auto"/>
        <w:ind w:left="227"/>
      </w:pPr>
      <w:r>
        <w:rPr>
          <w:rFonts w:ascii="Garamond" w:hAnsi="Garamond" w:cs="Garamond"/>
          <w:b w:val="0"/>
          <w:i w:val="0"/>
          <w:color w:val="1E4A38"/>
          <w:sz w:val="19"/>
        </w:rPr>
        <w:t xml:space="preserve">▪  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Il compenso è dovuto </w:t>
      </w:r>
      <w:r>
        <w:rPr>
          <w:rFonts w:ascii="Garamond" w:hAnsi="Garamond" w:cs="Garamond"/>
          <w:b/>
          <w:i w:val="0"/>
          <w:color w:val="444444"/>
          <w:sz w:val="19"/>
        </w:rPr>
        <w:t>indipendentemente dall’esito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 della causa: l’avvocato assume un’obbligazione di mezzi, non di risultato.</w:t>
      </w:r>
    </w:p>
    <w:p>
      <w:pPr>
        <w:spacing w:after="40" w:line="240" w:lineRule="auto"/>
        <w:ind w:left="227"/>
      </w:pPr>
      <w:r>
        <w:rPr>
          <w:rFonts w:ascii="Garamond" w:hAnsi="Garamond" w:cs="Garamond"/>
          <w:b w:val="0"/>
          <w:i w:val="0"/>
          <w:color w:val="1E4A38"/>
          <w:sz w:val="19"/>
        </w:rPr>
        <w:t xml:space="preserve">▪  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Gli importi sono </w:t>
      </w:r>
      <w:r>
        <w:rPr>
          <w:rFonts w:ascii="Garamond" w:hAnsi="Garamond" w:cs="Garamond"/>
          <w:b/>
          <w:i w:val="0"/>
          <w:color w:val="444444"/>
          <w:sz w:val="19"/>
        </w:rPr>
        <w:t>comprensivi di IVA e contributo Cassa Forense (CPA)</w:t>
      </w:r>
      <w:r>
        <w:rPr>
          <w:rFonts w:ascii="Garamond" w:hAnsi="Garamond" w:cs="Garamond"/>
          <w:b w:val="0"/>
          <w:i w:val="0"/>
          <w:color w:val="444444"/>
          <w:sz w:val="19"/>
        </w:rPr>
        <w:t xml:space="preserve"> e sono al netto delle spese sopra escluse.</w:t>
      </w:r>
    </w:p>
    <w:p>
      <w:pPr>
        <w:spacing w:after="40" w:line="240" w:lineRule="auto"/>
        <w:ind w:left="227"/>
      </w:pPr>
      <w:r>
        <w:rPr>
          <w:rFonts w:ascii="Garamond" w:hAnsi="Garamond" w:cs="Garamond"/>
          <w:b w:val="0"/>
          <w:i w:val="0"/>
          <w:color w:val="1E4A38"/>
          <w:sz w:val="19"/>
        </w:rPr>
        <w:t xml:space="preserve">▪  </w:t>
      </w:r>
      <w:r>
        <w:rPr>
          <w:rFonts w:ascii="Garamond" w:hAnsi="Garamond" w:cs="Garamond"/>
          <w:b w:val="0"/>
          <w:i w:val="0"/>
          <w:color w:val="444444"/>
          <w:sz w:val="19"/>
        </w:rPr>
        <w:t>Il presente tariffario vale come preventivo di massima ai sensi dell’art. 13, co. 5, L. 31 dicembre 2012 n. 247; per ciascun incarico verrà rilasciato preventivo scritto personalizzato.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5102"/>
            <w:vAlign w:val="bottom"/>
          </w:tcPr>
          <w:p>
            <w:pPr>
              <w:spacing w:before="120"/>
            </w:pPr>
            <w:r>
              <w:rPr>
                <w:rFonts w:ascii="Garamond" w:hAnsi="Garamond" w:cs="Garamond"/>
                <w:b w:val="0"/>
                <w:i/>
                <w:color w:val="6B6B6B"/>
                <w:sz w:val="18"/>
              </w:rPr>
              <w:t>Listino valido dal 13 luglio 2026 — Salerno.</w:t>
            </w:r>
          </w:p>
        </w:tc>
        <w:tc>
          <w:tcPr>
            <w:tcW w:type="dxa" w:w="4535"/>
            <w:vAlign w:val="bottom"/>
          </w:tcPr>
          <w:p>
            <w:pPr>
              <w:spacing w:before="120"/>
              <w:jc w:val="right"/>
            </w:pPr>
            <w:r>
              <w:rPr>
                <w:rFonts w:ascii="Garamond" w:hAnsi="Garamond" w:cs="Garamond"/>
                <w:b w:val="0"/>
                <w:i w:val="0"/>
                <w:color w:val="222222"/>
                <w:sz w:val="20"/>
              </w:rPr>
              <w:t>Studio Legale Ansalone</w:t>
            </w:r>
            <w:r>
              <w:br/>
            </w:r>
            <w:r>
              <w:rPr>
                <w:rFonts w:ascii="Garamond" w:hAnsi="Garamond" w:cs="Garamond"/>
                <w:b/>
                <w:i w:val="0"/>
                <w:color w:val="222222"/>
                <w:sz w:val="20"/>
              </w:rPr>
              <w:t>Avv. Danilo Ansalone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85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CCCCCC"/>
      </w:pBdr>
    </w:pPr>
    <w:r>
      <w:rPr>
        <w:rFonts w:ascii="Garamond" w:hAnsi="Garamond" w:cs="Garamond"/>
        <w:b w:val="0"/>
        <w:i w:val="0"/>
        <w:color w:val="6B6B6B"/>
        <w:sz w:val="16"/>
      </w:rPr>
      <w:t>Studio Legale Ansalone — C.F. NSLDNL75S04H703U · P. IVA 04380590655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Garamond" w:hAnsi="Garamond" w:cs="Garamond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