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RAG问答系统 中间件模块小白说明文档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本文档针对项目 </w:t>
      </w:r>
      <w:r>
        <w:rPr>
          <w:rFonts w:eastAsia="Consolas" w:ascii="Consolas" w:cs="Consolas" w:hAnsi="Consolas"/>
          <w:sz w:val="22"/>
          <w:shd w:fill="EFF0F1"/>
        </w:rPr>
        <w:t>middleware.py</w:t>
      </w:r>
      <w:r>
        <w:rPr>
          <w:rFonts w:eastAsia="等线" w:ascii="Arial" w:cs="Arial" w:hAnsi="Arial"/>
          <w:sz w:val="22"/>
        </w:rPr>
        <w:t xml:space="preserve"> 中间件模块进行全方位小白向解析，无需底层开发基础，可快速看懂整套请求拦截、日志记录、接口鉴权、全局异常处理的运行逻辑。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 FastAPI 全局通用能力，</w:t>
      </w:r>
      <w:r>
        <w:rPr>
          <w:rFonts w:eastAsia="等线" w:ascii="Arial" w:cs="Arial" w:hAnsi="Arial"/>
          <w:b w:val="true"/>
          <w:sz w:val="22"/>
        </w:rPr>
        <w:t>所有接口无需重复编写代码，统一由中间件兜底处理通用逻辑</w:t>
      </w:r>
      <w:r>
        <w:rPr>
          <w:rFonts w:eastAsia="等线" w:ascii="Arial" w:cs="Arial" w:hAnsi="Arial"/>
          <w:sz w:val="22"/>
        </w:rPr>
        <w:t>，是项目解耦、规范化、安全运维的核心模块。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一、基础概念：什么是中间件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通俗定义：用户发起的每一次网络请求，</w:t>
      </w:r>
      <w:r>
        <w:rPr>
          <w:rFonts w:eastAsia="等线" w:ascii="Arial" w:cs="Arial" w:hAnsi="Arial"/>
          <w:b w:val="true"/>
          <w:sz w:val="22"/>
        </w:rPr>
        <w:t>在进入业务接口代码之前、以及接口返回结果之后</w:t>
      </w:r>
      <w:r>
        <w:rPr>
          <w:rFonts w:eastAsia="等线" w:ascii="Arial" w:cs="Arial" w:hAnsi="Arial"/>
          <w:sz w:val="22"/>
        </w:rPr>
        <w:t>，都会经过的一层「统一过滤器」。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将日志、鉴权、异常捕获等</w:t>
      </w:r>
      <w:r>
        <w:rPr>
          <w:rFonts w:eastAsia="等线" w:ascii="Arial" w:cs="Arial" w:hAnsi="Arial"/>
          <w:b w:val="true"/>
          <w:sz w:val="22"/>
        </w:rPr>
        <w:t>通用重复逻辑</w:t>
      </w:r>
      <w:r>
        <w:rPr>
          <w:rFonts w:eastAsia="等线" w:ascii="Arial" w:cs="Arial" w:hAnsi="Arial"/>
          <w:sz w:val="22"/>
        </w:rPr>
        <w:t>抽离，业务代码只专注核心功能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全局统一规则，所有接口生效，无遗漏、无代码冗余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统一错误格式、统一日志规范，方便前后端联调和线上排错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二、模块整体架构总览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本模块包含 </w:t>
      </w:r>
      <w:r>
        <w:rPr>
          <w:rFonts w:eastAsia="等线" w:ascii="Arial" w:cs="Arial" w:hAnsi="Arial"/>
          <w:b w:val="true"/>
          <w:sz w:val="22"/>
        </w:rPr>
        <w:t>3 个核心中间件 + 1 个日志初始化工具函数</w:t>
      </w:r>
      <w:r>
        <w:rPr>
          <w:rFonts w:eastAsia="等线" w:ascii="Arial" w:cs="Arial" w:hAnsi="Arial"/>
          <w:sz w:val="22"/>
        </w:rPr>
        <w:t>，各司其职、互不耦合：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RequestLogMiddleware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全局请求日志记录，统计接口</w:t>
            </w:r>
            <w:r>
              <w:rPr>
                <w:rFonts w:eastAsia="等线" w:ascii="Arial" w:cs="Arial" w:hAnsi="Arial"/>
                <w:sz w:val="22"/>
              </w:rPr>
              <w:t>状态、耗时、请求信息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APIAuthMiddleware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 API Key 鉴权，保护接口安全，支持白名单放行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Exception</w:t>
            </w:r>
            <w:r>
              <w:rPr>
                <w:rFonts w:eastAsia="等线" w:ascii="Arial" w:cs="Arial" w:hAnsi="Arial"/>
                <w:sz w:val="22"/>
              </w:rPr>
              <w:t>HandlerMiddleware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全局异常捕获，</w:t>
            </w:r>
            <w:r>
              <w:rPr>
                <w:rFonts w:eastAsia="等线" w:ascii="Arial" w:cs="Arial" w:hAnsi="Arial"/>
                <w:sz w:val="22"/>
              </w:rPr>
              <w:t>统一格式化错误返回，隐藏服务器内部报错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setup_logging()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初始化日志配置，同时输出控制台+本地文件</w:t>
            </w:r>
            <w:r>
              <w:rPr>
                <w:rFonts w:eastAsia="等线" w:ascii="Arial" w:cs="Arial" w:hAnsi="Arial"/>
                <w:sz w:val="22"/>
              </w:rPr>
              <w:t>日志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补充：本模块错误返回格式，完全对齐项目 </w:t>
      </w:r>
      <w:r>
        <w:rPr>
          <w:rFonts w:eastAsia="Consolas" w:ascii="Consolas" w:cs="Consolas" w:hAnsi="Consolas"/>
          <w:sz w:val="22"/>
          <w:shd w:fill="EFF0F1"/>
        </w:rPr>
        <w:t>APIError</w:t>
      </w:r>
      <w:r>
        <w:rPr>
          <w:rFonts w:eastAsia="等线" w:ascii="Arial" w:cs="Arial" w:hAnsi="Arial"/>
          <w:sz w:val="22"/>
        </w:rPr>
        <w:t>数据模型，全局错误响应统一规范。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三、各组件详细功能解析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请求日志中间件（RequestLogMiddleware）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功能作用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全自动记录系统每一次 HTTP 请求信息，用于日常运维、接口监控、慢接口排查，不干扰正常业务逻辑。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执行流程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请求进入，记录接口开始执行时间戳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放行请求，执行后续鉴权、接口业务代码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接口执行完毕，接收返回响应结果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计算接口执行耗时（毫秒）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打印标准化访问日志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日志输出格式示例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2026-08-12 16:00:00 [INFO] qa.middleware: POST /api/chat → 200 (520ms)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日志包含信息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 / POST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请求接口路径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状态码（200成功、401未授权、500报错等）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接口执行耗时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API 鉴权中间件（APIAuthMiddleware）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功能作用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接口安全防护，通过校验请求头中的 API Key，阻止非法访问；支持配置开关，开发环境可关闭、生产环境开启，适配多场景。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白名单放行规则（无需鉴权）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以下路径永久免认证，适配运维监控和接口调试：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/api/health</w:t>
      </w:r>
      <w:r>
        <w:rPr>
          <w:rFonts w:eastAsia="等线" w:ascii="Arial" w:cs="Arial" w:hAnsi="Arial"/>
          <w:sz w:val="22"/>
        </w:rPr>
        <w:t>：服务健康检查接口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/docs</w:t>
      </w:r>
      <w:r>
        <w:rPr>
          <w:rFonts w:eastAsia="等线" w:ascii="Arial" w:cs="Arial" w:hAnsi="Arial"/>
          <w:sz w:val="22"/>
        </w:rPr>
        <w:t>：Swagger 在线接口文档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/openapi.json</w:t>
      </w:r>
      <w:r>
        <w:rPr>
          <w:rFonts w:eastAsia="等线" w:ascii="Arial" w:cs="Arial" w:hAnsi="Arial"/>
          <w:sz w:val="22"/>
        </w:rPr>
        <w:t>：接口配置文件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/redoc</w:t>
      </w:r>
      <w:r>
        <w:rPr>
          <w:rFonts w:eastAsia="等线" w:ascii="Arial" w:cs="Arial" w:hAnsi="Arial"/>
          <w:sz w:val="22"/>
        </w:rPr>
        <w:t>：备用接口文档页面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匹配规则：前缀匹配，只要请求路径以以上地址开头，直接放行。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完整校验逻辑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读取全局配置，若未开启鉴权功能，直接放行所有请求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判断请求路径是否在白名单，匹配成功直接放行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从请求头中读取配置指定的鉴权 Key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对比请求 Key 与系统密钥，不一致则返回 401 未授权错误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密钥校验通过，正常放行执行业务代码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未授权返回格式（标准化）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"detail": "未授权访问，请提供有效的 API Key",</w:t>
              <w:br/>
              <w:t xml:space="preserve">  "error_code": "UNAUTHORIZED"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依赖配置项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API_AUTH_ENABLED</w:t>
      </w:r>
      <w:r>
        <w:rPr>
          <w:rFonts w:eastAsia="等线" w:ascii="Arial" w:cs="Arial" w:hAnsi="Arial"/>
          <w:sz w:val="22"/>
        </w:rPr>
        <w:t>：鉴权功能总开关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API_AUTH_HEADER</w:t>
      </w:r>
      <w:r>
        <w:rPr>
          <w:rFonts w:eastAsia="等线" w:ascii="Arial" w:cs="Arial" w:hAnsi="Arial"/>
          <w:sz w:val="22"/>
        </w:rPr>
        <w:t>：鉴权请求头名称（如 X-API-Key）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SECRET_KEY</w:t>
      </w:r>
      <w:r>
        <w:rPr>
          <w:rFonts w:eastAsia="等线" w:ascii="Arial" w:cs="Arial" w:hAnsi="Arial"/>
          <w:sz w:val="22"/>
        </w:rPr>
        <w:t>：系统合法密钥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全局异常处理中间件（ExceptionHandlerMiddleware）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功能作用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兜底捕获系统所有未知异常，</w:t>
      </w:r>
      <w:r>
        <w:rPr>
          <w:rFonts w:eastAsia="等线" w:ascii="Arial" w:cs="Arial" w:hAnsi="Arial"/>
          <w:b w:val="true"/>
          <w:sz w:val="22"/>
        </w:rPr>
        <w:t>隐藏服务器底层报错堆栈（保障安全）</w:t>
      </w:r>
      <w:r>
        <w:rPr>
          <w:rFonts w:eastAsia="等线" w:ascii="Arial" w:cs="Arial" w:hAnsi="Arial"/>
          <w:sz w:val="22"/>
        </w:rPr>
        <w:t>，对外返回统一、友好的错误格式，同时完整记录错误日志方便开发排错。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若无该中间件：程序报错会直接返回原生 Python 代码堆栈，泄露项目结构，前端无法统一处理错误。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异常分类处理逻辑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 参数异常（ValueError）</w:t>
      </w:r>
      <w:bookmarkEnd w:id="1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场景：用户输入参数非法、参数格式错误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日志级别：警告日志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返回状态码：400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错误编码：INVALID_INPUT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"detail": "参数错误详情",</w:t>
              <w:br/>
              <w:t xml:space="preserve">  "error_code": "INVALID_INPUT"</w:t>
              <w:br/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全局未知异常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场景：代码BUG、数据库异常、接口超时等未知错误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日志级别：异常日志（记录完整报错堆栈）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返回状态码：500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错误编码：INTERNAL_ERROR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对外文案：统一隐藏细节，仅提示服务器内部错误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"detail": "服务器内部错误，请稍后重试",</w:t>
              <w:br/>
              <w:t xml:space="preserve">  "error_code": "INTERNAL_ERROR"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3.4 日志初始化函数（setup_logging）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功能作用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项目启动时一次性初始化日志系统，统一日志格式、输出渠道，解决日志乱码、无文件留存问题。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核心能力</w:t>
      </w:r>
      <w:bookmarkEnd w:id="2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自动检测并创建日志文件夹，无需手动新建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双渠道输出：终端控制台打印 + 本地文件持久化保存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统一日志格式：时间 + 日志级别 + 模块名 + 日志内容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UTF-8 编码，杜绝中文乱码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日志格式示例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2026-08-12 16:10:00 [INFO] qa.middleware: Logging initialized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四、核心关键：中间件执行顺序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FastAPI 核心特性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中间件</w:t>
      </w:r>
      <w:r>
        <w:rPr>
          <w:rFonts w:eastAsia="等线" w:ascii="Arial" w:cs="Arial" w:hAnsi="Arial"/>
          <w:b w:val="true"/>
          <w:sz w:val="22"/>
        </w:rPr>
        <w:t>注册顺序与执行顺序相反</w:t>
      </w:r>
      <w:r>
        <w:rPr>
          <w:rFonts w:eastAsia="等线" w:ascii="Arial" w:cs="Arial" w:hAnsi="Arial"/>
          <w:sz w:val="22"/>
        </w:rPr>
        <w:t>，且异常捕获中间件必须优先注册，否则无法捕获其他中间件的报错。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4.2 标准正确注册顺序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最先注册（最外层兜底）</w:t>
              <w:br/>
              <w:t>app.add_middleware(ExceptionHandlerMiddleware)</w:t>
              <w:br/>
              <w:t># 2. 中层鉴权</w:t>
              <w:br/>
              <w:t>app.add_middleware(APIAuthMiddleware)</w:t>
              <w:br/>
              <w:t># 3. 最后注册（最内层）</w:t>
              <w:br/>
              <w:t>app.add_middleware(RequestLogMiddleware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4.3 完整请求执行链路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请求进入：异常捕获 → 鉴权校验 → 日志计时 → 业务接口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响应返回：业务接口 → 日志统计耗时 → 直接放行 → 异常统一返回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：全链路任意位置报错，都会被最外层异常中间件捕获，统一返回错误格式。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五、模块统一设计原则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5.1 单一职责原则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每个中间件只负责一件事：日志只记录日志、鉴权只做权限校验、异常只捕获错误，逻辑完全解耦，便于维护和修改。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5.2 配置驱动、环境适配原则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鉴权功能通过配置开关灵活控制，开发环境关闭鉴权提升调试效率，生产环境开启保障接口安全，无需改动业务代码。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5.3 标准化契约原则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所有错误响应严格对齐全局 </w:t>
      </w:r>
      <w:r>
        <w:rPr>
          <w:rFonts w:eastAsia="Consolas" w:ascii="Consolas" w:cs="Consolas" w:hAnsi="Consolas"/>
          <w:sz w:val="22"/>
          <w:shd w:fill="EFF0F1"/>
        </w:rPr>
        <w:t>APIError</w:t>
      </w:r>
      <w:r>
        <w:rPr>
          <w:rFonts w:eastAsia="等线" w:ascii="Arial" w:cs="Arial" w:hAnsi="Arial"/>
          <w:sz w:val="22"/>
        </w:rPr>
        <w:t xml:space="preserve"> 数据模型，前后端统一一套错误解析规则，降低联调成本。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5.4 安全隔离原则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服务器底层报错堆栈仅留存本地日志，不对外暴露，避免泄露项目代码结构、路径、BUG 细节，保障系统安全。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5.5 业务无侵入原则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日志、鉴权、异常处理均为全局通用能力，所有业务接口无需编写任何重复代码，专注核心问答、知识库业务。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5.6 可观测性原则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全请求日志留存、全异常日志存档，线上问题可追溯、可定位，满足运维监控需求。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六、小白专属避坑注意事项</w:t>
      </w:r>
      <w:bookmarkEnd w:id="3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异常中间件必须最先注册</w:t>
      </w:r>
      <w:r>
        <w:rPr>
          <w:rFonts w:eastAsia="等线" w:ascii="Arial" w:cs="Arial" w:hAnsi="Arial"/>
          <w:sz w:val="22"/>
        </w:rPr>
        <w:t>：否则无法捕获鉴权、日志中间件抛出的异常，会出现原生报错泄露问题。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日志初始化函数仅启动调用一次</w:t>
      </w:r>
      <w:r>
        <w:rPr>
          <w:rFonts w:eastAsia="等线" w:ascii="Arial" w:cs="Arial" w:hAnsi="Arial"/>
          <w:sz w:val="22"/>
        </w:rPr>
        <w:t>：多次调用会重复绑定日志处理器，导致日志重复打印。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白名单路径严格前缀匹配</w:t>
      </w:r>
      <w:r>
        <w:rPr>
          <w:rFonts w:eastAsia="等线" w:ascii="Arial" w:cs="Arial" w:hAnsi="Arial"/>
          <w:sz w:val="22"/>
        </w:rPr>
        <w:t>：路径填写错误会导致接口文档、健康检查接口被拦截，无法访问。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开启鉴权后调试需携带请求头</w:t>
      </w:r>
      <w:r>
        <w:rPr>
          <w:rFonts w:eastAsia="等线" w:ascii="Arial" w:cs="Arial" w:hAnsi="Arial"/>
          <w:sz w:val="22"/>
        </w:rPr>
        <w:t>：Swagger 调试、接口测试时，必须配置合法 X-API-Key，否则固定返回 401 未授权。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logger.exception 仅用于异常捕获</w:t>
      </w:r>
      <w:r>
        <w:rPr>
          <w:rFonts w:eastAsia="等线" w:ascii="Arial" w:cs="Arial" w:hAnsi="Arial"/>
          <w:sz w:val="22"/>
        </w:rPr>
        <w:t>：该方法会自动打印完整报错堆栈，普通日志禁止使用。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日志文件夹自动创建</w:t>
      </w:r>
      <w:r>
        <w:rPr>
          <w:rFonts w:eastAsia="等线" w:ascii="Arial" w:cs="Arial" w:hAnsi="Arial"/>
          <w:sz w:val="22"/>
        </w:rPr>
        <w:t>：无需手动新建 logs 目录，程序启动会自动判断并生成。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中间件不可随意调换顺序</w:t>
      </w:r>
      <w:r>
        <w:rPr>
          <w:rFonts w:eastAsia="等线" w:ascii="Arial" w:cs="Arial" w:hAnsi="Arial"/>
          <w:sz w:val="22"/>
        </w:rPr>
        <w:t>：顺序错乱会导致日志耗时不准、异常捕获失效、鉴权逻辑异常等问题。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153">
    <w:lvl>
      <w:numFmt w:val="bullet"/>
      <w:suff w:val="tab"/>
      <w:lvlText w:val="•"/>
      <w:rPr>
        <w:color w:val="3370ff"/>
      </w:rPr>
    </w:lvl>
  </w:abstractNum>
  <w:abstractNum w:abstractNumId="104154">
    <w:lvl>
      <w:numFmt w:val="bullet"/>
      <w:suff w:val="tab"/>
      <w:lvlText w:val="•"/>
      <w:rPr>
        <w:color w:val="3370ff"/>
      </w:rPr>
    </w:lvl>
  </w:abstractNum>
  <w:abstractNum w:abstractNumId="104155">
    <w:lvl>
      <w:numFmt w:val="bullet"/>
      <w:suff w:val="tab"/>
      <w:lvlText w:val="•"/>
      <w:rPr>
        <w:color w:val="3370ff"/>
      </w:rPr>
    </w:lvl>
  </w:abstractNum>
  <w:abstractNum w:abstractNumId="104156">
    <w:lvl>
      <w:start w:val="1"/>
      <w:numFmt w:val="decimal"/>
      <w:suff w:val="tab"/>
      <w:lvlText w:val="%1."/>
      <w:rPr>
        <w:color w:val="3370ff"/>
      </w:rPr>
    </w:lvl>
  </w:abstractNum>
  <w:abstractNum w:abstractNumId="104157">
    <w:lvl>
      <w:start w:val="2"/>
      <w:numFmt w:val="decimal"/>
      <w:suff w:val="tab"/>
      <w:lvlText w:val="%1."/>
      <w:rPr>
        <w:color w:val="3370ff"/>
      </w:rPr>
    </w:lvl>
  </w:abstractNum>
  <w:abstractNum w:abstractNumId="104158">
    <w:lvl>
      <w:start w:val="3"/>
      <w:numFmt w:val="decimal"/>
      <w:suff w:val="tab"/>
      <w:lvlText w:val="%1."/>
      <w:rPr>
        <w:color w:val="3370ff"/>
      </w:rPr>
    </w:lvl>
  </w:abstractNum>
  <w:abstractNum w:abstractNumId="104159">
    <w:lvl>
      <w:start w:val="4"/>
      <w:numFmt w:val="decimal"/>
      <w:suff w:val="tab"/>
      <w:lvlText w:val="%1."/>
      <w:rPr>
        <w:color w:val="3370ff"/>
      </w:rPr>
    </w:lvl>
  </w:abstractNum>
  <w:abstractNum w:abstractNumId="104160">
    <w:lvl>
      <w:start w:val="5"/>
      <w:numFmt w:val="decimal"/>
      <w:suff w:val="tab"/>
      <w:lvlText w:val="%1."/>
      <w:rPr>
        <w:color w:val="3370ff"/>
      </w:rPr>
    </w:lvl>
  </w:abstractNum>
  <w:abstractNum w:abstractNumId="104161">
    <w:lvl>
      <w:numFmt w:val="bullet"/>
      <w:suff w:val="tab"/>
      <w:lvlText w:val="•"/>
      <w:rPr>
        <w:color w:val="3370ff"/>
      </w:rPr>
    </w:lvl>
  </w:abstractNum>
  <w:abstractNum w:abstractNumId="104162">
    <w:lvl>
      <w:numFmt w:val="bullet"/>
      <w:suff w:val="tab"/>
      <w:lvlText w:val="•"/>
      <w:rPr>
        <w:color w:val="3370ff"/>
      </w:rPr>
    </w:lvl>
  </w:abstractNum>
  <w:abstractNum w:abstractNumId="104163">
    <w:lvl>
      <w:numFmt w:val="bullet"/>
      <w:suff w:val="tab"/>
      <w:lvlText w:val="•"/>
      <w:rPr>
        <w:color w:val="3370ff"/>
      </w:rPr>
    </w:lvl>
  </w:abstractNum>
  <w:abstractNum w:abstractNumId="104164">
    <w:lvl>
      <w:numFmt w:val="bullet"/>
      <w:suff w:val="tab"/>
      <w:lvlText w:val="•"/>
      <w:rPr>
        <w:color w:val="3370ff"/>
      </w:rPr>
    </w:lvl>
  </w:abstractNum>
  <w:abstractNum w:abstractNumId="104165">
    <w:lvl>
      <w:numFmt w:val="bullet"/>
      <w:suff w:val="tab"/>
      <w:lvlText w:val="•"/>
      <w:rPr>
        <w:color w:val="3370ff"/>
      </w:rPr>
    </w:lvl>
  </w:abstractNum>
  <w:abstractNum w:abstractNumId="104166">
    <w:lvl>
      <w:numFmt w:val="bullet"/>
      <w:suff w:val="tab"/>
      <w:lvlText w:val="•"/>
      <w:rPr>
        <w:color w:val="3370ff"/>
      </w:rPr>
    </w:lvl>
  </w:abstractNum>
  <w:abstractNum w:abstractNumId="104167">
    <w:lvl>
      <w:numFmt w:val="bullet"/>
      <w:suff w:val="tab"/>
      <w:lvlText w:val="•"/>
      <w:rPr>
        <w:color w:val="3370ff"/>
      </w:rPr>
    </w:lvl>
  </w:abstractNum>
  <w:abstractNum w:abstractNumId="104168">
    <w:lvl>
      <w:numFmt w:val="bullet"/>
      <w:suff w:val="tab"/>
      <w:lvlText w:val="•"/>
      <w:rPr>
        <w:color w:val="3370ff"/>
      </w:rPr>
    </w:lvl>
  </w:abstractNum>
  <w:abstractNum w:abstractNumId="104169">
    <w:lvl>
      <w:start w:val="1"/>
      <w:numFmt w:val="decimal"/>
      <w:suff w:val="tab"/>
      <w:lvlText w:val="%1."/>
      <w:rPr>
        <w:color w:val="3370ff"/>
      </w:rPr>
    </w:lvl>
  </w:abstractNum>
  <w:abstractNum w:abstractNumId="104170">
    <w:lvl>
      <w:start w:val="2"/>
      <w:numFmt w:val="decimal"/>
      <w:suff w:val="tab"/>
      <w:lvlText w:val="%1."/>
      <w:rPr>
        <w:color w:val="3370ff"/>
      </w:rPr>
    </w:lvl>
  </w:abstractNum>
  <w:abstractNum w:abstractNumId="104171">
    <w:lvl>
      <w:start w:val="3"/>
      <w:numFmt w:val="decimal"/>
      <w:suff w:val="tab"/>
      <w:lvlText w:val="%1."/>
      <w:rPr>
        <w:color w:val="3370ff"/>
      </w:rPr>
    </w:lvl>
  </w:abstractNum>
  <w:abstractNum w:abstractNumId="104172">
    <w:lvl>
      <w:start w:val="4"/>
      <w:numFmt w:val="decimal"/>
      <w:suff w:val="tab"/>
      <w:lvlText w:val="%1."/>
      <w:rPr>
        <w:color w:val="3370ff"/>
      </w:rPr>
    </w:lvl>
  </w:abstractNum>
  <w:abstractNum w:abstractNumId="104173">
    <w:lvl>
      <w:start w:val="5"/>
      <w:numFmt w:val="decimal"/>
      <w:suff w:val="tab"/>
      <w:lvlText w:val="%1."/>
      <w:rPr>
        <w:color w:val="3370ff"/>
      </w:rPr>
    </w:lvl>
  </w:abstractNum>
  <w:abstractNum w:abstractNumId="104174">
    <w:lvl>
      <w:numFmt w:val="bullet"/>
      <w:suff w:val="tab"/>
      <w:lvlText w:val="•"/>
      <w:rPr>
        <w:color w:val="3370ff"/>
      </w:rPr>
    </w:lvl>
  </w:abstractNum>
  <w:abstractNum w:abstractNumId="104175">
    <w:lvl>
      <w:numFmt w:val="bullet"/>
      <w:suff w:val="tab"/>
      <w:lvlText w:val="•"/>
      <w:rPr>
        <w:color w:val="3370ff"/>
      </w:rPr>
    </w:lvl>
  </w:abstractNum>
  <w:abstractNum w:abstractNumId="104176">
    <w:lvl>
      <w:numFmt w:val="bullet"/>
      <w:suff w:val="tab"/>
      <w:lvlText w:val="•"/>
      <w:rPr>
        <w:color w:val="3370ff"/>
      </w:rPr>
    </w:lvl>
  </w:abstractNum>
  <w:abstractNum w:abstractNumId="104177">
    <w:lvl>
      <w:numFmt w:val="bullet"/>
      <w:suff w:val="tab"/>
      <w:lvlText w:val="•"/>
      <w:rPr>
        <w:color w:val="3370ff"/>
      </w:rPr>
    </w:lvl>
  </w:abstractNum>
  <w:abstractNum w:abstractNumId="104178">
    <w:lvl>
      <w:numFmt w:val="bullet"/>
      <w:suff w:val="tab"/>
      <w:lvlText w:val="•"/>
      <w:rPr>
        <w:color w:val="3370ff"/>
      </w:rPr>
    </w:lvl>
  </w:abstractNum>
  <w:abstractNum w:abstractNumId="104179">
    <w:lvl>
      <w:numFmt w:val="bullet"/>
      <w:suff w:val="tab"/>
      <w:lvlText w:val="•"/>
      <w:rPr>
        <w:color w:val="3370ff"/>
      </w:rPr>
    </w:lvl>
  </w:abstractNum>
  <w:abstractNum w:abstractNumId="104180">
    <w:lvl>
      <w:numFmt w:val="bullet"/>
      <w:suff w:val="tab"/>
      <w:lvlText w:val="•"/>
      <w:rPr>
        <w:color w:val="3370ff"/>
      </w:rPr>
    </w:lvl>
  </w:abstractNum>
  <w:abstractNum w:abstractNumId="104181">
    <w:lvl>
      <w:numFmt w:val="bullet"/>
      <w:suff w:val="tab"/>
      <w:lvlText w:val="•"/>
      <w:rPr>
        <w:color w:val="3370ff"/>
      </w:rPr>
    </w:lvl>
  </w:abstractNum>
  <w:abstractNum w:abstractNumId="104182">
    <w:lvl>
      <w:numFmt w:val="bullet"/>
      <w:suff w:val="tab"/>
      <w:lvlText w:val="•"/>
      <w:rPr>
        <w:color w:val="3370ff"/>
      </w:rPr>
    </w:lvl>
  </w:abstractNum>
  <w:abstractNum w:abstractNumId="104183">
    <w:lvl>
      <w:numFmt w:val="bullet"/>
      <w:suff w:val="tab"/>
      <w:lvlText w:val="•"/>
      <w:rPr>
        <w:color w:val="3370ff"/>
      </w:rPr>
    </w:lvl>
  </w:abstractNum>
  <w:abstractNum w:abstractNumId="104184">
    <w:lvl>
      <w:numFmt w:val="bullet"/>
      <w:suff w:val="tab"/>
      <w:lvlText w:val="•"/>
      <w:rPr>
        <w:color w:val="3370ff"/>
      </w:rPr>
    </w:lvl>
  </w:abstractNum>
  <w:abstractNum w:abstractNumId="104185">
    <w:lvl>
      <w:numFmt w:val="bullet"/>
      <w:suff w:val="tab"/>
      <w:lvlText w:val="•"/>
      <w:rPr>
        <w:color w:val="3370ff"/>
      </w:rPr>
    </w:lvl>
  </w:abstractNum>
  <w:abstractNum w:abstractNumId="104186">
    <w:lvl>
      <w:start w:val="1"/>
      <w:numFmt w:val="decimal"/>
      <w:suff w:val="tab"/>
      <w:lvlText w:val="%1."/>
      <w:rPr>
        <w:color w:val="3370ff"/>
      </w:rPr>
    </w:lvl>
  </w:abstractNum>
  <w:abstractNum w:abstractNumId="104187">
    <w:lvl>
      <w:start w:val="2"/>
      <w:numFmt w:val="decimal"/>
      <w:suff w:val="tab"/>
      <w:lvlText w:val="%1."/>
      <w:rPr>
        <w:color w:val="3370ff"/>
      </w:rPr>
    </w:lvl>
  </w:abstractNum>
  <w:abstractNum w:abstractNumId="104188">
    <w:lvl>
      <w:start w:val="3"/>
      <w:numFmt w:val="decimal"/>
      <w:suff w:val="tab"/>
      <w:lvlText w:val="%1."/>
      <w:rPr>
        <w:color w:val="3370ff"/>
      </w:rPr>
    </w:lvl>
  </w:abstractNum>
  <w:abstractNum w:abstractNumId="104189">
    <w:lvl>
      <w:start w:val="4"/>
      <w:numFmt w:val="decimal"/>
      <w:suff w:val="tab"/>
      <w:lvlText w:val="%1."/>
      <w:rPr>
        <w:color w:val="3370ff"/>
      </w:rPr>
    </w:lvl>
  </w:abstractNum>
  <w:abstractNum w:abstractNumId="104190">
    <w:lvl>
      <w:numFmt w:val="bullet"/>
      <w:suff w:val="tab"/>
      <w:lvlText w:val="•"/>
      <w:rPr>
        <w:color w:val="3370ff"/>
      </w:rPr>
    </w:lvl>
  </w:abstractNum>
  <w:abstractNum w:abstractNumId="104191">
    <w:lvl>
      <w:numFmt w:val="bullet"/>
      <w:suff w:val="tab"/>
      <w:lvlText w:val="•"/>
      <w:rPr>
        <w:color w:val="3370ff"/>
      </w:rPr>
    </w:lvl>
  </w:abstractNum>
  <w:abstractNum w:abstractNumId="104192">
    <w:lvl>
      <w:numFmt w:val="bullet"/>
      <w:suff w:val="tab"/>
      <w:lvlText w:val="•"/>
      <w:rPr>
        <w:color w:val="3370ff"/>
      </w:rPr>
    </w:lvl>
  </w:abstractNum>
  <w:abstractNum w:abstractNumId="104193">
    <w:lvl>
      <w:numFmt w:val="bullet"/>
      <w:suff w:val="tab"/>
      <w:lvlText w:val="•"/>
      <w:rPr>
        <w:color w:val="3370ff"/>
      </w:rPr>
    </w:lvl>
  </w:abstractNum>
  <w:abstractNum w:abstractNumId="104194">
    <w:lvl>
      <w:numFmt w:val="bullet"/>
      <w:suff w:val="tab"/>
      <w:lvlText w:val="•"/>
      <w:rPr>
        <w:color w:val="3370ff"/>
      </w:rPr>
    </w:lvl>
  </w:abstractNum>
  <w:abstractNum w:abstractNumId="104195">
    <w:lvl>
      <w:numFmt w:val="bullet"/>
      <w:suff w:val="tab"/>
      <w:lvlText w:val="•"/>
      <w:rPr>
        <w:color w:val="3370ff"/>
      </w:rPr>
    </w:lvl>
  </w:abstractNum>
  <w:abstractNum w:abstractNumId="104196">
    <w:lvl>
      <w:numFmt w:val="bullet"/>
      <w:suff w:val="tab"/>
      <w:lvlText w:val="•"/>
      <w:rPr>
        <w:color w:val="3370ff"/>
      </w:rPr>
    </w:lvl>
  </w:abstractNum>
  <w:num w:numId="1">
    <w:abstractNumId w:val="104153"/>
  </w:num>
  <w:num w:numId="2">
    <w:abstractNumId w:val="104154"/>
  </w:num>
  <w:num w:numId="3">
    <w:abstractNumId w:val="104155"/>
  </w:num>
  <w:num w:numId="4">
    <w:abstractNumId w:val="104156"/>
  </w:num>
  <w:num w:numId="5">
    <w:abstractNumId w:val="104157"/>
  </w:num>
  <w:num w:numId="6">
    <w:abstractNumId w:val="104158"/>
  </w:num>
  <w:num w:numId="7">
    <w:abstractNumId w:val="104159"/>
  </w:num>
  <w:num w:numId="8">
    <w:abstractNumId w:val="104160"/>
  </w:num>
  <w:num w:numId="9">
    <w:abstractNumId w:val="104161"/>
  </w:num>
  <w:num w:numId="10">
    <w:abstractNumId w:val="104162"/>
  </w:num>
  <w:num w:numId="11">
    <w:abstractNumId w:val="104163"/>
  </w:num>
  <w:num w:numId="12">
    <w:abstractNumId w:val="104164"/>
  </w:num>
  <w:num w:numId="13">
    <w:abstractNumId w:val="104165"/>
  </w:num>
  <w:num w:numId="14">
    <w:abstractNumId w:val="104166"/>
  </w:num>
  <w:num w:numId="15">
    <w:abstractNumId w:val="104167"/>
  </w:num>
  <w:num w:numId="16">
    <w:abstractNumId w:val="104168"/>
  </w:num>
  <w:num w:numId="17">
    <w:abstractNumId w:val="104169"/>
  </w:num>
  <w:num w:numId="18">
    <w:abstractNumId w:val="104170"/>
  </w:num>
  <w:num w:numId="19">
    <w:abstractNumId w:val="104171"/>
  </w:num>
  <w:num w:numId="20">
    <w:abstractNumId w:val="104172"/>
  </w:num>
  <w:num w:numId="21">
    <w:abstractNumId w:val="104173"/>
  </w:num>
  <w:num w:numId="22">
    <w:abstractNumId w:val="104174"/>
  </w:num>
  <w:num w:numId="23">
    <w:abstractNumId w:val="104175"/>
  </w:num>
  <w:num w:numId="24">
    <w:abstractNumId w:val="104176"/>
  </w:num>
  <w:num w:numId="25">
    <w:abstractNumId w:val="104177"/>
  </w:num>
  <w:num w:numId="26">
    <w:abstractNumId w:val="104178"/>
  </w:num>
  <w:num w:numId="27">
    <w:abstractNumId w:val="104179"/>
  </w:num>
  <w:num w:numId="28">
    <w:abstractNumId w:val="104180"/>
  </w:num>
  <w:num w:numId="29">
    <w:abstractNumId w:val="104181"/>
  </w:num>
  <w:num w:numId="30">
    <w:abstractNumId w:val="104182"/>
  </w:num>
  <w:num w:numId="31">
    <w:abstractNumId w:val="104183"/>
  </w:num>
  <w:num w:numId="32">
    <w:abstractNumId w:val="104184"/>
  </w:num>
  <w:num w:numId="33">
    <w:abstractNumId w:val="104185"/>
  </w:num>
  <w:num w:numId="34">
    <w:abstractNumId w:val="104186"/>
  </w:num>
  <w:num w:numId="35">
    <w:abstractNumId w:val="104187"/>
  </w:num>
  <w:num w:numId="36">
    <w:abstractNumId w:val="104188"/>
  </w:num>
  <w:num w:numId="37">
    <w:abstractNumId w:val="104189"/>
  </w:num>
  <w:num w:numId="38">
    <w:abstractNumId w:val="104190"/>
  </w:num>
  <w:num w:numId="39">
    <w:abstractNumId w:val="104191"/>
  </w:num>
  <w:num w:numId="40">
    <w:abstractNumId w:val="104192"/>
  </w:num>
  <w:num w:numId="41">
    <w:abstractNumId w:val="104193"/>
  </w:num>
  <w:num w:numId="42">
    <w:abstractNumId w:val="104194"/>
  </w:num>
  <w:num w:numId="43">
    <w:abstractNumId w:val="104195"/>
  </w:num>
  <w:num w:numId="44">
    <w:abstractNumId w:val="1041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2026-08-12T02:17:54Z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{"Label":"1","ContentProducer":"001191110102MACQD9K64010000","ProduceID":"7672963673305287661","ReservedCode1":"","ContentPropagator":"","PropagateID":"","ReservedCode2":""}</vt:lpwstr>
  </property>
</Properties>
</file>