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Arial" w:hAnsi="Arial"/>
          <w:b/>
          <w:i w:val="0"/>
          <w:color w:val="0070C0"/>
          <w:sz w:val="28"/>
        </w:rPr>
        <w:t>Issued on Tuesday: 24-02-2026: 15:30 (EAT)</w:t>
      </w:r>
    </w:p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10469"/>
      </w:tblGrid>
      <w:tr>
        <w:tc>
          <w:tcPr>
            <w:tcW w:type="dxa" w:w="10469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Tuesday: 24-02-2026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4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Arial" w:hAnsi="Arial"/>
                <w:color w:val="F1C40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E67E22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D32F2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2"/>
                <w:u w:val="single"/>
              </w:rPr>
              <w:t>ADVISORY</w:t>
            </w:r>
            <w:r>
              <w:rPr>
                <w:rFonts w:ascii="Arial" w:hAnsi="Arial"/>
                <w:sz w:val="22"/>
              </w:rPr>
              <w:t xml:space="preserve"> h hkh</w:t>
            </w:r>
          </w:p>
          <w:p>
            <w:pPr>
              <w:spacing w:before="12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Arial" w:hAnsi="Arial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 h hn hn h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8" w:type="dxa"/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Wednesday: 25-02-2026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Thursday: 26-02-2026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Friday: 27-02-2026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Saturday: 28-02-2026</w:t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2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