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Advancing the INFORM Hazard Evidence for Tanzania while Preserving the INFORM Engine: a CHIRPS/ERA5/NBS multi-criteria drought case study</w:t>
      </w:r>
    </w:p>
    <w:p>
      <w:pPr>
        <w:pStyle w:val="Author"/>
      </w:pPr>
      <w:r>
        <w:t xml:space="preserve">INFORM Tanzania (inform.co.tz)</w:t>
      </w:r>
    </w:p>
    <w:p>
      <w:pPr>
        <w:pStyle w:val="Date"/>
      </w:pPr>
      <w:r>
        <w:t xml:space="preserve">2026-06-03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Status - proposal for INFORM Calc Engine v2.</w:t>
      </w:r>
      <w:r>
        <w:t xml:space="preserve"> </w:t>
      </w:r>
      <w:r>
        <w:t xml:space="preserve">The operational model (</w:t>
      </w:r>
      <w:r>
        <w:rPr>
          <w:b/>
          <w:bCs/>
        </w:rPr>
        <w:t xml:space="preserve">v1</w:t>
      </w:r>
      <w:r>
        <w:t xml:space="preserve">) keeps the INFORM</w:t>
      </w:r>
      <w:r>
        <w:t xml:space="preserve"> </w:t>
      </w:r>
      <w:r>
        <w:t xml:space="preserve">aggregation engine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as the official Excel workbook - verified formula-by-formula, written in</w:t>
      </w:r>
      <w:r>
        <w:t xml:space="preserve"> </w:t>
      </w:r>
      <w:r>
        <w:t xml:space="preserve">the code in the workbook’s own literal form (product</w:t>
      </w:r>
      <w:r>
        <w:t xml:space="preserve"> </w:t>
      </w:r>
      <w:r>
        <w:rPr>
          <w:rStyle w:val="VerbatimChar"/>
        </w:rPr>
        <w:t xml:space="preserve">GEOMEAN</w:t>
      </w:r>
      <w:r>
        <w:t xml:space="preserve">, product of cube roots,</w:t>
      </w:r>
      <w:r>
        <w:t xml:space="preserve"> </w:t>
      </w:r>
      <w:r>
        <w:rPr>
          <w:rStyle w:val="VerbatimChar"/>
        </w:rPr>
        <w:t xml:space="preserve">AVERAGE</w:t>
      </w:r>
      <w:r>
        <w:t xml:space="preserve">,</w:t>
      </w:r>
      <w:r>
        <w:t xml:space="preserve"> </w:t>
      </w:r>
      <w:r>
        <w:t xml:space="preserve">min-max). The advancements documented in this paper are a</w:t>
      </w:r>
      <w:r>
        <w:t xml:space="preserve"> </w:t>
      </w:r>
      <w:r>
        <w:rPr>
          <w:b/>
          <w:bCs/>
        </w:rPr>
        <w:t xml:space="preserve">proposal</w:t>
      </w:r>
      <w:r>
        <w:t xml:space="preserve">; once validated (</w:t>
      </w:r>
      <w:r>
        <w:t xml:space="preserve">“when it</w:t>
      </w:r>
      <w:r>
        <w:t xml:space="preserve"> </w:t>
      </w:r>
      <w:r>
        <w:t xml:space="preserve">passes”</w:t>
      </w:r>
      <w:r>
        <w:t xml:space="preserve">) they are implemented as</w:t>
      </w:r>
      <w:r>
        <w:t xml:space="preserve"> </w:t>
      </w:r>
      <w:r>
        <w:rPr>
          <w:b/>
          <w:bCs/>
        </w:rPr>
        <w:t xml:space="preserve">INFORM Calc Engine v2</w:t>
      </w:r>
      <w:r>
        <w:t xml:space="preserve">. In short:</w:t>
      </w:r>
      <w:r>
        <w:t xml:space="preserve"> </w:t>
      </w:r>
      <w:r>
        <w:rPr>
          <w:b/>
          <w:bCs/>
        </w:rPr>
        <w:t xml:space="preserve">v1 = exact INFORM now; v2 =</w:t>
      </w:r>
      <w:r>
        <w:rPr>
          <w:b/>
          <w:bCs/>
        </w:rPr>
        <w:t xml:space="preserve"> </w:t>
      </w:r>
      <w:r>
        <w:rPr>
          <w:b/>
          <w:bCs/>
        </w:rPr>
        <w:t xml:space="preserve">these advancements next</w:t>
      </w:r>
      <w:r>
        <w:t xml:space="preserve">. This is one of three documents - (1) the operational</w:t>
      </w:r>
      <w:r>
        <w:t xml:space="preserve"> </w:t>
      </w:r>
      <w:r>
        <w:rPr>
          <w:b/>
          <w:bCs/>
        </w:rPr>
        <w:t xml:space="preserve">Manual</w:t>
      </w:r>
      <w:r>
        <w:t xml:space="preserve">, (2) the</w:t>
      </w:r>
      <w:r>
        <w:t xml:space="preserve"> </w:t>
      </w:r>
      <w:r>
        <w:rPr>
          <w:b/>
          <w:bCs/>
        </w:rPr>
        <w:t xml:space="preserve">Exact-formula 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INFORM_CALCULATION_ENGINE.docx</w:t>
      </w:r>
      <w:r>
        <w:t xml:space="preserve">, what v1 runs), and (3) this</w:t>
      </w:r>
      <w:r>
        <w:t xml:space="preserve"> </w:t>
      </w:r>
      <w:r>
        <w:rPr>
          <w:b/>
          <w:bCs/>
        </w:rPr>
        <w:t xml:space="preserve">Paper</w:t>
      </w:r>
      <w:r>
        <w:t xml:space="preserve"> </w:t>
      </w:r>
      <w:r>
        <w:t xml:space="preserve">(the v2 proposal).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INFORM Subnational Risk Index aggregates standardised (0-10) hazard, vulnerability and lack-of-coping</w:t>
      </w:r>
      <w:r>
        <w:t xml:space="preserve"> </w:t>
      </w:r>
      <w:r>
        <w:t xml:space="preserve">indicators into a comparable risk score. Its aggregation</w:t>
      </w:r>
      <w: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- min-max standardisation (with</w:t>
      </w:r>
      <w:r>
        <w:t xml:space="preserve"> </w:t>
      </w:r>
      <w:r>
        <w:t xml:space="preserve">logarithmic transformation and Tukey outlier capping), arithmetic averaging of indicators into categories,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scaled geometric mean</w:t>
      </w:r>
      <w:r>
        <w:t xml:space="preserve"> </w:t>
      </w:r>
      <w:r>
        <w:t xml:space="preserve">of categories into dimensions, and the</w:t>
      </w:r>
      <w:r>
        <w:t xml:space="preserve"> </w:t>
      </w:r>
      <w:r>
        <w:rPr>
          <w:b/>
          <w:bCs/>
        </w:rPr>
        <w:t xml:space="preserve">cube root</w:t>
      </w:r>
      <w:r>
        <w:t xml:space="preserve"> </w:t>
      </w:r>
      <w:r>
        <w:t xml:space="preserve">of the three dimensions</w:t>
      </w:r>
      <w:r>
        <w:t xml:space="preserve"> </w:t>
      </w:r>
      <w:r>
        <w:t xml:space="preserve">into risk - is a fixed methodology we</w:t>
      </w:r>
      <w:r>
        <w:t xml:space="preserve"> </w:t>
      </w:r>
      <w:r>
        <w:rPr>
          <w:b/>
          <w:bCs/>
        </w:rPr>
        <w:t xml:space="preserve">preserve exactly</w:t>
      </w:r>
      <w:r>
        <w:t xml:space="preserve"> </w:t>
      </w:r>
      <w:r>
        <w:t xml:space="preserve">as implemented in the official</w:t>
      </w:r>
      <w:r>
        <w:t xml:space="preserve"> </w:t>
      </w:r>
      <w:r>
        <w:rPr>
          <w:i/>
          <w:iCs/>
        </w:rPr>
        <w:t xml:space="preserve">Tanzania - Country Model Template</w:t>
      </w:r>
      <w:r>
        <w:t xml:space="preserve"> </w:t>
      </w:r>
      <w:r>
        <w:t xml:space="preserve">workbook (verified formula-by-formula from its hidden sheets). What we</w:t>
      </w:r>
      <w:r>
        <w:t xml:space="preserve"> </w:t>
      </w:r>
      <w:r>
        <w:rPr>
          <w:b/>
          <w:bCs/>
        </w:rPr>
        <w:t xml:space="preserve">advance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behind individual hazard indicators where authoritative national data exist.</w:t>
      </w:r>
      <w:r>
        <w:t xml:space="preserve"> </w:t>
      </w:r>
      <w:r>
        <w:t xml:space="preserve">This paper documents the advancement of the</w:t>
      </w:r>
      <w:r>
        <w:t xml:space="preserve"> </w:t>
      </w:r>
      <w:r>
        <w:rPr>
          <w:b/>
          <w:bCs/>
        </w:rPr>
        <w:t xml:space="preserve">drought hazard</w:t>
      </w:r>
      <w:r>
        <w:t xml:space="preserve"> </w:t>
      </w:r>
      <w:r>
        <w:t xml:space="preserve">from a coarse INFORM SADC value to a</w:t>
      </w:r>
      <w:r>
        <w:t xml:space="preserve"> </w:t>
      </w:r>
      <w:r>
        <w:t xml:space="preserve">transparent four-component index computed from CHIRPS v3 rainfall (1991-2024) and ERA5 temperature -</w:t>
      </w:r>
      <w:r>
        <w:t xml:space="preserve"> </w:t>
      </w:r>
      <w:r>
        <w:t xml:space="preserve">aridity, interannual variability, SPEI drought depth, and growing-season failure - together with the</w:t>
      </w:r>
      <w:r>
        <w:t xml:space="preserve"> </w:t>
      </w:r>
      <w:r>
        <w:rPr>
          <w:b/>
          <w:bCs/>
        </w:rPr>
        <w:t xml:space="preserve">initial vs advanced</w:t>
      </w:r>
      <w:r>
        <w:t xml:space="preserve"> </w:t>
      </w:r>
      <w:r>
        <w:t xml:space="preserve">comparison, the</w:t>
      </w:r>
      <w:r>
        <w:t xml:space="preserve"> </w:t>
      </w:r>
      <w:r>
        <w:rPr>
          <w:b/>
          <w:bCs/>
        </w:rPr>
        <w:t xml:space="preserve">impact</w:t>
      </w:r>
      <w:r>
        <w:t xml:space="preserve">, and the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the advancement closes. We show the</w:t>
      </w:r>
      <w:r>
        <w:t xml:space="preserve"> </w:t>
      </w:r>
      <w:r>
        <w:t xml:space="preserve">initial drought layer was spatially incoherent (the central semi-arid zone under-rated at ~4/10, a coastal</w:t>
      </w:r>
      <w:r>
        <w:t xml:space="preserve"> </w:t>
      </w:r>
      <w:r>
        <w:t xml:space="preserve">city over-rated at 10/10), whereas the advanced layer tracks observed rainfall and the food-security</w:t>
      </w:r>
      <w:r>
        <w:t xml:space="preserve"> </w:t>
      </w:r>
      <w:r>
        <w:t xml:space="preserve">geography. The flood, heatwave and exposure advancements are summarised; engine-level refinements (IQR</w:t>
      </w:r>
      <w:r>
        <w:t xml:space="preserve"> </w:t>
      </w:r>
      <w:r>
        <w:t xml:space="preserve">capping of recomputed indicators, custom vs data-range references) are deferred to future work by design.</w:t>
      </w:r>
    </w:p>
    <w:bookmarkEnd w:id="9"/>
    <w:bookmarkStart w:id="1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INFORM (the Index for Risk Management; DRMKC/JRC, European Commission) provides a transparent, reproducible</w:t>
      </w:r>
      <w:r>
        <w:t xml:space="preserve"> </w:t>
      </w:r>
      <w:r>
        <w:t xml:space="preserve">composite risk model [1]. For Tanzania, the operational instrument is the</w:t>
      </w:r>
      <w:r>
        <w:t xml:space="preserve"> </w:t>
      </w:r>
      <w:r>
        <w:rPr>
          <w:i/>
          <w:iCs/>
        </w:rPr>
        <w:t xml:space="preserve">Tanzania - Country Model</w:t>
      </w:r>
      <w:r>
        <w:rPr>
          <w:i/>
          <w:iCs/>
        </w:rPr>
        <w:t xml:space="preserve"> </w:t>
      </w:r>
      <w:r>
        <w:rPr>
          <w:i/>
          <w:iCs/>
        </w:rPr>
        <w:t xml:space="preserve">Template</w:t>
      </w:r>
      <w:r>
        <w:t xml:space="preserve"> </w:t>
      </w:r>
      <w:r>
        <w:t xml:space="preserve">workbook, whose engine standardises each indicator to 0-10 and aggregates them. The engine is</w:t>
      </w:r>
      <w:r>
        <w:t xml:space="preserve"> </w:t>
      </w:r>
      <w:r>
        <w:t xml:space="preserve">deliberately conservative and globally comparable; it must not be silently altered.</w:t>
      </w:r>
    </w:p>
    <w:p>
      <w:pPr>
        <w:pStyle w:val="BodyText"/>
      </w:pPr>
      <w:r>
        <w:t xml:space="preserve">Our work separates two concerns: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engine</w:t>
      </w:r>
      <w:r>
        <w:t xml:space="preserve"> </w:t>
      </w:r>
      <w:r>
        <w:t xml:space="preserve">(how numbers combine). This stays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to the workbook - we verified every</w:t>
      </w:r>
      <w:r>
        <w:t xml:space="preserve"> </w:t>
      </w:r>
      <w:r>
        <w:t xml:space="preserve">formula directly from the (hidden) engine sheets (see the companion</w:t>
      </w:r>
      <w:r>
        <w:t xml:space="preserve"> </w:t>
      </w:r>
      <w:r>
        <w:rPr>
          <w:rStyle w:val="VerbatimChar"/>
        </w:rPr>
        <w:t xml:space="preserve">INFORM_CALCULATION_ENGINE.docx</w:t>
      </w:r>
      <w:r>
        <w:t xml:space="preserve">):</w:t>
      </w:r>
      <w:r>
        <w:t xml:space="preserve"> </w:t>
      </w:r>
      <w:r>
        <w:t xml:space="preserve">component =</w:t>
      </w:r>
      <w:r>
        <w:t xml:space="preserve"> </w:t>
      </w:r>
      <w:r>
        <w:rPr>
          <w:rStyle w:val="VerbatimChar"/>
        </w:rPr>
        <w:t xml:space="preserve">AVERAGE</w:t>
      </w:r>
      <w:r>
        <w:t xml:space="preserve">, category =</w:t>
      </w:r>
      <w:r>
        <w:t xml:space="preserve"> </w:t>
      </w:r>
      <w:r>
        <w:rPr>
          <w:rStyle w:val="VerbatimChar"/>
        </w:rPr>
        <w:t xml:space="preserve">AVERAGE</w:t>
      </w:r>
      <w:r>
        <w:t xml:space="preserve">, dimension =</w:t>
      </w:r>
      <w:r>
        <w:t xml:space="preserve"> </w:t>
      </w:r>
      <w:r>
        <w:rPr>
          <w:rStyle w:val="VerbatimChar"/>
        </w:rPr>
        <w:t xml:space="preserve">ROUND((10-GEOMEAN((10-c)/10*9+1...))/9*10,1)</w:t>
      </w:r>
      <w:r>
        <w:t xml:space="preserve"> </w:t>
      </w:r>
      <w:r>
        <w:t xml:space="preserve">(scaled geometric mean), risk =</w:t>
      </w:r>
      <w:r>
        <w:t xml:space="preserve"> </w:t>
      </w:r>
      <w:r>
        <w:rPr>
          <w:rStyle w:val="VerbatimChar"/>
        </w:rPr>
        <w:t xml:space="preserve">ROUND(H^(1/3)*V^(1/3)*LCC^(1/3),1)</w:t>
      </w:r>
      <w:r>
        <w:t xml:space="preserve"> </w:t>
      </w:r>
      <w:r>
        <w:t xml:space="preserve">(cube root), and standardisation =</w:t>
      </w:r>
      <w:r>
        <w:t xml:space="preserve"> </w:t>
      </w:r>
      <w:r>
        <w:t xml:space="preserve">min-max to 0-10 with optional log/exp transform, Tukey (Q1-1.5</w:t>
      </w:r>
      <w:r>
        <w:rPr>
          <w:i/>
          <w:iCs/>
        </w:rPr>
        <w:t xml:space="preserve">IQR, Q3+1.5</w:t>
      </w:r>
      <w:r>
        <w:t xml:space="preserve">IQR) outlier capping, and an</w:t>
      </w:r>
      <w:r>
        <w:t xml:space="preserve"> </w:t>
      </w:r>
      <w:r>
        <w:t xml:space="preserve">inversion for</w:t>
      </w:r>
      <w:r>
        <w:t xml:space="preserve"> </w:t>
      </w:r>
      <w:r>
        <w:t xml:space="preserve">“Decrease Risk”</w:t>
      </w:r>
      <w:r>
        <w:t xml:space="preserve"> </w:t>
      </w:r>
      <w:r>
        <w:t xml:space="preserve">indicators.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evidence</w:t>
      </w:r>
      <w:r>
        <w:t xml:space="preserve"> </w:t>
      </w:r>
      <w:r>
        <w:t xml:space="preserve">(the value of each indicator). Where the INFORM SADC layer is coarse, dated, or</w:t>
      </w:r>
      <w:r>
        <w:t xml:space="preserve"> </w:t>
      </w:r>
      <w:r>
        <w:t xml:space="preserve">incoherent for Tanzania, and authoritative national data exist, we</w:t>
      </w:r>
      <w:r>
        <w:t xml:space="preserve"> </w:t>
      </w:r>
      <w:r>
        <w:rPr>
          <w:b/>
          <w:bCs/>
        </w:rPr>
        <w:t xml:space="preserve">recompute the indicator</w:t>
      </w:r>
      <w:r>
        <w:t xml:space="preserve"> </w:t>
      </w:r>
      <w:r>
        <w:t xml:space="preserve">from</w:t>
      </w:r>
      <w:r>
        <w:t xml:space="preserve"> </w:t>
      </w:r>
      <w:r>
        <w:t xml:space="preserve">primary data using the</w:t>
      </w:r>
      <w:r>
        <w:t xml:space="preserve"> </w:t>
      </w:r>
      <w:r>
        <w:rPr>
          <w:b/>
          <w:bCs/>
        </w:rPr>
        <w:t xml:space="preserve">same standardisation method</w:t>
      </w:r>
      <w:r>
        <w:t xml:space="preserve"> </w:t>
      </w:r>
      <w:r>
        <w:t xml:space="preserve">the engine prescribes, and we apply it</w:t>
      </w:r>
      <w:r>
        <w:t xml:space="preserve"> </w:t>
      </w:r>
      <w:r>
        <w:rPr>
          <w:b/>
          <w:bCs/>
        </w:rPr>
        <w:t xml:space="preserve">raise-only</w:t>
      </w:r>
      <w:r>
        <w:t xml:space="preserve"> </w:t>
      </w:r>
      <w:r>
        <w:t xml:space="preserve">(the computed value may raise a documented hazard but never silently lower it).</w:t>
      </w:r>
    </w:p>
    <w:p>
      <w:pPr>
        <w:pStyle w:val="FirstParagraph"/>
      </w:pPr>
      <w:r>
        <w:t xml:space="preserve">This paper makes the second concern explicit and auditable, using</w:t>
      </w:r>
      <w:r>
        <w:t xml:space="preserve"> </w:t>
      </w:r>
      <w:r>
        <w:rPr>
          <w:b/>
          <w:bCs/>
        </w:rPr>
        <w:t xml:space="preserve">drought</w:t>
      </w:r>
      <w:r>
        <w:t xml:space="preserve"> </w:t>
      </w:r>
      <w:r>
        <w:t xml:space="preserve">as the worked case, because</w:t>
      </w:r>
      <w:r>
        <w:t xml:space="preserve"> </w:t>
      </w:r>
      <w:r>
        <w:t xml:space="preserve">drought is the hazard most consequential for Tanzanian food security and the one for which the densest</w:t>
      </w:r>
      <w:r>
        <w:t xml:space="preserve"> </w:t>
      </w:r>
      <w:r>
        <w:t xml:space="preserve">observational record exists.</w:t>
      </w:r>
    </w:p>
    <w:bookmarkEnd w:id="10"/>
    <w:bookmarkStart w:id="11" w:name="the-preserved-inform-engine"/>
    <w:p>
      <w:pPr>
        <w:pStyle w:val="Heading1"/>
      </w:pPr>
      <w:r>
        <w:t xml:space="preserve">2. The preserved INFORM engine</w:t>
      </w:r>
    </w:p>
    <w:p>
      <w:pPr>
        <w:pStyle w:val="FirstParagraph"/>
      </w:pPr>
      <w:r>
        <w:t xml:space="preserve">We reproduced a unit end-to-end against the workbook: for Kondoa, the workbook’s own Hazard dimension is</w:t>
      </w:r>
      <w:r>
        <w:t xml:space="preserve"> </w:t>
      </w:r>
      <w:r>
        <w:rPr>
          <w:rStyle w:val="VerbatimChar"/>
        </w:rPr>
        <w:t xml:space="preserve">scaled-geomean(Natural 3.544, Human 0.683) = 2.2</w:t>
      </w:r>
      <w:r>
        <w:t xml:space="preserve">, and our implementation returns the same 2.2 for the</w:t>
      </w:r>
      <w:r>
        <w:t xml:space="preserve"> </w:t>
      </w:r>
      <w:r>
        <w:t xml:space="preserve">same inputs; the national value matches the workbook to the decimal (Hazard 2.2, Vulnerability 5.5,</w:t>
      </w:r>
      <w:r>
        <w:t xml:space="preserve"> </w:t>
      </w:r>
      <w:r>
        <w:t xml:space="preserve">Lack-of-Coping 5.9, Risk 4.1). The engine is therefore</w:t>
      </w:r>
      <w:r>
        <w:t xml:space="preserve"> </w:t>
      </w:r>
      <w:r>
        <w:rPr>
          <w:b/>
          <w:bCs/>
        </w:rPr>
        <w:t xml:space="preserve">unchanged</w:t>
      </w:r>
      <w:r>
        <w:t xml:space="preserve">; only indicator</w:t>
      </w:r>
      <w:r>
        <w:t xml:space="preserve"> </w:t>
      </w:r>
      <w:r>
        <w:rPr>
          <w:i/>
          <w:iCs/>
        </w:rPr>
        <w:t xml:space="preserve">inputs</w:t>
      </w:r>
      <w:r>
        <w:t xml:space="preserve"> </w:t>
      </w:r>
      <w:r>
        <w:t xml:space="preserve">differ where</w:t>
      </w:r>
      <w:r>
        <w:t xml:space="preserve"> </w:t>
      </w:r>
      <w:r>
        <w:t xml:space="preserve">we advanced them. Two engine-level options the workbook supports but our recompute scripts do not yet apply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Tukey IQR capping</w:t>
      </w:r>
      <w:r>
        <w:t xml:space="preserve"> </w:t>
      </w:r>
      <w:r>
        <w:t xml:space="preserve">of recomputed series, and</w:t>
      </w:r>
      <w:r>
        <w:t xml:space="preserve"> </w:t>
      </w:r>
      <w:r>
        <w:rPr>
          <w:b/>
          <w:bCs/>
        </w:rPr>
        <w:t xml:space="preserve">custom (fixed) reference ranges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Tanzania data range - are recorded as</w:t>
      </w:r>
      <w:r>
        <w:t xml:space="preserve"> </w:t>
      </w:r>
      <w:r>
        <w:rPr>
          <w:b/>
          <w:bCs/>
        </w:rPr>
        <w:t xml:space="preserve">future work</w:t>
      </w:r>
      <w:r>
        <w:t xml:space="preserve"> </w:t>
      </w:r>
      <w:r>
        <w:t xml:space="preserve">(Section 7) and are not changed here.</w:t>
      </w:r>
    </w:p>
    <w:bookmarkEnd w:id="11"/>
    <w:bookmarkStart w:id="15" w:name="the-drought-advancement---method"/>
    <w:p>
      <w:pPr>
        <w:pStyle w:val="Heading1"/>
      </w:pPr>
      <w:r>
        <w:t xml:space="preserve">3. The drought advancement - method</w:t>
      </w:r>
    </w:p>
    <w:bookmarkStart w:id="12" w:name="Xe307caade9ebe20c6688050399fb63691effb5f"/>
    <w:p>
      <w:pPr>
        <w:pStyle w:val="Heading2"/>
      </w:pPr>
      <w:r>
        <w:t xml:space="preserve">3.1 Rationale and the gap in the initial layer</w:t>
      </w:r>
    </w:p>
    <w:p>
      <w:pPr>
        <w:pStyle w:val="FirstParagraph"/>
      </w:pPr>
      <w:r>
        <w:t xml:space="preserve">The initial INFORM SADC drought scores for Tanzania are spatially incoherent (Section 5, Table 2): several</w:t>
      </w:r>
      <w:r>
        <w:t xml:space="preserve"> </w:t>
      </w:r>
      <w:r>
        <w:t xml:space="preserve">central</w:t>
      </w:r>
      <w:r>
        <w:t xml:space="preserve"> </w:t>
      </w:r>
      <w:r>
        <w:rPr>
          <w:b/>
          <w:bCs/>
        </w:rPr>
        <w:t xml:space="preserve">semi-arid</w:t>
      </w:r>
      <w:r>
        <w:t xml:space="preserve"> </w:t>
      </w:r>
      <w:r>
        <w:t xml:space="preserve">councils (Kondoa 771 mm yr^-1, Singida 749 mm, Manyoni 760 mm) scored only 3.6-4.3/10,</w:t>
      </w:r>
      <w:r>
        <w:t xml:space="preserve"> </w:t>
      </w:r>
      <w:r>
        <w:t xml:space="preserve">while a wet coastal city (Dar es Salaam / Ilala, 1,253 mm) scored 10/10. Semi-arid central Tanzania is a</w:t>
      </w:r>
      <w:r>
        <w:t xml:space="preserve"> </w:t>
      </w:r>
      <w:r>
        <w:t xml:space="preserve">recurrent drought- and food-insecurity hotspot (IPC/MUCHALI classifications), so an index that rates it</w:t>
      </w:r>
      <w:r>
        <w:t xml:space="preserve"> </w:t>
      </w:r>
      <w:r>
        <w:t xml:space="preserve">below 5 while maxing out a coastal city is not credible. This is the</w:t>
      </w:r>
      <w:r>
        <w:t xml:space="preserve"> </w:t>
      </w:r>
      <w:r>
        <w:rPr>
          <w:b/>
          <w:bCs/>
        </w:rPr>
        <w:t xml:space="preserve">gap</w:t>
      </w:r>
      <w:r>
        <w:t xml:space="preserve">: the</w:t>
      </w:r>
      <w:r>
        <w:t xml:space="preserve"> </w:t>
      </w:r>
      <w:r>
        <w:rPr>
          <w:i/>
          <w:iCs/>
        </w:rPr>
        <w:t xml:space="preserve">initial</w:t>
      </w:r>
      <w:r>
        <w:t xml:space="preserve"> </w:t>
      </w:r>
      <w:r>
        <w:t xml:space="preserve">relevance of the</w:t>
      </w:r>
      <w:r>
        <w:t xml:space="preserve"> </w:t>
      </w:r>
      <w:r>
        <w:t xml:space="preserve">drought layer was, in places, simply not true.</w:t>
      </w:r>
    </w:p>
    <w:bookmarkEnd w:id="12"/>
    <w:bookmarkStart w:id="13" w:name="data"/>
    <w:p>
      <w:pPr>
        <w:pStyle w:val="Heading2"/>
      </w:pPr>
      <w:r>
        <w:t xml:space="preserve">3.2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CHIRPS v3</w:t>
      </w:r>
      <w:r>
        <w:t xml:space="preserve"> </w:t>
      </w:r>
      <w:r>
        <w:t xml:space="preserve">monthly precipitation, 0.05 deg, 1991-2024, the same product validated for Tanzanian</w:t>
      </w:r>
      <w:r>
        <w:t xml:space="preserve"> </w:t>
      </w:r>
      <w:r>
        <w:t xml:space="preserve">rainfall classification [2]. Zonal-mean rainfall is extracted per administrative unit.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CHIRPS v3 daily</w:t>
      </w:r>
      <w:r>
        <w:t xml:space="preserve"> </w:t>
      </w:r>
      <w:r>
        <w:t xml:space="preserve">(2015-2024) for the companion heavy-rain/flood layer (Section 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ERA5</w:t>
      </w:r>
      <w:r>
        <w:t xml:space="preserve"> </w:t>
      </w:r>
      <w:r>
        <w:t xml:space="preserve">2 m temperature, used to estimate potential evapotranspiration (PET) for SPEI [3].</w:t>
      </w:r>
    </w:p>
    <w:bookmarkEnd w:id="13"/>
    <w:bookmarkStart w:id="14" w:name="X96e2991ef78c8e5d390aee98445bac51bca1f28"/>
    <w:p>
      <w:pPr>
        <w:pStyle w:val="Heading2"/>
      </w:pPr>
      <w:r>
        <w:t xml:space="preserve">3.3 The four-component index and its criteria</w:t>
      </w:r>
    </w:p>
    <w:p>
      <w:pPr>
        <w:pStyle w:val="FirstParagraph"/>
      </w:pPr>
      <w:r>
        <w:t xml:space="preserve">Drought relevant to communities is more than a single statistic; following the drought-index literature</w:t>
      </w:r>
      <w:r>
        <w:t xml:space="preserve"> </w:t>
      </w:r>
      <w:r>
        <w:t xml:space="preserve">[4,5] we combine four physically distinct, individually justified components, each min-max scaled to 0-1: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What it captures</w:t>
            </w:r>
          </w:p>
        </w:tc>
        <w:tc>
          <w:tcPr/>
          <w:p>
            <w:pPr>
              <w:pStyle w:val="Compact"/>
            </w:pPr>
            <w:r>
              <w:t xml:space="preserve">Computation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Aridity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inherent dryness of the climate</w:t>
            </w:r>
          </w:p>
        </w:tc>
        <w:tc>
          <w:tcPr/>
          <w:p>
            <w:pPr>
              <w:pStyle w:val="Compact"/>
            </w:pPr>
            <w:r>
              <w:t xml:space="preserve">min-max of</w:t>
            </w:r>
            <w:r>
              <w:t xml:space="preserve"> </w:t>
            </w:r>
            <w:r>
              <w:rPr>
                <w:b/>
                <w:bCs/>
              </w:rPr>
              <w:t xml:space="preserve">(-mean annual rainfall)</w:t>
            </w:r>
          </w:p>
        </w:tc>
        <w:tc>
          <w:tcPr/>
          <w:p>
            <w:pPr>
              <w:pStyle w:val="Compact"/>
            </w:pPr>
            <w:r>
              <w:t xml:space="preserve">UNEP aridity gradient; semi-arid = ~0.2-0.5 P/PET [6,7]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Interannual variability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year-to-year rainfall instability</w:t>
            </w:r>
          </w:p>
        </w:tc>
        <w:tc>
          <w:tcPr/>
          <w:p>
            <w:pPr>
              <w:pStyle w:val="Compact"/>
            </w:pPr>
            <w:r>
              <w:t xml:space="preserve">min-max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variation</w:t>
            </w:r>
            <w:r>
              <w:t xml:space="preserve"> </w:t>
            </w:r>
            <w:r>
              <w:t xml:space="preserve">of annual rainfall</w:t>
            </w:r>
          </w:p>
        </w:tc>
        <w:tc>
          <w:tcPr/>
          <w:p>
            <w:pPr>
              <w:pStyle w:val="Compact"/>
            </w:pPr>
            <w:r>
              <w:t xml:space="preserve">East-African rainfall is among the world’s most variable [8,9]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SPEI drought depth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severity of water-balance deficits</w:t>
            </w:r>
          </w:p>
        </w:tc>
        <w:tc>
          <w:tcPr/>
          <w:p>
            <w:pPr>
              <w:pStyle w:val="Compact"/>
            </w:pPr>
            <w:r>
              <w:t xml:space="preserve">mean magnitude of</w:t>
            </w:r>
            <w:r>
              <w:t xml:space="preserve"> </w:t>
            </w:r>
            <w:r>
              <w:rPr>
                <w:b/>
                <w:bCs/>
              </w:rPr>
              <w:t xml:space="preserve">SPEI-12 &lt; -1</w:t>
            </w:r>
            <w:r>
              <w:t xml:space="preserve">, PET via Thornthwaite [10] from ERA5</w:t>
            </w:r>
          </w:p>
        </w:tc>
        <w:tc>
          <w:tcPr/>
          <w:p>
            <w:pPr>
              <w:pStyle w:val="Compact"/>
            </w:pPr>
            <w:r>
              <w:t xml:space="preserve">SPEI = standardised precipitation-evapotranspiration index [3,11]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Growing-season failure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crop-failure / food-security driver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  <w:r>
              <w:rPr>
                <w:i/>
                <w:iCs/>
              </w:rPr>
              <w:t xml:space="preserve">CV + 0.5</w:t>
            </w:r>
            <w:r>
              <w:t xml:space="preserve">frequency of the main 4-month season below 80% of normal</w:t>
            </w:r>
          </w:p>
        </w:tc>
        <w:tc>
          <w:tcPr/>
          <w:p>
            <w:pPr>
              <w:pStyle w:val="Compact"/>
            </w:pPr>
            <w:r>
              <w:t xml:space="preserve">season failure -&gt; IPC food crises (highest weight)</w:t>
            </w:r>
          </w:p>
        </w:tc>
      </w:tr>
    </w:tbl>
    <w:p>
      <w:pPr>
        <w:pStyle w:val="BodyText"/>
      </w:pPr>
      <w:r>
        <w:t xml:space="preserve">The blended score</w:t>
      </w:r>
      <w:r>
        <w:t xml:space="preserve"> </w:t>
      </w:r>
      <w:r>
        <w:rPr>
          <w:rStyle w:val="VerbatimChar"/>
        </w:rPr>
        <w:t xml:space="preserve">0.30*aridity + 0.20*variability + 0.15*SPEI-depth + 0.35*season-failure</w:t>
      </w:r>
      <w:r>
        <w:t xml:space="preserve"> </w:t>
      </w:r>
      <w:r>
        <w:t xml:space="preserve">is then</w:t>
      </w:r>
      <w:r>
        <w:t xml:space="preserve"> </w:t>
      </w:r>
      <w:r>
        <w:rPr>
          <w:b/>
          <w:bCs/>
        </w:rPr>
        <w:t xml:space="preserve">min-max standardised to 0-10</w:t>
      </w:r>
      <w:r>
        <w:t xml:space="preserve"> </w:t>
      </w:r>
      <w:r>
        <w:t xml:space="preserve">- exactly the INFORM normalisation - and applied</w:t>
      </w:r>
      <w:r>
        <w:t xml:space="preserve"> </w:t>
      </w:r>
      <w:r>
        <w:rPr>
          <w:b/>
          <w:bCs/>
        </w:rPr>
        <w:t xml:space="preserve">raise-only</w:t>
      </w:r>
      <w:r>
        <w:t xml:space="preserve"> </w:t>
      </w:r>
      <w:r>
        <w:t xml:space="preserve">(the</w:t>
      </w:r>
      <w:r>
        <w:t xml:space="preserve"> </w:t>
      </w:r>
      <w:r>
        <w:t xml:space="preserve">advanced value replaces the initial only where it is higher, so no documented drought area is downgraded).</w:t>
      </w:r>
    </w:p>
    <w:p>
      <w:pPr>
        <w:pStyle w:val="BodyText"/>
      </w:pPr>
      <w:r>
        <w:rPr>
          <w:b/>
          <w:bCs/>
        </w:rPr>
        <w:t xml:space="preserve">Weighting rationale.</w:t>
      </w:r>
      <w:r>
        <w:t xml:space="preserve"> </w:t>
      </w:r>
      <w:r>
        <w:t xml:space="preserve">Aridity is the baseline (a dry climate is intrinsically drought-exposed);</w:t>
      </w:r>
      <w:r>
        <w:t xml:space="preserve"> </w:t>
      </w:r>
      <w:r>
        <w:t xml:space="preserve">variability and SPEI add the</w:t>
      </w:r>
      <w:r>
        <w:t xml:space="preserve"> </w:t>
      </w:r>
      <w:r>
        <w:rPr>
          <w:i/>
          <w:iCs/>
        </w:rPr>
        <w:t xml:space="preserve">dynamic</w:t>
      </w:r>
      <w:r>
        <w:t xml:space="preserve"> </w:t>
      </w:r>
      <w:r>
        <w:t xml:space="preserve">deficit;</w:t>
      </w:r>
      <w:r>
        <w:t xml:space="preserve"> </w:t>
      </w:r>
      <w:r>
        <w:rPr>
          <w:b/>
          <w:bCs/>
        </w:rPr>
        <w:t xml:space="preserve">growing-season failure carries the largest weight (0.35)</w:t>
      </w:r>
      <w:r>
        <w:t xml:space="preserve"> </w:t>
      </w:r>
      <w:r>
        <w:t xml:space="preserve">because, for an operational risk index feeding humanitarian planning, the decision-relevant outcome is</w:t>
      </w:r>
      <w:r>
        <w:t xml:space="preserve"> </w:t>
      </w:r>
      <w:r>
        <w:t xml:space="preserve">failure of the main cropping season, which is what triggers IPC/MUCHALI food-insecurity phases. The weights</w:t>
      </w:r>
      <w:r>
        <w:t xml:space="preserve"> </w:t>
      </w:r>
      <w:r>
        <w:t xml:space="preserve">are an explicit modelling choice; a sensitivity analysis is listed as future work.</w:t>
      </w:r>
    </w:p>
    <w:p>
      <w:pPr>
        <w:pStyle w:val="BodyText"/>
      </w:pPr>
      <w:r>
        <w:rPr>
          <w:b/>
          <w:bCs/>
        </w:rPr>
        <w:t xml:space="preserve">Why SPI/SPEI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frequency</w:t>
      </w:r>
      <w:r>
        <w:rPr>
          <w:b/>
          <w:bCs/>
        </w:rPr>
        <w:t xml:space="preserve"> </w:t>
      </w:r>
      <w:r>
        <w:rPr>
          <w:b/>
          <w:bCs/>
        </w:rPr>
        <w:t xml:space="preserve">is not used to rank.</w:t>
      </w:r>
      <w:r>
        <w:t xml:space="preserve"> </w:t>
      </w:r>
      <w:r>
        <w:t xml:space="preserve">Drought</w:t>
      </w:r>
      <w:r>
        <w:t xml:space="preserve"> </w:t>
      </w:r>
      <w:r>
        <w:rPr>
          <w:i/>
          <w:iCs/>
        </w:rPr>
        <w:t xml:space="preserve">frequency</w:t>
      </w:r>
      <w:r>
        <w:t xml:space="preserve"> </w:t>
      </w:r>
      <w:r>
        <w:t xml:space="preserve">(the share of months below a</w:t>
      </w:r>
      <w:r>
        <w:t xml:space="preserve"> </w:t>
      </w:r>
      <w:r>
        <w:t xml:space="preserve">threshold) is approximately stationary by construction across a fixed record and therefore discriminates</w:t>
      </w:r>
      <w:r>
        <w:t xml:space="preserve"> </w:t>
      </w:r>
      <w:r>
        <w:t xml:space="preserve">poorly between districts; we use SPEI</w:t>
      </w:r>
      <w:r>
        <w:t xml:space="preserve"> </w:t>
      </w:r>
      <w:r>
        <w:rPr>
          <w:b/>
          <w:bCs/>
        </w:rPr>
        <w:t xml:space="preserve">depth</w:t>
      </w:r>
      <w:r>
        <w:t xml:space="preserve"> </w:t>
      </w:r>
      <w:r>
        <w:t xml:space="preserve">(how deep deficits go) rather than frequency, and rank on</w:t>
      </w:r>
      <w:r>
        <w:t xml:space="preserve"> </w:t>
      </w:r>
      <w:r>
        <w:t xml:space="preserve">aridity + variability + season-failure, which are the spatially-informative signals.</w:t>
      </w:r>
    </w:p>
    <w:bookmarkEnd w:id="14"/>
    <w:bookmarkEnd w:id="15"/>
    <w:bookmarkStart w:id="16" w:name="X82f0955e8d155c03d75b74b27c5e5564373f4a3"/>
    <w:p>
      <w:pPr>
        <w:pStyle w:val="Heading1"/>
      </w:pPr>
      <w:r>
        <w:t xml:space="preserve">4. Standardisation and integration (unchanged engine)</w:t>
      </w:r>
    </w:p>
    <w:p>
      <w:pPr>
        <w:pStyle w:val="FirstParagraph"/>
      </w:pPr>
      <w:r>
        <w:t xml:space="preserve">The four raw components are combined and the result is min-max scaled to 0-10 using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formula the</w:t>
      </w:r>
      <w:r>
        <w:t xml:space="preserve"> </w:t>
      </w:r>
      <w:r>
        <w:t xml:space="preserve">workbook applies to every indicator (</w:t>
      </w:r>
      <w:r>
        <w:rPr>
          <w:rStyle w:val="VerbatimChar"/>
        </w:rPr>
        <w:t xml:space="preserve">10*(x-Min)/(Max-Min)</w:t>
      </w:r>
      <w:r>
        <w:t xml:space="preserve">, clamped, rounded to 0.1). The drought score</w:t>
      </w:r>
      <w:r>
        <w:t xml:space="preserve"> </w:t>
      </w:r>
      <w:r>
        <w:t xml:space="preserve">then enters the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chain: it averages with the other natural-hazard components into the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category, which scaled-geometric-means with</w:t>
      </w:r>
      <w:r>
        <w:t xml:space="preserve"> </w:t>
      </w:r>
      <w:r>
        <w:rPr>
          <w:i/>
          <w:iCs/>
        </w:rPr>
        <w:t xml:space="preserve">Human</w:t>
      </w:r>
      <w:r>
        <w:t xml:space="preserve"> </w:t>
      </w:r>
      <w:r>
        <w:t xml:space="preserve">hazards into the</w:t>
      </w:r>
      <w:r>
        <w:t xml:space="preserve"> </w:t>
      </w:r>
      <w:r>
        <w:rPr>
          <w:i/>
          <w:iCs/>
        </w:rPr>
        <w:t xml:space="preserve">Hazard &amp; Exposure</w:t>
      </w:r>
      <w:r>
        <w:t xml:space="preserve"> </w:t>
      </w:r>
      <w:r>
        <w:t xml:space="preserve">dimension, which cube-roots with Vulnerability and Lack-of-Coping into Risk. No engine constant is altered.</w:t>
      </w:r>
    </w:p>
    <w:bookmarkEnd w:id="16"/>
    <w:bookmarkStart w:id="17" w:name="results---initial-vs-advanced"/>
    <w:p>
      <w:pPr>
        <w:pStyle w:val="Heading1"/>
      </w:pPr>
      <w:r>
        <w:t xml:space="preserve">5. Results - initial vs advanced</w:t>
      </w:r>
    </w:p>
    <w:p>
      <w:pPr>
        <w:pStyle w:val="FirstParagraph"/>
      </w:pPr>
      <w:r>
        <w:rPr>
          <w:b/>
          <w:bCs/>
        </w:rPr>
        <w:t xml:space="preserve">Table 2.</w:t>
      </w:r>
      <w:r>
        <w:t xml:space="preserve"> </w:t>
      </w:r>
      <w:r>
        <w:t xml:space="preserve">Initial (INFORM SADC) vs advanced (CHIRPS/ERA5) drought score, with the raw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District</w:t>
            </w:r>
          </w:p>
        </w:tc>
        <w:tc>
          <w:tcPr/>
          <w:p>
            <w:pPr>
              <w:pStyle w:val="Compact"/>
            </w:pPr>
            <w:r>
              <w:t xml:space="preserve">Rainfall (mm yr^-1)</w:t>
            </w:r>
          </w:p>
        </w:tc>
        <w:tc>
          <w:tcPr/>
          <w:p>
            <w:pPr>
              <w:pStyle w:val="Compact"/>
            </w:pPr>
            <w:r>
              <w:t xml:space="preserve">Rain CV</w:t>
            </w:r>
          </w:p>
        </w:tc>
        <w:tc>
          <w:tcPr/>
          <w:p>
            <w:pPr>
              <w:pStyle w:val="Compact"/>
            </w:pPr>
            <w:r>
              <w:t xml:space="preserve">Season-fail freq</w:t>
            </w:r>
          </w:p>
        </w:tc>
        <w:tc>
          <w:tcPr/>
          <w:p>
            <w:pPr>
              <w:pStyle w:val="Compact"/>
            </w:pPr>
            <w:r>
              <w:t xml:space="preserve">SPEI depth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Longido (pastoral)</w:t>
            </w:r>
          </w:p>
        </w:tc>
        <w:tc>
          <w:tcPr/>
          <w:p>
            <w:pPr>
              <w:pStyle w:val="Compact"/>
            </w:pPr>
            <w:r>
              <w:t xml:space="preserve">668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Monduli (pastoral)</w:t>
            </w:r>
          </w:p>
        </w:tc>
        <w:tc>
          <w:tcPr/>
          <w:p>
            <w:pPr>
              <w:pStyle w:val="Compact"/>
            </w:pPr>
            <w:r>
              <w:t xml:space="preserve">694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1.56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Singida (semi-arid)</w:t>
            </w:r>
          </w:p>
        </w:tc>
        <w:tc>
          <w:tcPr/>
          <w:p>
            <w:pPr>
              <w:pStyle w:val="Compact"/>
            </w:pPr>
            <w:r>
              <w:t xml:space="preserve">749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1.68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Manyoni (semi-arid)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1.63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Kondoa (semi-arid)</w:t>
            </w:r>
          </w:p>
        </w:tc>
        <w:tc>
          <w:tcPr/>
          <w:p>
            <w:pPr>
              <w:pStyle w:val="Compact"/>
            </w:pPr>
            <w:r>
              <w:t xml:space="preserve">771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1.64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Rufiji (sub-humid)</w:t>
            </w:r>
          </w:p>
        </w:tc>
        <w:tc>
          <w:tcPr/>
          <w:p>
            <w:pPr>
              <w:pStyle w:val="Compact"/>
            </w:pPr>
            <w:r>
              <w:t xml:space="preserve">1,088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1.50</w:t>
            </w:r>
          </w:p>
        </w:tc>
        <w:tc>
          <w:tcPr/>
          <w:p>
            <w:pPr>
              <w:pStyle w:val="Compact"/>
            </w:pPr>
            <w:r>
              <w:t xml:space="preserve">2.9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Kilombero (wet)</w:t>
            </w:r>
          </w:p>
        </w:tc>
        <w:tc>
          <w:tcPr/>
          <w:p>
            <w:pPr>
              <w:pStyle w:val="Compact"/>
            </w:pPr>
            <w:r>
              <w:t xml:space="preserve">1,598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Kyela (wettest)</w:t>
            </w:r>
          </w:p>
        </w:tc>
        <w:tc>
          <w:tcPr/>
          <w:p>
            <w:pPr>
              <w:pStyle w:val="Compact"/>
            </w:pPr>
            <w:r>
              <w:t xml:space="preserve">1,996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1.48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Ilala / Dar (coastal city)</w:t>
            </w:r>
          </w:p>
        </w:tc>
        <w:tc>
          <w:tcPr/>
          <w:p>
            <w:pPr>
              <w:pStyle w:val="Compact"/>
            </w:pPr>
            <w:r>
              <w:t xml:space="preserve">1,253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</w:tbl>
    <w:p>
      <w:pPr>
        <w:pStyle w:val="BodyText"/>
      </w:pPr>
      <w:r>
        <w:t xml:space="preserve">*Dar es Salaam retains 10 under the raise-only floor; the computed value is ~6-7. This is a flagged</w:t>
      </w:r>
      <w:r>
        <w:t xml:space="preserve"> </w:t>
      </w:r>
      <w:r>
        <w:t xml:space="preserve">artifact (the initial 10 is documented-but-wrong) queued for correction via Data Entry,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advancement</w:t>
      </w:r>
      <w:r>
        <w:t xml:space="preserve"> </w:t>
      </w:r>
      <w:r>
        <w:t xml:space="preserve">outcome.</w:t>
      </w:r>
    </w:p>
    <w:p>
      <w:pPr>
        <w:pStyle w:val="BodyText"/>
      </w:pPr>
      <w:r>
        <w:rPr>
          <w:b/>
          <w:bCs/>
        </w:rPr>
        <w:t xml:space="preserve">Pattern.</w:t>
      </w:r>
      <w:r>
        <w:t xml:space="preserve"> </w:t>
      </w:r>
      <w:r>
        <w:t xml:space="preserve">The advanced layer is</w:t>
      </w:r>
      <w:r>
        <w:t xml:space="preserve"> </w:t>
      </w:r>
      <w:r>
        <w:rPr>
          <w:b/>
          <w:bCs/>
        </w:rPr>
        <w:t xml:space="preserve">monotone in rainfall</w:t>
      </w:r>
      <w:r>
        <w:t xml:space="preserve">: the five driest councils (Longido, Monduli,</w:t>
      </w:r>
      <w:r>
        <w:t xml:space="preserve"> </w:t>
      </w:r>
      <w:r>
        <w:t xml:space="preserve">Singida, Manyoni, Kondoa, all 668-771 mm) score 7.0-9.7; the wettest (Kyela, Kilombero, 1,600-2,000 mm)</w:t>
      </w:r>
      <w:r>
        <w:t xml:space="preserve"> </w:t>
      </w:r>
      <w:r>
        <w:t xml:space="preserve">score 2.2-2.9. The initial layer was not monotone - it under-rated Singida/Manyoni/Kondoa (3.6-4.3) despite</w:t>
      </w:r>
      <w:r>
        <w:t xml:space="preserve"> </w:t>
      </w:r>
      <w:r>
        <w:t xml:space="preserve">their identical semi-arid climate to the (correctly high) pastoral districts.</w:t>
      </w:r>
    </w:p>
    <w:bookmarkEnd w:id="17"/>
    <w:bookmarkStart w:id="18" w:name="other-advancements-summary"/>
    <w:p>
      <w:pPr>
        <w:pStyle w:val="Heading1"/>
      </w:pPr>
      <w:r>
        <w:t xml:space="preserve">6. Other advancements (summary)</w:t>
      </w:r>
    </w:p>
    <w:p>
      <w:pPr>
        <w:pStyle w:val="FirstParagraph"/>
      </w:pPr>
      <w:r>
        <w:t xml:space="preserve">The same</w:t>
      </w:r>
      <w:r>
        <w:t xml:space="preserve"> </w:t>
      </w:r>
      <w:r>
        <w:rPr>
          <w:i/>
          <w:iCs/>
        </w:rPr>
        <w:t xml:space="preserve">initial -&gt; advanced (same standardisation) -&gt; raise-only</w:t>
      </w:r>
      <w:r>
        <w:t xml:space="preserve"> </w:t>
      </w:r>
      <w:r>
        <w:t xml:space="preserve">discipline was applied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Flood / heavy rainfall.</w:t>
      </w:r>
      <w:r>
        <w:t xml:space="preserve"> </w:t>
      </w:r>
      <w:r>
        <w:t xml:space="preserve">Advanced from a static INFORM value to</w:t>
      </w:r>
      <w:r>
        <w:t xml:space="preserve"> </w:t>
      </w:r>
      <w:r>
        <w:rPr>
          <w:b/>
          <w:bCs/>
        </w:rPr>
        <w:t xml:space="preserve">CHIRPS v3 daily</w:t>
      </w:r>
      <w:r>
        <w:t xml:space="preserve"> </w:t>
      </w:r>
      <w:r>
        <w:t xml:space="preserve">counts of days</w:t>
      </w:r>
      <w:r>
        <w:t xml:space="preserve"> </w:t>
      </w:r>
      <w:r>
        <w:t xml:space="preserve">&gt; 50 mm and &gt; 100 mm (2015-2024), combined with documented flood events and the INFORM</w:t>
      </w:r>
      <w:r>
        <w:t xml:space="preserve"> </w:t>
      </w:r>
      <w:r>
        <w:rPr>
          <w:b/>
          <w:bCs/>
        </w:rPr>
        <w:t xml:space="preserve">Hazard x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 </w:t>
      </w:r>
      <w:r>
        <w:t xml:space="preserve">form</w:t>
      </w:r>
      <w:r>
        <w:t xml:space="preserve"> </w:t>
      </w:r>
      <w:r>
        <w:rPr>
          <w:rStyle w:val="VerbatimChar"/>
        </w:rPr>
        <w:t xml:space="preserve">flood = max(hazard, sqrt(hazard * exposure))</w:t>
      </w:r>
      <w:r>
        <w:t xml:space="preserve"> </w:t>
      </w:r>
      <w:r>
        <w:t xml:space="preserve">so population exposure can only amplify a</w:t>
      </w:r>
      <w:r>
        <w:t xml:space="preserve"> </w:t>
      </w:r>
      <w:r>
        <w:t xml:space="preserve">flood hazard, never hide it. Heavy-precipitation thresholds follow the ETCCDI extreme-rainfall indices.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Heatwave.</w:t>
      </w:r>
      <w:r>
        <w:t xml:space="preserve"> </w:t>
      </w:r>
      <w:r>
        <w:t xml:space="preserve">Advanced from blank/baseline to an</w:t>
      </w:r>
      <w:r>
        <w:t xml:space="preserve"> </w:t>
      </w:r>
      <w:r>
        <w:rPr>
          <w:b/>
          <w:bCs/>
        </w:rPr>
        <w:t xml:space="preserve">ERA5</w:t>
      </w:r>
      <w:r>
        <w:t xml:space="preserve"> </w:t>
      </w:r>
      <w:r>
        <w:t xml:space="preserve">temperature-climatology exposure proxy</w:t>
      </w:r>
      <w:r>
        <w:t xml:space="preserve"> </w:t>
      </w:r>
      <w:r>
        <w:t xml:space="preserve">(mean + hottest-quarter), min-max capped - hot lowlands high, cool highlands 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Exposure.</w:t>
      </w:r>
      <w:r>
        <w:t xml:space="preserve"> </w:t>
      </w:r>
      <w:r>
        <w:t xml:space="preserve">Advanced to</w:t>
      </w:r>
      <w:r>
        <w:t xml:space="preserve"> </w:t>
      </w:r>
      <w:r>
        <w:rPr>
          <w:b/>
          <w:bCs/>
        </w:rPr>
        <w:t xml:space="preserve">NBS 2022 PHC</w:t>
      </w:r>
      <w:r>
        <w:t xml:space="preserve"> </w:t>
      </w:r>
      <w:r>
        <w:t xml:space="preserve">population density (population / area),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min-max</w:t>
      </w:r>
      <w:r>
        <w:t xml:space="preserve"> </w:t>
      </w:r>
      <w:r>
        <w:t xml:space="preserve">standardised - the workbook’s own</w:t>
      </w:r>
      <w:r>
        <w:t xml:space="preserve"> </w:t>
      </w:r>
      <w:r>
        <w:t xml:space="preserve">“Logarithm”</w:t>
      </w:r>
      <w:r>
        <w:t xml:space="preserve"> </w:t>
      </w:r>
      <w:r>
        <w:t xml:space="preserve">transformation for the right-skewed density distribution.</w:t>
      </w:r>
    </w:p>
    <w:p>
      <w:pPr>
        <w:pStyle w:val="FirstParagraph"/>
      </w:pPr>
      <w:r>
        <w:t xml:space="preserve">Vulnerability (poverty, stunting, HIV+malaria, displacement, food insecurity) and parts of coping (WASH,</w:t>
      </w:r>
      <w:r>
        <w:t xml:space="preserve"> </w:t>
      </w:r>
      <w:r>
        <w:t xml:space="preserve">health/education access, DRR) were similarly refreshed from NBS/TDHS/IPC/UNHCR sources. All used the</w:t>
      </w:r>
      <w:r>
        <w:t xml:space="preserve"> </w:t>
      </w:r>
      <w:r>
        <w:t xml:space="preserve">engine’s standardisation unchanged.</w:t>
      </w:r>
    </w:p>
    <w:bookmarkEnd w:id="18"/>
    <w:bookmarkStart w:id="19" w:name="Xb429d51a6455152acfd3270755ef2745a2965d8"/>
    <w:p>
      <w:pPr>
        <w:pStyle w:val="Heading1"/>
      </w:pPr>
      <w:r>
        <w:t xml:space="preserve">7. Discussion: initial vs advanced, impact, and the gap</w:t>
      </w:r>
    </w:p>
    <w:p>
      <w:pPr>
        <w:pStyle w:val="FirstParagraph"/>
      </w:pPr>
      <w:r>
        <w:rPr>
          <w:b/>
          <w:bCs/>
        </w:rPr>
        <w:t xml:space="preserve">Initial vs advanced.</w:t>
      </w:r>
      <w:r>
        <w:t xml:space="preserve"> </w:t>
      </w:r>
      <w:r>
        <w:t xml:space="preserve">The advancement does not change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drought enters risk; it changes</w:t>
      </w:r>
      <w:r>
        <w:t xml:space="preserve"> </w:t>
      </w:r>
      <w:r>
        <w:rPr>
          <w:i/>
          <w:iCs/>
        </w:rPr>
        <w:t xml:space="preserve">what value</w:t>
      </w:r>
      <w:r>
        <w:t xml:space="preserve"> </w:t>
      </w:r>
      <w:r>
        <w:t xml:space="preserve">drought has, from a coarse/incoherent layer to one grounded in 34 years of observed rainfall and the</w:t>
      </w:r>
      <w:r>
        <w:t xml:space="preserve"> </w:t>
      </w:r>
      <w:r>
        <w:t xml:space="preserve">water balance.</w:t>
      </w:r>
    </w:p>
    <w:p>
      <w:pPr>
        <w:pStyle w:val="BodyText"/>
      </w:pPr>
      <w:r>
        <w:rPr>
          <w:b/>
          <w:bCs/>
        </w:rPr>
        <w:t xml:space="preserve">Impact / outcome.</w:t>
      </w:r>
      <w:r>
        <w:t xml:space="preserve"> </w:t>
      </w:r>
      <w:r>
        <w:t xml:space="preserve">Risk rises where the evidence supports it (the central semi-arid belt and the</w:t>
      </w:r>
      <w:r>
        <w:t xml:space="preserve"> </w:t>
      </w:r>
      <w:r>
        <w:t xml:space="preserve">pastoral north), in line with IPC/MUCHALI food-insecurity classifications, and the change is auditably</w:t>
      </w:r>
      <w:r>
        <w:t xml:space="preserve"> </w:t>
      </w:r>
      <w:r>
        <w:t xml:space="preserve">raise-only. Because risk is a cube root of three dimensions, a drought rise of several points lifts the</w:t>
      </w:r>
      <w:r>
        <w:t xml:space="preserve"> </w:t>
      </w:r>
      <w:r>
        <w:t xml:space="preserve">Hazard dimension modestly and the risk score by a fraction - appropriately, since drought is one of twelve</w:t>
      </w:r>
      <w:r>
        <w:t xml:space="preserve"> </w:t>
      </w:r>
      <w:r>
        <w:t xml:space="preserve">natural hazards.</w:t>
      </w:r>
    </w:p>
    <w:p>
      <w:pPr>
        <w:pStyle w:val="BodyText"/>
      </w:pPr>
      <w:r>
        <w:rPr>
          <w:b/>
          <w:bCs/>
        </w:rPr>
        <w:t xml:space="preserve">The gap.</w:t>
      </w:r>
      <w:r>
        <w:t xml:space="preserve"> </w:t>
      </w:r>
      <w:r>
        <w:t xml:space="preserve">The advancement is justified precisely where</w:t>
      </w:r>
      <w:r>
        <w:t xml:space="preserve"> </w:t>
      </w:r>
      <w:r>
        <w:rPr>
          <w:b/>
          <w:bCs/>
        </w:rPr>
        <w:t xml:space="preserve">the initial relevance was not true</w:t>
      </w:r>
      <w:r>
        <w:t xml:space="preserve">: Kondoa</w:t>
      </w:r>
      <w:r>
        <w:t xml:space="preserve"> </w:t>
      </w:r>
      <w:r>
        <w:t xml:space="preserve">and Singida are textbook semi-arid, food-insecure districts that the initial layer scored below 5. The</w:t>
      </w:r>
      <w:r>
        <w:t xml:space="preserve"> </w:t>
      </w:r>
      <w:r>
        <w:t xml:space="preserve">advancement closes that gap with transparent, reproducible evidence. Where the initial layer was already</w:t>
      </w:r>
      <w:r>
        <w:t xml:space="preserve"> </w:t>
      </w:r>
      <w:r>
        <w:t xml:space="preserve">correct (pastoral Longido/Monduli), the advancement merely confirms and slightly raises it; where the</w:t>
      </w:r>
      <w:r>
        <w:t xml:space="preserve"> </w:t>
      </w:r>
      <w:r>
        <w:t xml:space="preserve">initial layer was wrong-high (the Dar artifact), raise-only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advance it down - that</w:t>
      </w:r>
      <w:r>
        <w:t xml:space="preserve"> </w:t>
      </w:r>
      <w:r>
        <w:t xml:space="preserve">case is handled separately as a documented correction.</w:t>
      </w:r>
    </w:p>
    <w:bookmarkEnd w:id="19"/>
    <w:bookmarkStart w:id="20" w:name="Xd414a3f644f665479d4f36b8d81f1a14f467c09"/>
    <w:p>
      <w:pPr>
        <w:pStyle w:val="Heading1"/>
      </w:pPr>
      <w:r>
        <w:t xml:space="preserve">8. Limitations and future work (engine stays as INFORM)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Engine refinements deferred:</w:t>
      </w:r>
      <w:r>
        <w:t xml:space="preserve"> </w:t>
      </w:r>
      <w:r>
        <w:t xml:space="preserve">apply the workbook’s</w:t>
      </w:r>
      <w:r>
        <w:t xml:space="preserve"> </w:t>
      </w:r>
      <w:r>
        <w:rPr>
          <w:b/>
          <w:bCs/>
        </w:rPr>
        <w:t xml:space="preserve">Tukey IQR capping</w:t>
      </w:r>
      <w:r>
        <w:t xml:space="preserve"> </w:t>
      </w:r>
      <w:r>
        <w:t xml:space="preserve">to our recomputed series, and</w:t>
      </w:r>
      <w:r>
        <w:t xml:space="preserve"> </w:t>
      </w:r>
      <w:r>
        <w:t xml:space="preserve">decide per indicator between</w:t>
      </w:r>
      <w:r>
        <w:t xml:space="preserve"> </w:t>
      </w:r>
      <w:r>
        <w:rPr>
          <w:b/>
          <w:bCs/>
        </w:rPr>
        <w:t xml:space="preserve">Tanzania data-range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INFORM custom (fixed global/SADC) references</w:t>
      </w:r>
      <w:r>
        <w:t xml:space="preserve">.</w:t>
      </w:r>
      <w:r>
        <w:t xml:space="preserve"> </w:t>
      </w:r>
      <w:r>
        <w:t xml:space="preserve">These change absolute 0-10 values and so are reserved for a future, separately-validated revision.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Drought exposure:</w:t>
      </w:r>
      <w:r>
        <w:t xml:space="preserve"> </w:t>
      </w:r>
      <w:r>
        <w:t xml:space="preserve">drought is currently a pure hazard; pairing it with</w:t>
      </w:r>
      <w:r>
        <w:t xml:space="preserve"> </w:t>
      </w:r>
      <w:r>
        <w:rPr>
          <w:b/>
          <w:bCs/>
        </w:rPr>
        <w:t xml:space="preserve">agricultural</w:t>
      </w:r>
      <w:r>
        <w:t xml:space="preserve"> </w:t>
      </w:r>
      <w:r>
        <w:t xml:space="preserve">exposure</w:t>
      </w:r>
      <w:r>
        <w:t xml:space="preserve"> </w:t>
      </w:r>
      <w:r>
        <w:t xml:space="preserve">(cropland/livestock, not urban population) is future work.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Weights:</w:t>
      </w:r>
      <w:r>
        <w:t xml:space="preserve"> </w:t>
      </w:r>
      <w:r>
        <w:t xml:space="preserve">the 0.30/0.20/0.15/0.35 blend is an explicit choice; a sensitivity analysis is planned.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Wildfire, lightning, storms</w:t>
      </w:r>
      <w:r>
        <w:t xml:space="preserve"> </w:t>
      </w:r>
      <w:r>
        <w:t xml:space="preserve">remain documented overlays pending physical computation (MODIS/VIIRS,</w:t>
      </w:r>
      <w:r>
        <w:t xml:space="preserve"> </w:t>
      </w:r>
      <w:r>
        <w:t xml:space="preserve">flash-density, cyclone tracks); the USGS catalogue was used only to</w:t>
      </w:r>
      <w:r>
        <w:t xml:space="preserve"> </w:t>
      </w:r>
      <w:r>
        <w:rPr>
          <w:b/>
          <w:bCs/>
        </w:rPr>
        <w:t xml:space="preserve">cross-check</w:t>
      </w:r>
      <w:r>
        <w:t xml:space="preserve"> </w:t>
      </w:r>
      <w:r>
        <w:t xml:space="preserve">(not replace) the</w:t>
      </w:r>
      <w:r>
        <w:t xml:space="preserve"> </w:t>
      </w:r>
      <w:r>
        <w:t xml:space="preserve">earthquake overlay.</w:t>
      </w:r>
    </w:p>
    <w:bookmarkEnd w:id="20"/>
    <w:bookmarkStart w:id="2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INFORM (2024).</w:t>
      </w:r>
      <w:r>
        <w:t xml:space="preserve"> </w:t>
      </w:r>
      <w:r>
        <w:rPr>
          <w:i/>
          <w:iCs/>
        </w:rPr>
        <w:t xml:space="preserve">INFORM Subnational Risk Index - SADC</w:t>
      </w:r>
      <w:r>
        <w:t xml:space="preserve">. Disaster Risk Management Knowledge Centre / Joint Research Centre, European Commission.</w:t>
      </w:r>
      <w:r>
        <w:t xml:space="preserve"> </w:t>
      </w:r>
      <w:r>
        <w:t xml:space="preserve">[2] Funk, C. et al. (2015). The climate hazards infrared precipitation with stations - a new environmental record for monitoring extremes.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2, 150066.</w:t>
      </w:r>
      <w:r>
        <w:t xml:space="preserve"> </w:t>
      </w:r>
      <w:r>
        <w:t xml:space="preserve">[3] Hersbach, H. et al. (2020). The ERA5 global reanalysis.</w:t>
      </w:r>
      <w:r>
        <w:t xml:space="preserve"> </w:t>
      </w:r>
      <w:r>
        <w:rPr>
          <w:i/>
          <w:iCs/>
        </w:rPr>
        <w:t xml:space="preserve">Quarterly Journal of the Royal Meteorological Society</w:t>
      </w:r>
      <w:r>
        <w:t xml:space="preserve"> </w:t>
      </w:r>
      <w:r>
        <w:t xml:space="preserve">146, 1999-2049.</w:t>
      </w:r>
      <w:r>
        <w:t xml:space="preserve"> </w:t>
      </w:r>
      <w:r>
        <w:t xml:space="preserve">[4] Zargar, A. et al. (2011). A review of drought indices.</w:t>
      </w:r>
      <w:r>
        <w:t xml:space="preserve"> </w:t>
      </w:r>
      <w:r>
        <w:rPr>
          <w:i/>
          <w:iCs/>
        </w:rPr>
        <w:t xml:space="preserve">Environmental Reviews</w:t>
      </w:r>
      <w:r>
        <w:t xml:space="preserve"> </w:t>
      </w:r>
      <w:r>
        <w:t xml:space="preserve">19, 333-349.</w:t>
      </w:r>
      <w:r>
        <w:t xml:space="preserve"> </w:t>
      </w:r>
      <w:r>
        <w:t xml:space="preserve">[5] WMO (2012).</w:t>
      </w:r>
      <w:r>
        <w:t xml:space="preserve"> </w:t>
      </w:r>
      <w:r>
        <w:rPr>
          <w:i/>
          <w:iCs/>
        </w:rPr>
        <w:t xml:space="preserve">Standardized Precipitation Index User Guide</w:t>
      </w:r>
      <w:r>
        <w:t xml:space="preserve"> </w:t>
      </w:r>
      <w:r>
        <w:t xml:space="preserve">(WMO-No. 1090).</w:t>
      </w:r>
      <w:r>
        <w:t xml:space="preserve"> </w:t>
      </w:r>
      <w:r>
        <w:t xml:space="preserve">[6] UNEP (1992).</w:t>
      </w:r>
      <w:r>
        <w:t xml:space="preserve"> </w:t>
      </w:r>
      <w:r>
        <w:rPr>
          <w:i/>
          <w:iCs/>
        </w:rPr>
        <w:t xml:space="preserve">World Atlas of Desertification</w:t>
      </w:r>
      <w:r>
        <w:t xml:space="preserve">. United Nations Environment Programme.</w:t>
      </w:r>
      <w:r>
        <w:t xml:space="preserve"> </w:t>
      </w:r>
      <w:r>
        <w:t xml:space="preserve">[7] Middleton, N. &amp; Thomas, D. (1997).</w:t>
      </w:r>
      <w:r>
        <w:t xml:space="preserve"> </w:t>
      </w:r>
      <w:r>
        <w:rPr>
          <w:i/>
          <w:iCs/>
        </w:rPr>
        <w:t xml:space="preserve">World Atlas of Desertification</w:t>
      </w:r>
      <w:r>
        <w:t xml:space="preserve">, 2nd ed. UNEP.</w:t>
      </w:r>
      <w:r>
        <w:t xml:space="preserve"> </w:t>
      </w:r>
      <w:r>
        <w:t xml:space="preserve">[8] Nicholson, S. E. (2017). Climate and climatic variability of rainfall over eastern Africa.</w:t>
      </w:r>
      <w:r>
        <w:t xml:space="preserve"> </w:t>
      </w:r>
      <w:r>
        <w:rPr>
          <w:i/>
          <w:iCs/>
        </w:rPr>
        <w:t xml:space="preserve">Reviews of Geophysics</w:t>
      </w:r>
      <w:r>
        <w:t xml:space="preserve"> </w:t>
      </w:r>
      <w:r>
        <w:t xml:space="preserve">55, 590-635.</w:t>
      </w:r>
      <w:r>
        <w:t xml:space="preserve"> </w:t>
      </w:r>
      <w:r>
        <w:t xml:space="preserve">[9] Lyon, B. &amp; DeWitt, D. G. (2012). A recent and abrupt decline in the East African long rains.</w:t>
      </w:r>
      <w:r>
        <w:t xml:space="preserve"> </w:t>
      </w:r>
      <w:r>
        <w:rPr>
          <w:i/>
          <w:iCs/>
        </w:rPr>
        <w:t xml:space="preserve">Geophysical Research Letters</w:t>
      </w:r>
      <w:r>
        <w:t xml:space="preserve"> </w:t>
      </w:r>
      <w:r>
        <w:t xml:space="preserve">39, L02702.</w:t>
      </w:r>
      <w:r>
        <w:t xml:space="preserve"> </w:t>
      </w:r>
      <w:r>
        <w:t xml:space="preserve">[10] Thornthwaite, C. W. (1948). An approach toward a rational classification of climate.</w:t>
      </w:r>
      <w:r>
        <w:t xml:space="preserve"> </w:t>
      </w:r>
      <w:r>
        <w:rPr>
          <w:i/>
          <w:iCs/>
        </w:rPr>
        <w:t xml:space="preserve">Geographical Review</w:t>
      </w:r>
      <w:r>
        <w:t xml:space="preserve"> </w:t>
      </w:r>
      <w:r>
        <w:t xml:space="preserve">38, 55-94.</w:t>
      </w:r>
      <w:r>
        <w:t xml:space="preserve"> </w:t>
      </w:r>
      <w:r>
        <w:t xml:space="preserve">[11] Vicente-Serrano, S. M., Begueria, S. &amp; Lopez-Moreno, J. I. (2010). A multiscalar drought index sensitive to global warming: the SPEI.</w:t>
      </w:r>
      <w:r>
        <w:t xml:space="preserve"> </w:t>
      </w:r>
      <w:r>
        <w:rPr>
          <w:i/>
          <w:iCs/>
        </w:rPr>
        <w:t xml:space="preserve">Journal of Climate</w:t>
      </w:r>
      <w:r>
        <w:t xml:space="preserve"> </w:t>
      </w:r>
      <w:r>
        <w:t xml:space="preserve">23, 1696-1718.</w:t>
      </w:r>
      <w:r>
        <w:t xml:space="preserve"> </w:t>
      </w:r>
      <w:r>
        <w:t xml:space="preserve">[12] McKee, T. B., Doesken, N. J. &amp; Kleist, J. (1993). The relationship of drought frequency and duration to time scales.</w:t>
      </w:r>
      <w:r>
        <w:t xml:space="preserve"> </w:t>
      </w:r>
      <w:r>
        <w:rPr>
          <w:i/>
          <w:iCs/>
        </w:rPr>
        <w:t xml:space="preserve">Proc. 8th Conf. on Applied Climatology</w:t>
      </w:r>
      <w:r>
        <w:t xml:space="preserve">, 179-184.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Advancing the INFORM Hazard Evidence for Tanzania while Preserving the INFORM Engine: a CHIRPS/ERA5/NBS multi-criteria drought case study</dc:title>
  <dc:creator>INFORM Tanzania (inform.co.tz)</dc:creator>
  <cp:keywords/>
  <dcterms:created xsi:type="dcterms:W3CDTF">2026-06-03T08:28:42Z</dcterms:created>
  <dcterms:modified xsi:type="dcterms:W3CDTF">2026-06-03T08:28:42Z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2026-06-03</vt:lpwstr>
  </property>
</Properties>
</file>