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Advancing the INFORM Hazard Evidence for Tanzania while Preserving the INFORM Engine: a CHIRPS/ERA5/NBS multi-criteria drought case study</w:t>
      </w:r>
    </w:p>
    <w:p>
      <w:pPr>
        <w:pStyle w:val="Author"/>
      </w:pPr>
      <w:r>
        <w:t xml:space="preserve">INFORM Tanzania (inform.co.tz)</w:t>
      </w:r>
    </w:p>
    <w:p>
      <w:pPr>
        <w:pStyle w:val="Date"/>
      </w:pPr>
      <w:r>
        <w:t xml:space="preserve">2026-06-03, corrected 2026-10-09</w:t>
      </w:r>
    </w:p>
    <w:p>
      <w:pPr>
        <w:pStyle w:val="BlockText"/>
      </w:pPr>
      <w:r>
        <w:rPr>
          <w:b/>
          <w:bCs/>
        </w:rPr>
        <w:t xml:space="preserve">Status, corrected 9 October 2026.</w:t>
      </w:r>
      <w:r>
        <w:t xml:space="preserve"> </w:t>
      </w:r>
      <w:r>
        <w:t xml:space="preserve">This paper (June 2026) proposed advancing the hazard evidence</w:t>
      </w:r>
      <w:r>
        <w:t xml:space="preserve"> </w:t>
      </w:r>
      <w:r>
        <w:t xml:space="preserve">under a</w:t>
      </w:r>
      <w:r>
        <w:t xml:space="preserve"> </w:t>
      </w:r>
      <w:r>
        <w:t xml:space="preserve">“raise-only”</w:t>
      </w:r>
      <w:r>
        <w:t xml:space="preserve"> </w:t>
      </w:r>
      <w:r>
        <w:t xml:space="preserve">rule and quoted national figures from the working dataset. The integrity</w:t>
      </w:r>
      <w:r>
        <w:t xml:space="preserve"> </w:t>
      </w:r>
      <w:r>
        <w:t xml:space="preserve">assessment of October 2026 (</w:t>
      </w:r>
      <w:r>
        <w:rPr>
          <w:rStyle w:val="VerbatimChar"/>
        </w:rPr>
        <w:t xml:space="preserve">docs/assessment/INFORM_TZ_Integrity_Assessment_2026-10.md</w:t>
      </w:r>
      <w:r>
        <w:t xml:space="preserve">) superseded</w:t>
      </w:r>
      <w:r>
        <w:t xml:space="preserve"> </w:t>
      </w:r>
      <w:r>
        <w:t xml:space="preserve">both, and the corrections are recorded here so that no copy of this paper circulates without them: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national figures in Section 2</w:t>
      </w:r>
      <w:r>
        <w:t xml:space="preserve"> </w:t>
      </w:r>
      <w:r>
        <w:t xml:space="preserve">(Hazard 2.2, Vulnerability 5.5, Lack-of-Coping 5.9, Risk 4.1)</w:t>
      </w:r>
      <w:r>
        <w:t xml:space="preserve"> </w:t>
      </w:r>
      <w:r>
        <w:t xml:space="preserve">were the</w:t>
      </w:r>
      <w:r>
        <w:t xml:space="preserve"> </w:t>
      </w:r>
      <w:r>
        <w:rPr>
          <w:b/>
          <w:bCs/>
        </w:rPr>
        <w:t xml:space="preserve">Kondoa district row</w:t>
      </w:r>
      <w:r>
        <w:t xml:space="preserve"> </w:t>
      </w:r>
      <w:r>
        <w:t xml:space="preserve">of the workbook, not a national value. The INFORM aggregate of the</w:t>
      </w:r>
      <w:r>
        <w:t xml:space="preserve"> </w:t>
      </w:r>
      <w:r>
        <w:t xml:space="preserve">195 councils on the workbook data is</w:t>
      </w:r>
      <w:r>
        <w:t xml:space="preserve"> </w:t>
      </w:r>
      <w:r>
        <w:rPr>
          <w:b/>
          <w:bCs/>
        </w:rPr>
        <w:t xml:space="preserve">3.8</w:t>
      </w:r>
      <w:r>
        <w:t xml:space="preserve"> </w:t>
      </w:r>
      <w:r>
        <w:t xml:space="preserve">(Hazard &amp; Exposure 2.4, Vulnerability 3.8, Lack of</w:t>
      </w:r>
      <w:r>
        <w:t xml:space="preserve"> </w:t>
      </w:r>
      <w:r>
        <w:t xml:space="preserve">Coping Capacity 6.2), and INFORM publishes no official national figure for a subnational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Raise-only is withdrawn.</w:t>
      </w:r>
      <w:r>
        <w:t xml:space="preserve"> </w:t>
      </w:r>
      <w:r>
        <w:t xml:space="preserve">The Core carries the workbook values exactly (built by</w:t>
      </w:r>
      <w:r>
        <w:t xml:space="preserve"> </w:t>
      </w:r>
      <w:r>
        <w:rPr>
          <w:rStyle w:val="VerbatimChar"/>
        </w:rPr>
        <w:t xml:space="preserve">scripts/build-core.mjs</w:t>
      </w:r>
      <w:r>
        <w:t xml:space="preserve">, reproduced at 8,664/8,664 standardised values and 170/170 risks). Earth</w:t>
      </w:r>
      <w:r>
        <w:t xml:space="preserve"> </w:t>
      </w:r>
      <w:r>
        <w:t xml:space="preserve">observation evidence enters a separate</w:t>
      </w:r>
      <w:r>
        <w:t xml:space="preserve"> </w:t>
      </w:r>
      <w:r>
        <w:rPr>
          <w:b/>
          <w:bCs/>
        </w:rPr>
        <w:t xml:space="preserve">Advancement layer</w:t>
      </w:r>
      <w:r>
        <w:t xml:space="preserve"> </w:t>
      </w:r>
      <w:r>
        <w:t xml:space="preserve">as weighted sub-indicators beside the</w:t>
      </w:r>
      <w:r>
        <w:t xml:space="preserve"> </w:t>
      </w:r>
      <w:r>
        <w:t xml:space="preserve">workbook member of each indicator group, over the members with data, and is shown beside the Core on</w:t>
      </w:r>
      <w:r>
        <w:t xml:space="preserve"> </w:t>
      </w:r>
      <w:r>
        <w:t xml:space="preserve">every profile, never in its place. Nothing floors, raises or lowers a Core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blended drought composite of Section 3 is withdrawn.</w:t>
      </w:r>
      <w:r>
        <w:t xml:space="preserve"> </w:t>
      </w:r>
      <w:r>
        <w:t xml:space="preserve">It scored wet highland councils</w:t>
      </w:r>
      <w:r>
        <w:t xml:space="preserve"> </w:t>
      </w:r>
      <w:r>
        <w:t xml:space="preserve">(Lushoto) 10 by selecting the erratic short rains as the main season. Aridity, SPEI depth, rainfall</w:t>
      </w:r>
      <w:r>
        <w:t xml:space="preserve"> </w:t>
      </w:r>
      <w:r>
        <w:t xml:space="preserve">variability, NDVI and soil moisture now enter the Advancement layer as separate members with their</w:t>
      </w:r>
      <w:r>
        <w:t xml:space="preserve"> </w:t>
      </w:r>
      <w:r>
        <w:t xml:space="preserve">sources; the growing-season member is withheld until both rainy seasons are scored (issue MET-01).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flood = max(H, sqrt(H x E)) rule of Section 6 is removed</w:t>
      </w:r>
      <w:r>
        <w:t xml:space="preserve"> </w:t>
      </w:r>
      <w:r>
        <w:t xml:space="preserve">from the model. Heavy-rainfall</w:t>
      </w:r>
      <w:r>
        <w:t xml:space="preserve"> </w:t>
      </w:r>
      <w:r>
        <w:t xml:space="preserve">frequency enters the Advancement layer; exposure is shown as the 2022 census population, not</w:t>
      </w:r>
      <w:r>
        <w:t xml:space="preserve"> </w:t>
      </w:r>
      <w:r>
        <w:t xml:space="preserve">multiplied into any hazard.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Earthquake</w:t>
      </w:r>
      <w:r>
        <w:t xml:space="preserve"> </w:t>
      </w:r>
      <w:r>
        <w:t xml:space="preserve">in the Core is the workbook’s GEM exposure index; the USGS catalogue (events within</w:t>
      </w:r>
      <w:r>
        <w:t xml:space="preserve"> </w:t>
      </w:r>
      <w:r>
        <w:t xml:space="preserve">50 km) is an Advancement member, not a Core source.</w:t>
      </w:r>
    </w:p>
    <w:p>
      <w:pPr>
        <w:pStyle w:val="BlockText"/>
      </w:pPr>
      <w:r>
        <w:t xml:space="preserve">The Tier 1 engine-fidelity items of Section 8 are closed by the Core rebuild. The body below is kept</w:t>
      </w:r>
      <w:r>
        <w:t xml:space="preserve"> </w:t>
      </w:r>
      <w:r>
        <w:t xml:space="preserve">as the record of the June 2026 proposal; where it states a method no longer used, the status is marked</w:t>
      </w:r>
      <w:r>
        <w:t xml:space="preserve"> </w:t>
      </w:r>
      <w:r>
        <w:t xml:space="preserve">in brackets.</w:t>
      </w:r>
    </w:p>
    <w:p>
      <w:pPr>
        <w:pStyle w:val="BlockText"/>
      </w:pPr>
      <w:r>
        <w:rPr>
          <w:b/>
          <w:bCs/>
        </w:rPr>
        <w:t xml:space="preserve">Original status note (June 2026) - proposal for INFORM Calc Engine v2.</w:t>
      </w:r>
      <w:r>
        <w:t xml:space="preserve"> </w:t>
      </w:r>
      <w:r>
        <w:t xml:space="preserve">The operational model (</w:t>
      </w:r>
      <w:r>
        <w:rPr>
          <w:b/>
          <w:bCs/>
        </w:rPr>
        <w:t xml:space="preserve">v1</w:t>
      </w:r>
      <w:r>
        <w:t xml:space="preserve">) keeps the INFORM</w:t>
      </w:r>
      <w:r>
        <w:t xml:space="preserve"> </w:t>
      </w:r>
      <w:r>
        <w:t xml:space="preserve">aggregation engine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as the official Excel workbook - verified formula-by-formula, written in</w:t>
      </w:r>
      <w:r>
        <w:t xml:space="preserve"> </w:t>
      </w:r>
      <w:r>
        <w:t xml:space="preserve">the code in the workbook’s own literal form (product</w:t>
      </w:r>
      <w:r>
        <w:t xml:space="preserve"> </w:t>
      </w:r>
      <w:r>
        <w:rPr>
          <w:rStyle w:val="VerbatimChar"/>
        </w:rPr>
        <w:t xml:space="preserve">GEOMEAN</w:t>
      </w:r>
      <w:r>
        <w:t xml:space="preserve">, product of cube roots,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,</w:t>
      </w:r>
      <w:r>
        <w:t xml:space="preserve"> </w:t>
      </w:r>
      <w:r>
        <w:t xml:space="preserve">min-max). The advancements documented in this paper are a</w:t>
      </w:r>
      <w:r>
        <w:t xml:space="preserve"> </w:t>
      </w:r>
      <w:r>
        <w:rPr>
          <w:b/>
          <w:bCs/>
        </w:rPr>
        <w:t xml:space="preserve">proposal</w:t>
      </w:r>
      <w:r>
        <w:t xml:space="preserve">; once validated (</w:t>
      </w:r>
      <w:r>
        <w:t xml:space="preserve">“when it</w:t>
      </w:r>
      <w:r>
        <w:t xml:space="preserve"> </w:t>
      </w:r>
      <w:r>
        <w:t xml:space="preserve">passes”</w:t>
      </w:r>
      <w:r>
        <w:t xml:space="preserve">) they are implemented as</w:t>
      </w:r>
      <w:r>
        <w:t xml:space="preserve"> </w:t>
      </w:r>
      <w:r>
        <w:rPr>
          <w:b/>
          <w:bCs/>
        </w:rPr>
        <w:t xml:space="preserve">INFORM Calc Engine v2</w:t>
      </w:r>
      <w:r>
        <w:t xml:space="preserve">. In short:</w:t>
      </w:r>
      <w:r>
        <w:t xml:space="preserve"> </w:t>
      </w:r>
      <w:r>
        <w:rPr>
          <w:b/>
          <w:bCs/>
        </w:rPr>
        <w:t xml:space="preserve">v1 = exact INFORM now; v2 =</w:t>
      </w:r>
      <w:r>
        <w:rPr>
          <w:b/>
          <w:bCs/>
        </w:rPr>
        <w:t xml:space="preserve"> </w:t>
      </w:r>
      <w:r>
        <w:rPr>
          <w:b/>
          <w:bCs/>
        </w:rPr>
        <w:t xml:space="preserve">these advancements next</w:t>
      </w:r>
      <w:r>
        <w:t xml:space="preserve">. This is one of three documents - (1) the operational</w:t>
      </w:r>
      <w:r>
        <w:t xml:space="preserve"> </w:t>
      </w:r>
      <w:r>
        <w:rPr>
          <w:b/>
          <w:bCs/>
        </w:rPr>
        <w:t xml:space="preserve">Manual</w:t>
      </w:r>
      <w:r>
        <w:t xml:space="preserve">, (2) the</w:t>
      </w:r>
      <w:r>
        <w:t xml:space="preserve"> </w:t>
      </w:r>
      <w:r>
        <w:rPr>
          <w:b/>
          <w:bCs/>
        </w:rPr>
        <w:t xml:space="preserve">Exact-formula 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INFORM_CALCULATION_ENGINE.docx</w:t>
      </w:r>
      <w:r>
        <w:t xml:space="preserve">, what v1 runs), and (3) this</w:t>
      </w:r>
      <w:r>
        <w:t xml:space="preserve"> </w:t>
      </w:r>
      <w:r>
        <w:rPr>
          <w:b/>
          <w:bCs/>
        </w:rPr>
        <w:t xml:space="preserve">Paper</w:t>
      </w:r>
      <w:r>
        <w:t xml:space="preserve"> </w:t>
      </w:r>
      <w:r>
        <w:t xml:space="preserve">(the v2 proposal).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INFORM Subnational Risk Index aggregates standardised (0-10) hazard, vulnerability and lack-of-coping</w:t>
      </w:r>
      <w:r>
        <w:t xml:space="preserve"> </w:t>
      </w:r>
      <w:r>
        <w:t xml:space="preserve">indicators into a comparable risk score. Its aggregation</w:t>
      </w:r>
      <w: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- min-max standardisation (with</w:t>
      </w:r>
      <w:r>
        <w:t xml:space="preserve"> </w:t>
      </w:r>
      <w:r>
        <w:t xml:space="preserve">logarithmic transformation and Tukey outlier capping), arithmetic averaging of indicators into categories,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scaled geometric mean</w:t>
      </w:r>
      <w:r>
        <w:t xml:space="preserve"> </w:t>
      </w:r>
      <w:r>
        <w:t xml:space="preserve">of categories into dimensions, and the</w:t>
      </w:r>
      <w:r>
        <w:t xml:space="preserve"> </w:t>
      </w:r>
      <w:r>
        <w:rPr>
          <w:b/>
          <w:bCs/>
        </w:rPr>
        <w:t xml:space="preserve">cube root</w:t>
      </w:r>
      <w:r>
        <w:t xml:space="preserve"> </w:t>
      </w:r>
      <w:r>
        <w:t xml:space="preserve">of the three dimensions</w:t>
      </w:r>
      <w:r>
        <w:t xml:space="preserve"> </w:t>
      </w:r>
      <w:r>
        <w:t xml:space="preserve">into risk - is a fixed methodology we</w:t>
      </w:r>
      <w:r>
        <w:t xml:space="preserve"> </w:t>
      </w:r>
      <w:r>
        <w:rPr>
          <w:b/>
          <w:bCs/>
        </w:rPr>
        <w:t xml:space="preserve">preserve exactly</w:t>
      </w:r>
      <w:r>
        <w:t xml:space="preserve"> </w:t>
      </w:r>
      <w:r>
        <w:t xml:space="preserve">as implemented in the official</w:t>
      </w:r>
      <w:r>
        <w:t xml:space="preserve"> </w:t>
      </w:r>
      <w:r>
        <w:rPr>
          <w:i/>
          <w:iCs/>
        </w:rPr>
        <w:t xml:space="preserve">Tanzania - Country Model Template</w:t>
      </w:r>
      <w:r>
        <w:t xml:space="preserve"> </w:t>
      </w:r>
      <w:r>
        <w:t xml:space="preserve">workbook (verified formula-by-formula from its hidden sheets). What we</w:t>
      </w:r>
      <w:r>
        <w:t xml:space="preserve"> </w:t>
      </w:r>
      <w:r>
        <w:rPr>
          <w:b/>
          <w:bCs/>
        </w:rPr>
        <w:t xml:space="preserve">advance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behind individual hazard indicators where authoritative national data exist.</w:t>
      </w:r>
      <w:r>
        <w:t xml:space="preserve"> </w:t>
      </w:r>
      <w:r>
        <w:t xml:space="preserve">This paper documents the advancement of the</w:t>
      </w:r>
      <w:r>
        <w:t xml:space="preserve"> </w:t>
      </w:r>
      <w:r>
        <w:rPr>
          <w:b/>
          <w:bCs/>
        </w:rPr>
        <w:t xml:space="preserve">drought hazard</w:t>
      </w:r>
      <w:r>
        <w:t xml:space="preserve"> </w:t>
      </w:r>
      <w:r>
        <w:t xml:space="preserve">from a coarse INFORM SADC value to a</w:t>
      </w:r>
      <w:r>
        <w:t xml:space="preserve"> </w:t>
      </w:r>
      <w:r>
        <w:t xml:space="preserve">transparent four-component index computed from CHIRPS v3 rainfall (1991-2024) and ERA5 temperature -</w:t>
      </w:r>
      <w:r>
        <w:t xml:space="preserve"> </w:t>
      </w:r>
      <w:r>
        <w:t xml:space="preserve">aridity, interannual variability, SPEI drought depth, and growing-season failure - together with the</w:t>
      </w:r>
      <w:r>
        <w:t xml:space="preserve"> </w:t>
      </w:r>
      <w:r>
        <w:rPr>
          <w:b/>
          <w:bCs/>
        </w:rPr>
        <w:t xml:space="preserve">initial vs advanced</w:t>
      </w:r>
      <w:r>
        <w:t xml:space="preserve"> </w:t>
      </w:r>
      <w:r>
        <w:t xml:space="preserve">comparison, the</w:t>
      </w:r>
      <w:r>
        <w:t xml:space="preserve"> </w:t>
      </w:r>
      <w:r>
        <w:rPr>
          <w:b/>
          <w:bCs/>
        </w:rPr>
        <w:t xml:space="preserve">impact</w:t>
      </w:r>
      <w:r>
        <w:t xml:space="preserve">, and the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the advancement closes. We show the</w:t>
      </w:r>
      <w:r>
        <w:t xml:space="preserve"> </w:t>
      </w:r>
      <w:r>
        <w:t xml:space="preserve">initial drought layer was spatially incoherent (the central semi-arid zone under-rated at ~4/10, a coastal</w:t>
      </w:r>
      <w:r>
        <w:t xml:space="preserve"> </w:t>
      </w:r>
      <w:r>
        <w:t xml:space="preserve">city over-rated at 10/10), whereas the advanced layer tracks observed rainfall and the food-security</w:t>
      </w:r>
      <w:r>
        <w:t xml:space="preserve"> </w:t>
      </w:r>
      <w:r>
        <w:t xml:space="preserve">geography. The flood, heatwave and exposure advancements are summarised. Finally we open a</w:t>
      </w:r>
      <w:r>
        <w:t xml:space="preserve"> </w:t>
      </w:r>
      <w:r>
        <w:rPr>
          <w:b/>
          <w:bCs/>
        </w:rPr>
        <w:t xml:space="preserve">living, four-tier v2</w:t>
      </w:r>
      <w:r>
        <w:rPr>
          <w:b/>
          <w:bCs/>
        </w:rPr>
        <w:t xml:space="preserve"> </w:t>
      </w:r>
      <w:r>
        <w:rPr>
          <w:b/>
          <w:bCs/>
        </w:rPr>
        <w:t xml:space="preserve">issue register</w:t>
      </w:r>
      <w:r>
        <w:t xml:space="preserve"> </w:t>
      </w:r>
      <w:r>
        <w:t xml:space="preserve">(Section 8) - engine-fidelity, hazard-evidence, exposure/vulnerability resolution, and</w:t>
      </w:r>
      <w:r>
        <w:t xml:space="preserve"> </w:t>
      </w:r>
      <w:r>
        <w:t xml:space="preserve">validation - and the three cross-cutting insights (stable references, hazard-specific exposure, outcome</w:t>
      </w:r>
      <w:r>
        <w:t xml:space="preserve"> </w:t>
      </w:r>
      <w:r>
        <w:t xml:space="preserve">validation) that anchor it (Section 9). Every item is a proposal for a future, separately-validated INFORM</w:t>
      </w:r>
      <w:r>
        <w:t xml:space="preserve"> </w:t>
      </w:r>
      <w:r>
        <w:t xml:space="preserve">Calc Engine v2; none changes the v1 engine running today.</w: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INFORM (the Index for Risk Management; DRMKC/JRC, European Commission) provides a transparent, reproducible</w:t>
      </w:r>
      <w:r>
        <w:t xml:space="preserve"> </w:t>
      </w:r>
      <w:r>
        <w:t xml:space="preserve">composite risk model [1]. For Tanzania, the operational instrument is the</w:t>
      </w:r>
      <w:r>
        <w:t xml:space="preserve"> </w:t>
      </w:r>
      <w:r>
        <w:rPr>
          <w:i/>
          <w:iCs/>
        </w:rPr>
        <w:t xml:space="preserve">Tanzania - Country Model</w:t>
      </w:r>
      <w:r>
        <w:rPr>
          <w:i/>
          <w:iCs/>
        </w:rPr>
        <w:t xml:space="preserve"> </w:t>
      </w:r>
      <w:r>
        <w:rPr>
          <w:i/>
          <w:iCs/>
        </w:rPr>
        <w:t xml:space="preserve">Template</w:t>
      </w:r>
      <w:r>
        <w:t xml:space="preserve"> </w:t>
      </w:r>
      <w:r>
        <w:t xml:space="preserve">workbook, whose engine standardises each indicator to 0-10 and aggregates them. The engine is</w:t>
      </w:r>
      <w:r>
        <w:t xml:space="preserve"> </w:t>
      </w:r>
      <w:r>
        <w:t xml:space="preserve">deliberately conservative and globally comparable; it must not be silently altered.</w:t>
      </w:r>
    </w:p>
    <w:p>
      <w:pPr>
        <w:pStyle w:val="BodyText"/>
      </w:pPr>
      <w:r>
        <w:t xml:space="preserve">Our work separates two concerns: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engine</w:t>
      </w:r>
      <w:r>
        <w:t xml:space="preserve"> </w:t>
      </w:r>
      <w:r>
        <w:t xml:space="preserve">(how numbers combine). This stays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 the workbook - we verified every</w:t>
      </w:r>
      <w:r>
        <w:t xml:space="preserve"> </w:t>
      </w:r>
      <w:r>
        <w:t xml:space="preserve">formula directly from the (hidden) engine sheets (see the companion</w:t>
      </w:r>
      <w:r>
        <w:t xml:space="preserve"> </w:t>
      </w:r>
      <w:r>
        <w:rPr>
          <w:rStyle w:val="VerbatimChar"/>
        </w:rPr>
        <w:t xml:space="preserve">INFORM_CALCULATION_ENGINE.docx</w:t>
      </w:r>
      <w:r>
        <w:t xml:space="preserve">):</w:t>
      </w:r>
      <w:r>
        <w:t xml:space="preserve"> </w:t>
      </w:r>
      <w:r>
        <w:t xml:space="preserve">component =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, category =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, dimension =</w:t>
      </w:r>
      <w:r>
        <w:t xml:space="preserve"> </w:t>
      </w:r>
      <w:r>
        <w:rPr>
          <w:rStyle w:val="VerbatimChar"/>
        </w:rPr>
        <w:t xml:space="preserve">ROUND((10-GEOMEAN((10-c)/10*9+1...))/9*10,1)</w:t>
      </w:r>
      <w:r>
        <w:t xml:space="preserve"> </w:t>
      </w:r>
      <w:r>
        <w:t xml:space="preserve">(scaled geometric mean), risk =</w:t>
      </w:r>
      <w:r>
        <w:t xml:space="preserve"> </w:t>
      </w:r>
      <w:r>
        <w:rPr>
          <w:rStyle w:val="VerbatimChar"/>
        </w:rPr>
        <w:t xml:space="preserve">ROUND(H^(1/3)*V^(1/3)*LCC^(1/3),1)</w:t>
      </w:r>
      <w:r>
        <w:t xml:space="preserve"> </w:t>
      </w:r>
      <w:r>
        <w:t xml:space="preserve">(cube root), and standardisation =</w:t>
      </w:r>
      <w:r>
        <w:t xml:space="preserve"> </w:t>
      </w:r>
      <w:r>
        <w:t xml:space="preserve">min-max to 0-10 with optional log/exp transform, Tukey (Q1-1.5</w:t>
      </w:r>
      <w:r>
        <w:rPr>
          <w:i/>
          <w:iCs/>
        </w:rPr>
        <w:t xml:space="preserve">IQR, Q3+1.5</w:t>
      </w:r>
      <w:r>
        <w:t xml:space="preserve">IQR) outlier capping, and an</w:t>
      </w:r>
      <w:r>
        <w:t xml:space="preserve"> </w:t>
      </w:r>
      <w:r>
        <w:t xml:space="preserve">inversion for</w:t>
      </w:r>
      <w:r>
        <w:t xml:space="preserve"> </w:t>
      </w:r>
      <w:r>
        <w:t xml:space="preserve">“Decrease Risk”</w:t>
      </w:r>
      <w:r>
        <w:t xml:space="preserve"> </w:t>
      </w:r>
      <w:r>
        <w:t xml:space="preserve">indicators.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evidence</w:t>
      </w:r>
      <w:r>
        <w:t xml:space="preserve"> </w:t>
      </w:r>
      <w:r>
        <w:t xml:space="preserve">(the value of each indicator). Where the INFORM SADC layer is coarse, dated, or</w:t>
      </w:r>
      <w:r>
        <w:t xml:space="preserve"> </w:t>
      </w:r>
      <w:r>
        <w:t xml:space="preserve">incoherent for Tanzania, and authoritative national data exist, we</w:t>
      </w:r>
      <w:r>
        <w:t xml:space="preserve"> </w:t>
      </w:r>
      <w:r>
        <w:rPr>
          <w:b/>
          <w:bCs/>
        </w:rPr>
        <w:t xml:space="preserve">recompute the indicator</w:t>
      </w:r>
      <w:r>
        <w:t xml:space="preserve"> </w:t>
      </w:r>
      <w:r>
        <w:t xml:space="preserve">from</w:t>
      </w:r>
      <w:r>
        <w:t xml:space="preserve"> </w:t>
      </w:r>
      <w:r>
        <w:t xml:space="preserve">primary data using the</w:t>
      </w:r>
      <w:r>
        <w:t xml:space="preserve"> </w:t>
      </w:r>
      <w:r>
        <w:rPr>
          <w:b/>
          <w:bCs/>
        </w:rPr>
        <w:t xml:space="preserve">same standardisation method</w:t>
      </w:r>
      <w:r>
        <w:t xml:space="preserve"> </w:t>
      </w:r>
      <w:r>
        <w:t xml:space="preserve">the engine prescribes, and we apply it</w:t>
      </w:r>
      <w:r>
        <w:t xml:space="preserve"> </w:t>
      </w:r>
      <w:r>
        <w:rPr>
          <w:b/>
          <w:bCs/>
        </w:rPr>
        <w:t xml:space="preserve">raise-only</w:t>
      </w:r>
      <w:r>
        <w:t xml:space="preserve"> </w:t>
      </w:r>
      <w:r>
        <w:t xml:space="preserve">(the computed value may raise a documented hazard but never silently lower it).</w:t>
      </w:r>
      <w:r>
        <w:t xml:space="preserve"> </w:t>
      </w:r>
      <w:r>
        <w:rPr>
          <w:i/>
          <w:iCs/>
        </w:rPr>
        <w:t xml:space="preserve">[Withdrawn October 2026: evidence enters the separate Advancement layer; the Core is never raised or lowered.]</w:t>
      </w:r>
    </w:p>
    <w:p>
      <w:pPr>
        <w:pStyle w:val="FirstParagraph"/>
      </w:pPr>
      <w:r>
        <w:t xml:space="preserve">This paper makes the second concern explicit and auditable, using</w:t>
      </w:r>
      <w:r>
        <w:t xml:space="preserve"> </w:t>
      </w:r>
      <w:r>
        <w:rPr>
          <w:b/>
          <w:bCs/>
        </w:rPr>
        <w:t xml:space="preserve">drought</w:t>
      </w:r>
      <w:r>
        <w:t xml:space="preserve"> </w:t>
      </w:r>
      <w:r>
        <w:t xml:space="preserve">as the worked case, because</w:t>
      </w:r>
      <w:r>
        <w:t xml:space="preserve"> </w:t>
      </w:r>
      <w:r>
        <w:t xml:space="preserve">drought is the hazard most consequential for Tanzanian food security and the one for which the densest</w:t>
      </w:r>
      <w:r>
        <w:t xml:space="preserve"> </w:t>
      </w:r>
      <w:r>
        <w:t xml:space="preserve">observational record exists.</w:t>
      </w:r>
    </w:p>
    <w:bookmarkEnd w:id="10"/>
    <w:bookmarkStart w:id="11" w:name="the-preserved-inform-engine"/>
    <w:p>
      <w:pPr>
        <w:pStyle w:val="Heading1"/>
      </w:pPr>
      <w:r>
        <w:t xml:space="preserve">2. The preserved INFORM engine</w:t>
      </w:r>
    </w:p>
    <w:p>
      <w:pPr>
        <w:pStyle w:val="FirstParagraph"/>
      </w:pPr>
      <w:r>
        <w:t xml:space="preserve">We reproduced a unit end-to-end against the workbook: for Kondoa, the workbook’s own Hazard dimension is</w:t>
      </w:r>
      <w:r>
        <w:t xml:space="preserve"> </w:t>
      </w:r>
      <w:r>
        <w:rPr>
          <w:rStyle w:val="VerbatimChar"/>
        </w:rPr>
        <w:t xml:space="preserve">scaled-geomean(Natural 3.544, Human 0.683) = 2.2</w:t>
      </w:r>
      <w:r>
        <w:t xml:space="preserve">, and our implementation returns the same 2.2 for the</w:t>
      </w:r>
      <w:r>
        <w:t xml:space="preserve"> </w:t>
      </w:r>
      <w:r>
        <w:t xml:space="preserve">same inputs; the figures we quoted as national (Hazard 2.2, Vulnerability 5.5, Lack-of-Coping 5.9,</w:t>
      </w:r>
      <w:r>
        <w:t xml:space="preserve"> </w:t>
      </w:r>
      <w:r>
        <w:t xml:space="preserve">Risk 4.1)</w:t>
      </w:r>
      <w:r>
        <w:t xml:space="preserve"> </w:t>
      </w:r>
      <w:r>
        <w:rPr>
          <w:i/>
          <w:iCs/>
        </w:rPr>
        <w:t xml:space="preserve">[are Kondoa’s row, not a national value; corrected October 2026: the INFORM aggregate of the</w:t>
      </w:r>
      <w:r>
        <w:rPr>
          <w:i/>
          <w:iCs/>
        </w:rPr>
        <w:t xml:space="preserve"> </w:t>
      </w:r>
      <w:r>
        <w:rPr>
          <w:i/>
          <w:iCs/>
        </w:rPr>
        <w:t xml:space="preserve">195 councils is 3.8 (2.4, 3.8, 6.2)]</w:t>
      </w:r>
      <w:r>
        <w:t xml:space="preserve">. The engine is therefore</w:t>
      </w:r>
      <w:r>
        <w:t xml:space="preserve"> </w:t>
      </w:r>
      <w:r>
        <w:rPr>
          <w:b/>
          <w:bCs/>
        </w:rPr>
        <w:t xml:space="preserve">unchanged</w:t>
      </w:r>
      <w:r>
        <w:t xml:space="preserve">; only indicator</w:t>
      </w:r>
      <w:r>
        <w:t xml:space="preserve"> </w:t>
      </w:r>
      <w:r>
        <w:rPr>
          <w:i/>
          <w:iCs/>
        </w:rPr>
        <w:t xml:space="preserve">inputs</w:t>
      </w:r>
      <w:r>
        <w:t xml:space="preserve"> </w:t>
      </w:r>
      <w:r>
        <w:t xml:space="preserve">differed where</w:t>
      </w:r>
      <w:r>
        <w:t xml:space="preserve"> </w:t>
      </w:r>
      <w:r>
        <w:t xml:space="preserve">we advanced them. Two engine-level options the workbook supports but our recompute scripts do not yet apply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Tukey IQR capping</w:t>
      </w:r>
      <w:r>
        <w:t xml:space="preserve"> </w:t>
      </w:r>
      <w:r>
        <w:t xml:space="preserve">of recomputed series, and</w:t>
      </w:r>
      <w:r>
        <w:t xml:space="preserve"> </w:t>
      </w:r>
      <w:r>
        <w:rPr>
          <w:b/>
          <w:bCs/>
        </w:rPr>
        <w:t xml:space="preserve">custom (fixed) reference ranges</w:t>
      </w:r>
      <w:r>
        <w:t xml:space="preserve"> </w:t>
      </w:r>
      <w:r>
        <w:t xml:space="preserve">instead of the</w:t>
      </w:r>
      <w:r>
        <w:t xml:space="preserve"> </w:t>
      </w:r>
      <w:r>
        <w:t xml:space="preserve">Tanzania data range - are recorded as</w:t>
      </w:r>
      <w:r>
        <w:t xml:space="preserve"> </w:t>
      </w:r>
      <w:r>
        <w:rPr>
          <w:b/>
          <w:bCs/>
        </w:rPr>
        <w:t xml:space="preserve">future work</w:t>
      </w:r>
      <w:r>
        <w:t xml:space="preserve"> </w:t>
      </w:r>
      <w:r>
        <w:t xml:space="preserve">(Section 7) and are not changed here.</w:t>
      </w:r>
    </w:p>
    <w:bookmarkEnd w:id="11"/>
    <w:bookmarkStart w:id="15" w:name="the-drought-advancement---method"/>
    <w:p>
      <w:pPr>
        <w:pStyle w:val="Heading1"/>
      </w:pPr>
      <w:r>
        <w:t xml:space="preserve">3. The drought advancement - method</w:t>
      </w:r>
    </w:p>
    <w:bookmarkStart w:id="12" w:name="Xe307caade9ebe20c6688050399fb63691effb5f"/>
    <w:p>
      <w:pPr>
        <w:pStyle w:val="Heading2"/>
      </w:pPr>
      <w:r>
        <w:t xml:space="preserve">3.1 Rationale and the gap in the initial layer</w:t>
      </w:r>
    </w:p>
    <w:p>
      <w:pPr>
        <w:pStyle w:val="FirstParagraph"/>
      </w:pPr>
      <w:r>
        <w:t xml:space="preserve">The initial INFORM SADC drought scores for Tanzania are spatially incoherent (Section 5, Table 2): several</w:t>
      </w:r>
      <w:r>
        <w:t xml:space="preserve"> </w:t>
      </w:r>
      <w:r>
        <w:t xml:space="preserve">central</w:t>
      </w:r>
      <w:r>
        <w:t xml:space="preserve"> </w:t>
      </w:r>
      <w:r>
        <w:rPr>
          <w:b/>
          <w:bCs/>
        </w:rPr>
        <w:t xml:space="preserve">semi-arid</w:t>
      </w:r>
      <w:r>
        <w:t xml:space="preserve"> </w:t>
      </w:r>
      <w:r>
        <w:t xml:space="preserve">councils (Kondoa 771 mm yr^-1, Singida 749 mm, Manyoni 760 mm) scored only 3.6-4.3/10,</w:t>
      </w:r>
      <w:r>
        <w:t xml:space="preserve"> </w:t>
      </w:r>
      <w:r>
        <w:t xml:space="preserve">while a wet coastal city (Dar es Salaam / Ilala, 1,253 mm) scored 10/10. Semi-arid central Tanzania is a</w:t>
      </w:r>
      <w:r>
        <w:t xml:space="preserve"> </w:t>
      </w:r>
      <w:r>
        <w:t xml:space="preserve">recurrent drought- and food-insecurity hotspot (IPC/MUCHALI classifications), so an index that rates it</w:t>
      </w:r>
      <w:r>
        <w:t xml:space="preserve"> </w:t>
      </w:r>
      <w:r>
        <w:t xml:space="preserve">below 5 while maxing out a coastal city is not credible. This is the</w:t>
      </w:r>
      <w:r>
        <w:t xml:space="preserve"> </w:t>
      </w:r>
      <w:r>
        <w:rPr>
          <w:b/>
          <w:bCs/>
        </w:rPr>
        <w:t xml:space="preserve">gap</w:t>
      </w:r>
      <w:r>
        <w:t xml:space="preserve">: the</w:t>
      </w:r>
      <w:r>
        <w:t xml:space="preserve"> </w:t>
      </w:r>
      <w:r>
        <w:rPr>
          <w:i/>
          <w:iCs/>
        </w:rPr>
        <w:t xml:space="preserve">initial</w:t>
      </w:r>
      <w:r>
        <w:t xml:space="preserve"> </w:t>
      </w:r>
      <w:r>
        <w:t xml:space="preserve">relevance of the</w:t>
      </w:r>
      <w:r>
        <w:t xml:space="preserve"> </w:t>
      </w:r>
      <w:r>
        <w:t xml:space="preserve">drought layer was, in places, simply not true.</w:t>
      </w:r>
    </w:p>
    <w:bookmarkEnd w:id="12"/>
    <w:bookmarkStart w:id="13" w:name="data"/>
    <w:p>
      <w:pPr>
        <w:pStyle w:val="Heading2"/>
      </w:pPr>
      <w:r>
        <w:t xml:space="preserve">3.2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CHIRPS v3</w:t>
      </w:r>
      <w:r>
        <w:t xml:space="preserve"> </w:t>
      </w:r>
      <w:r>
        <w:t xml:space="preserve">monthly precipitation, 0.05 deg, 1991-2024, the same product validated for Tanzanian</w:t>
      </w:r>
      <w:r>
        <w:t xml:space="preserve"> </w:t>
      </w:r>
      <w:r>
        <w:t xml:space="preserve">rainfall classification [2]. Zonal-mean rainfall is extracted per administrative unit.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CHIRPS v3 daily</w:t>
      </w:r>
      <w:r>
        <w:t xml:space="preserve"> </w:t>
      </w:r>
      <w:r>
        <w:t xml:space="preserve">(2015-2024) for the companion heavy-rain/flood layer (Section 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ERA5</w:t>
      </w:r>
      <w:r>
        <w:t xml:space="preserve"> </w:t>
      </w:r>
      <w:r>
        <w:t xml:space="preserve">2 m temperature, used to estimate potential evapotranspiration (PET) for SPEI [3].</w:t>
      </w:r>
    </w:p>
    <w:bookmarkEnd w:id="13"/>
    <w:bookmarkStart w:id="14" w:name="X96e2991ef78c8e5d390aee98445bac51bca1f28"/>
    <w:p>
      <w:pPr>
        <w:pStyle w:val="Heading2"/>
      </w:pPr>
      <w:r>
        <w:t xml:space="preserve">3.3 The four-component index and its criteria</w:t>
      </w:r>
    </w:p>
    <w:p>
      <w:pPr>
        <w:pStyle w:val="FirstParagraph"/>
      </w:pPr>
      <w:r>
        <w:t xml:space="preserve">Drought relevant to communities is more than a single statistic; following the drought-index literature</w:t>
      </w:r>
      <w:r>
        <w:t xml:space="preserve"> </w:t>
      </w:r>
      <w:r>
        <w:t xml:space="preserve">[4,5] we combine four physically distinct, individually justified components, each min-max scaled to 0-1: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What it captures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Aridity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inherent dryness of the climate</w:t>
            </w:r>
          </w:p>
        </w:tc>
        <w:tc>
          <w:tcPr/>
          <w:p>
            <w:pPr>
              <w:pStyle w:val="Compact"/>
            </w:pPr>
            <w:r>
              <w:t xml:space="preserve">min-max of</w:t>
            </w:r>
            <w:r>
              <w:t xml:space="preserve"> </w:t>
            </w:r>
            <w:r>
              <w:rPr>
                <w:b/>
                <w:bCs/>
              </w:rPr>
              <w:t xml:space="preserve">(-mean annual rainfall)</w:t>
            </w:r>
          </w:p>
        </w:tc>
        <w:tc>
          <w:tcPr/>
          <w:p>
            <w:pPr>
              <w:pStyle w:val="Compact"/>
            </w:pPr>
            <w:r>
              <w:t xml:space="preserve">UNEP aridity gradient; semi-arid = ~0.2-0.5 P/PET [6,7]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Interannual variability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year-to-year rainfall instability</w:t>
            </w:r>
          </w:p>
        </w:tc>
        <w:tc>
          <w:tcPr/>
          <w:p>
            <w:pPr>
              <w:pStyle w:val="Compact"/>
            </w:pPr>
            <w:r>
              <w:t xml:space="preserve">min-max of the</w:t>
            </w:r>
            <w:r>
              <w:t xml:space="preserve"> </w:t>
            </w:r>
            <w:r>
              <w:rPr>
                <w:b/>
                <w:bCs/>
              </w:rPr>
              <w:t xml:space="preserve">coefficient of variation</w:t>
            </w:r>
            <w:r>
              <w:t xml:space="preserve"> </w:t>
            </w:r>
            <w:r>
              <w:t xml:space="preserve">of annual rainfall</w:t>
            </w:r>
          </w:p>
        </w:tc>
        <w:tc>
          <w:tcPr/>
          <w:p>
            <w:pPr>
              <w:pStyle w:val="Compact"/>
            </w:pPr>
            <w:r>
              <w:t xml:space="preserve">East-African rainfall is among the world’s most variable [8,9]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SPEI drought depth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severity of water-balance deficits</w:t>
            </w:r>
          </w:p>
        </w:tc>
        <w:tc>
          <w:tcPr/>
          <w:p>
            <w:pPr>
              <w:pStyle w:val="Compact"/>
            </w:pPr>
            <w:r>
              <w:t xml:space="preserve">mean magnitude of</w:t>
            </w:r>
            <w:r>
              <w:t xml:space="preserve"> </w:t>
            </w:r>
            <w:r>
              <w:rPr>
                <w:b/>
                <w:bCs/>
              </w:rPr>
              <w:t xml:space="preserve">SPEI-12 &lt; -1</w:t>
            </w:r>
            <w:r>
              <w:t xml:space="preserve">, PET via Thornthwaite [10] from ERA5</w:t>
            </w:r>
          </w:p>
        </w:tc>
        <w:tc>
          <w:tcPr/>
          <w:p>
            <w:pPr>
              <w:pStyle w:val="Compact"/>
            </w:pPr>
            <w:r>
              <w:t xml:space="preserve">SPEI = standardised precipitation-evapotranspiration index [3,11]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Growing-season failure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crop-failure / food-security driver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  <w:r>
              <w:rPr>
                <w:i/>
                <w:iCs/>
              </w:rPr>
              <w:t xml:space="preserve">CV + 0.5</w:t>
            </w:r>
            <w:r>
              <w:t xml:space="preserve">frequency of the main 4-month season below 80% of normal</w:t>
            </w:r>
          </w:p>
        </w:tc>
        <w:tc>
          <w:tcPr/>
          <w:p>
            <w:pPr>
              <w:pStyle w:val="Compact"/>
            </w:pPr>
            <w:r>
              <w:t xml:space="preserve">season failure -&gt; IPC food crises (highest weight)</w:t>
            </w:r>
          </w:p>
        </w:tc>
      </w:tr>
    </w:tbl>
    <w:p>
      <w:pPr>
        <w:pStyle w:val="BodyText"/>
      </w:pPr>
      <w:r>
        <w:t xml:space="preserve">The blended score</w:t>
      </w:r>
      <w:r>
        <w:t xml:space="preserve"> </w:t>
      </w:r>
      <w:r>
        <w:rPr>
          <w:rStyle w:val="VerbatimChar"/>
        </w:rPr>
        <w:t xml:space="preserve">0.30*aridity + 0.20*variability + 0.15*SPEI-depth + 0.35*season-failure</w:t>
      </w:r>
      <w:r>
        <w:t xml:space="preserve"> </w:t>
      </w:r>
      <w:r>
        <w:t xml:space="preserve">is then</w:t>
      </w:r>
      <w:r>
        <w:t xml:space="preserve"> </w:t>
      </w:r>
      <w:r>
        <w:rPr>
          <w:b/>
          <w:bCs/>
        </w:rPr>
        <w:t xml:space="preserve">min-max standardised to 0-10</w:t>
      </w:r>
      <w:r>
        <w:t xml:space="preserve"> </w:t>
      </w:r>
      <w:r>
        <w:t xml:space="preserve">- exactly the INFORM normalisation - and applied</w:t>
      </w:r>
      <w:r>
        <w:t xml:space="preserve"> </w:t>
      </w:r>
      <w:r>
        <w:rPr>
          <w:b/>
          <w:bCs/>
        </w:rPr>
        <w:t xml:space="preserve">raise-only</w:t>
      </w:r>
      <w:r>
        <w:t xml:space="preserve"> </w:t>
      </w:r>
      <w:r>
        <w:t xml:space="preserve">(the</w:t>
      </w:r>
      <w:r>
        <w:t xml:space="preserve"> </w:t>
      </w:r>
      <w:r>
        <w:t xml:space="preserve">advanced value replaces the initial only where it is higher, so no documented drought area is downgraded).</w:t>
      </w:r>
      <w:r>
        <w:t xml:space="preserve"> </w:t>
      </w:r>
      <w:r>
        <w:rPr>
          <w:i/>
          <w:iCs/>
        </w:rPr>
        <w:t xml:space="preserve">[Withdrawn October 2026: the blend and the floor are out of the model; the members enter the Advancement layer separately and the season-failure member is withheld.]</w:t>
      </w:r>
    </w:p>
    <w:p>
      <w:pPr>
        <w:pStyle w:val="BodyText"/>
      </w:pPr>
      <w:r>
        <w:rPr>
          <w:b/>
          <w:bCs/>
        </w:rPr>
        <w:t xml:space="preserve">Weighting rationale.</w:t>
      </w:r>
      <w:r>
        <w:t xml:space="preserve"> </w:t>
      </w:r>
      <w:r>
        <w:t xml:space="preserve">Aridity is the baseline (a dry climate is intrinsically drought-exposed);</w:t>
      </w:r>
      <w:r>
        <w:t xml:space="preserve"> </w:t>
      </w:r>
      <w:r>
        <w:t xml:space="preserve">variability and SPEI add the</w:t>
      </w:r>
      <w:r>
        <w:t xml:space="preserve"> </w:t>
      </w:r>
      <w:r>
        <w:rPr>
          <w:i/>
          <w:iCs/>
        </w:rPr>
        <w:t xml:space="preserve">dynamic</w:t>
      </w:r>
      <w:r>
        <w:t xml:space="preserve"> </w:t>
      </w:r>
      <w:r>
        <w:t xml:space="preserve">deficit;</w:t>
      </w:r>
      <w:r>
        <w:t xml:space="preserve"> </w:t>
      </w:r>
      <w:r>
        <w:rPr>
          <w:b/>
          <w:bCs/>
        </w:rPr>
        <w:t xml:space="preserve">growing-season failure carries the largest weight (0.35)</w:t>
      </w:r>
      <w:r>
        <w:t xml:space="preserve"> </w:t>
      </w:r>
      <w:r>
        <w:t xml:space="preserve">because, for an operational risk index feeding humanitarian planning, the decision-relevant outcome is</w:t>
      </w:r>
      <w:r>
        <w:t xml:space="preserve"> </w:t>
      </w:r>
      <w:r>
        <w:t xml:space="preserve">failure of the main cropping season, which is what triggers IPC/MUCHALI food-insecurity phases. The weights</w:t>
      </w:r>
      <w:r>
        <w:t xml:space="preserve"> </w:t>
      </w:r>
      <w:r>
        <w:t xml:space="preserve">are an explicit modelling choice; a sensitivity analysis is listed as future work.</w:t>
      </w:r>
    </w:p>
    <w:p>
      <w:pPr>
        <w:pStyle w:val="BodyText"/>
      </w:pPr>
      <w:r>
        <w:rPr>
          <w:b/>
          <w:bCs/>
        </w:rPr>
        <w:t xml:space="preserve">Why SPI/SPEI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frequency</w:t>
      </w:r>
      <w:r>
        <w:rPr>
          <w:b/>
          <w:bCs/>
        </w:rPr>
        <w:t xml:space="preserve"> </w:t>
      </w:r>
      <w:r>
        <w:rPr>
          <w:b/>
          <w:bCs/>
        </w:rPr>
        <w:t xml:space="preserve">is not used to rank.</w:t>
      </w:r>
      <w:r>
        <w:t xml:space="preserve"> </w:t>
      </w:r>
      <w:r>
        <w:t xml:space="preserve">Drought</w:t>
      </w:r>
      <w:r>
        <w:t xml:space="preserve"> </w:t>
      </w:r>
      <w:r>
        <w:rPr>
          <w:i/>
          <w:iCs/>
        </w:rPr>
        <w:t xml:space="preserve">frequency</w:t>
      </w:r>
      <w:r>
        <w:t xml:space="preserve"> </w:t>
      </w:r>
      <w:r>
        <w:t xml:space="preserve">(the share of months below a</w:t>
      </w:r>
      <w:r>
        <w:t xml:space="preserve"> </w:t>
      </w:r>
      <w:r>
        <w:t xml:space="preserve">threshold) is approximately stationary by construction across a fixed record and therefore discriminates</w:t>
      </w:r>
      <w:r>
        <w:t xml:space="preserve"> </w:t>
      </w:r>
      <w:r>
        <w:t xml:space="preserve">poorly between districts; we use SPEI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(how deep deficits go) rather than frequency, and rank on</w:t>
      </w:r>
      <w:r>
        <w:t xml:space="preserve"> </w:t>
      </w:r>
      <w:r>
        <w:t xml:space="preserve">aridity + variability + season-failure, which are the spatially-informative signals.</w:t>
      </w:r>
    </w:p>
    <w:bookmarkEnd w:id="14"/>
    <w:bookmarkEnd w:id="15"/>
    <w:bookmarkStart w:id="16" w:name="X82f0955e8d155c03d75b74b27c5e5564373f4a3"/>
    <w:p>
      <w:pPr>
        <w:pStyle w:val="Heading1"/>
      </w:pPr>
      <w:r>
        <w:t xml:space="preserve">4. Standardisation and integration (unchanged engine)</w:t>
      </w:r>
    </w:p>
    <w:p>
      <w:pPr>
        <w:pStyle w:val="FirstParagraph"/>
      </w:pPr>
      <w:r>
        <w:t xml:space="preserve">The four raw components are combined and the result is min-max scaled to 0-10 using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formula the</w:t>
      </w:r>
      <w:r>
        <w:t xml:space="preserve"> </w:t>
      </w:r>
      <w:r>
        <w:t xml:space="preserve">workbook applies to every indicator (</w:t>
      </w:r>
      <w:r>
        <w:rPr>
          <w:rStyle w:val="VerbatimChar"/>
        </w:rPr>
        <w:t xml:space="preserve">10*(x-Min)/(Max-Min)</w:t>
      </w:r>
      <w:r>
        <w:t xml:space="preserve">, clamped, rounded to 0.1). The drought score</w:t>
      </w:r>
      <w:r>
        <w:t xml:space="preserve"> </w:t>
      </w:r>
      <w:r>
        <w:t xml:space="preserve">then enters the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chain: it averages with the other natural-hazard components into the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category, which scaled-geometric-means with</w:t>
      </w:r>
      <w:r>
        <w:t xml:space="preserve"> </w:t>
      </w:r>
      <w:r>
        <w:rPr>
          <w:i/>
          <w:iCs/>
        </w:rPr>
        <w:t xml:space="preserve">Human</w:t>
      </w:r>
      <w:r>
        <w:t xml:space="preserve"> </w:t>
      </w:r>
      <w:r>
        <w:t xml:space="preserve">hazards into the</w:t>
      </w:r>
      <w:r>
        <w:t xml:space="preserve"> </w:t>
      </w:r>
      <w:r>
        <w:rPr>
          <w:i/>
          <w:iCs/>
        </w:rPr>
        <w:t xml:space="preserve">Hazard &amp; Exposure</w:t>
      </w:r>
      <w:r>
        <w:t xml:space="preserve"> </w:t>
      </w:r>
      <w:r>
        <w:t xml:space="preserve">dimension, which cube-roots with Vulnerability and Lack-of-Coping into Risk. No engine constant is altered.</w:t>
      </w:r>
    </w:p>
    <w:bookmarkEnd w:id="16"/>
    <w:bookmarkStart w:id="17" w:name="results---initial-vs-advanced"/>
    <w:p>
      <w:pPr>
        <w:pStyle w:val="Heading1"/>
      </w:pPr>
      <w:r>
        <w:t xml:space="preserve">5. Results - initial vs advanced</w:t>
      </w:r>
    </w:p>
    <w:p>
      <w:pPr>
        <w:pStyle w:val="FirstParagraph"/>
      </w:pPr>
      <w:r>
        <w:rPr>
          <w:b/>
          <w:bCs/>
        </w:rPr>
        <w:t xml:space="preserve">Table 2.</w:t>
      </w:r>
      <w:r>
        <w:t xml:space="preserve"> </w:t>
      </w:r>
      <w:r>
        <w:t xml:space="preserve">Initial (INFORM SADC) vs advanced (CHIRPS/ERA5) drought score, with the raw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Rainfall (mm yr^-1)</w:t>
            </w:r>
          </w:p>
        </w:tc>
        <w:tc>
          <w:tcPr/>
          <w:p>
            <w:pPr>
              <w:pStyle w:val="Compact"/>
            </w:pPr>
            <w:r>
              <w:t xml:space="preserve">Rain CV</w:t>
            </w:r>
          </w:p>
        </w:tc>
        <w:tc>
          <w:tcPr/>
          <w:p>
            <w:pPr>
              <w:pStyle w:val="Compact"/>
            </w:pPr>
            <w:r>
              <w:t xml:space="preserve">Season-fail freq</w:t>
            </w:r>
          </w:p>
        </w:tc>
        <w:tc>
          <w:tcPr/>
          <w:p>
            <w:pPr>
              <w:pStyle w:val="Compact"/>
            </w:pPr>
            <w:r>
              <w:t xml:space="preserve">SPEI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Longido (pastoral)</w:t>
            </w:r>
          </w:p>
        </w:tc>
        <w:tc>
          <w:tcPr/>
          <w:p>
            <w:pPr>
              <w:pStyle w:val="Compact"/>
            </w:pPr>
            <w:r>
              <w:t xml:space="preserve">668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Monduli (pastoral)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Singida (semi-arid)</w:t>
            </w:r>
          </w:p>
        </w:tc>
        <w:tc>
          <w:tcPr/>
          <w:p>
            <w:pPr>
              <w:pStyle w:val="Compact"/>
            </w:pPr>
            <w:r>
              <w:t xml:space="preserve">749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1.68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Manyoni (semi-arid)</w:t>
            </w:r>
          </w:p>
        </w:tc>
        <w:tc>
          <w:tcPr/>
          <w:p>
            <w:pPr>
              <w:pStyle w:val="Compact"/>
            </w:pPr>
            <w:r>
              <w:t xml:space="preserve">760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Kondoa (semi-arid)</w:t>
            </w:r>
          </w:p>
        </w:tc>
        <w:tc>
          <w:tcPr/>
          <w:p>
            <w:pPr>
              <w:pStyle w:val="Compact"/>
            </w:pPr>
            <w:r>
              <w:t xml:space="preserve">771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1.64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Rufiji (sub-humid)</w:t>
            </w:r>
          </w:p>
        </w:tc>
        <w:tc>
          <w:tcPr/>
          <w:p>
            <w:pPr>
              <w:pStyle w:val="Compact"/>
            </w:pPr>
            <w:r>
              <w:t xml:space="preserve">1,088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Kilombero (wet)</w:t>
            </w:r>
          </w:p>
        </w:tc>
        <w:tc>
          <w:tcPr/>
          <w:p>
            <w:pPr>
              <w:pStyle w:val="Compact"/>
            </w:pPr>
            <w:r>
              <w:t xml:space="preserve">1,598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Kyela (wettest)</w:t>
            </w:r>
          </w:p>
        </w:tc>
        <w:tc>
          <w:tcPr/>
          <w:p>
            <w:pPr>
              <w:pStyle w:val="Compact"/>
            </w:pPr>
            <w:r>
              <w:t xml:space="preserve">1,996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1.48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Ilala / Dar (coastal city)</w:t>
            </w:r>
          </w:p>
        </w:tc>
        <w:tc>
          <w:tcPr/>
          <w:p>
            <w:pPr>
              <w:pStyle w:val="Compact"/>
            </w:pPr>
            <w:r>
              <w:t xml:space="preserve">1,253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1.49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</w:tr>
    </w:tbl>
    <w:p>
      <w:pPr>
        <w:pStyle w:val="BodyText"/>
      </w:pPr>
      <w:r>
        <w:t xml:space="preserve">*Dar es Salaam retains 10 under the raise-only floor; the computed value is ~6-7. This is a flagged</w:t>
      </w:r>
      <w:r>
        <w:t xml:space="preserve"> </w:t>
      </w:r>
      <w:r>
        <w:t xml:space="preserve">artifact (the initial 10 is documented-but-wrong) queued for correction via Data Entry,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advancement</w:t>
      </w:r>
      <w:r>
        <w:t xml:space="preserve"> </w:t>
      </w:r>
      <w:r>
        <w:t xml:space="preserve">outcome.</w:t>
      </w:r>
      <w:r>
        <w:t xml:space="preserve"> </w:t>
      </w:r>
      <w:r>
        <w:rPr>
          <w:i/>
          <w:iCs/>
        </w:rPr>
        <w:t xml:space="preserve">[October 2026: the</w:t>
      </w:r>
      <w:r>
        <w:rPr>
          <w:i/>
          <w:iCs/>
        </w:rPr>
        <w:t xml:space="preserve"> </w:t>
      </w:r>
      <w:r>
        <w:rPr>
          <w:i/>
          <w:iCs/>
        </w:rPr>
        <w:t xml:space="preserve">“initial”</w:t>
      </w:r>
      <w:r>
        <w:rPr>
          <w:i/>
          <w:iCs/>
        </w:rPr>
        <w:t xml:space="preserve"> </w:t>
      </w:r>
      <w:r>
        <w:rPr>
          <w:i/>
          <w:iCs/>
        </w:rPr>
        <w:t xml:space="preserve">column of this table was the adjusted dataset, not the workbook; in</w:t>
      </w:r>
      <w:r>
        <w:rPr>
          <w:i/>
          <w:iCs/>
        </w:rPr>
        <w:t xml:space="preserve"> </w:t>
      </w:r>
      <w:r>
        <w:rPr>
          <w:i/>
          <w:iCs/>
        </w:rPr>
        <w:t xml:space="preserve">the workbook Ilala’s drought is the historic-frequency indicator like every other unit.]</w:t>
      </w:r>
    </w:p>
    <w:p>
      <w:pPr>
        <w:pStyle w:val="BodyText"/>
      </w:pPr>
      <w:r>
        <w:rPr>
          <w:b/>
          <w:bCs/>
        </w:rPr>
        <w:t xml:space="preserve">Pattern.</w:t>
      </w:r>
      <w:r>
        <w:t xml:space="preserve"> </w:t>
      </w:r>
      <w:r>
        <w:t xml:space="preserve">The advanced layer is</w:t>
      </w:r>
      <w:r>
        <w:t xml:space="preserve"> </w:t>
      </w:r>
      <w:r>
        <w:rPr>
          <w:b/>
          <w:bCs/>
        </w:rPr>
        <w:t xml:space="preserve">monotone in rainfall</w:t>
      </w:r>
      <w:r>
        <w:t xml:space="preserve">: the five driest councils (Longido, Monduli,</w:t>
      </w:r>
      <w:r>
        <w:t xml:space="preserve"> </w:t>
      </w:r>
      <w:r>
        <w:t xml:space="preserve">Singida, Manyoni, Kondoa, all 668-771 mm) score 7.0-9.7; the wettest (Kyela, Kilombero, 1,600-2,000 mm)</w:t>
      </w:r>
      <w:r>
        <w:t xml:space="preserve"> </w:t>
      </w:r>
      <w:r>
        <w:t xml:space="preserve">score 2.2-2.9. The initial layer was not monotone - it under-rated Singida/Manyoni/Kondoa (3.6-4.3) despite</w:t>
      </w:r>
      <w:r>
        <w:t xml:space="preserve"> </w:t>
      </w:r>
      <w:r>
        <w:t xml:space="preserve">their identical semi-arid climate to the (correctly high) pastoral districts.</w:t>
      </w:r>
    </w:p>
    <w:bookmarkEnd w:id="17"/>
    <w:bookmarkStart w:id="18" w:name="other-advancements-summary"/>
    <w:p>
      <w:pPr>
        <w:pStyle w:val="Heading1"/>
      </w:pPr>
      <w:r>
        <w:t xml:space="preserve">6. Other advancements (summary)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i/>
          <w:iCs/>
        </w:rPr>
        <w:t xml:space="preserve">initial -&gt; advanced (same standardisation) -&gt; raise-only</w:t>
      </w:r>
      <w:r>
        <w:t xml:space="preserve"> </w:t>
      </w:r>
      <w:r>
        <w:t xml:space="preserve">discipline was applied to:</w:t>
      </w:r>
      <w:r>
        <w:t xml:space="preserve"> </w:t>
      </w:r>
      <w:r>
        <w:rPr>
          <w:i/>
          <w:iCs/>
        </w:rPr>
        <w:t xml:space="preserve">[All withdrawn from the Core in October 2026; see Status.]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Flood / heavy rainfall.</w:t>
      </w:r>
      <w:r>
        <w:t xml:space="preserve"> </w:t>
      </w:r>
      <w:r>
        <w:t xml:space="preserve">Advanced from a static INFORM value to</w:t>
      </w:r>
      <w:r>
        <w:t xml:space="preserve"> </w:t>
      </w:r>
      <w:r>
        <w:rPr>
          <w:b/>
          <w:bCs/>
        </w:rPr>
        <w:t xml:space="preserve">CHIRPS v3 daily</w:t>
      </w:r>
      <w:r>
        <w:t xml:space="preserve"> </w:t>
      </w:r>
      <w:r>
        <w:t xml:space="preserve">counts of days</w:t>
      </w:r>
      <w:r>
        <w:t xml:space="preserve"> </w:t>
      </w:r>
      <w:r>
        <w:t xml:space="preserve">&gt; 50 mm and &gt; 100 mm (2015-2024), combined with documented flood events and the INFORM</w:t>
      </w:r>
      <w:r>
        <w:t xml:space="preserve"> </w:t>
      </w:r>
      <w:r>
        <w:rPr>
          <w:b/>
          <w:bCs/>
        </w:rPr>
        <w:t xml:space="preserve">Hazard x</w:t>
      </w:r>
      <w:r>
        <w:rPr>
          <w:b/>
          <w:bCs/>
        </w:rPr>
        <w:t xml:space="preserve"> </w:t>
      </w:r>
      <w:r>
        <w:rPr>
          <w:b/>
          <w:bCs/>
        </w:rPr>
        <w:t xml:space="preserve">Exposure</w:t>
      </w:r>
      <w:r>
        <w:t xml:space="preserve"> </w:t>
      </w:r>
      <w:r>
        <w:t xml:space="preserve">form</w:t>
      </w:r>
      <w:r>
        <w:t xml:space="preserve"> </w:t>
      </w:r>
      <w:r>
        <w:rPr>
          <w:rStyle w:val="VerbatimChar"/>
        </w:rPr>
        <w:t xml:space="preserve">flood = max(hazard, sqrt(hazard * exposure))</w:t>
      </w:r>
      <w:r>
        <w:t xml:space="preserve"> </w:t>
      </w:r>
      <w:r>
        <w:t xml:space="preserve">so population exposure can only amplify a</w:t>
      </w:r>
      <w:r>
        <w:t xml:space="preserve"> </w:t>
      </w:r>
      <w:r>
        <w:t xml:space="preserve">flood hazard, never hide it. Heavy-precipitation thresholds follow the ETCCDI extreme-rainfall indices.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Heatwave.</w:t>
      </w:r>
      <w:r>
        <w:t xml:space="preserve"> </w:t>
      </w:r>
      <w:r>
        <w:t xml:space="preserve">Advanced from blank/baseline to an</w:t>
      </w:r>
      <w:r>
        <w:t xml:space="preserve"> </w:t>
      </w:r>
      <w:r>
        <w:rPr>
          <w:b/>
          <w:bCs/>
        </w:rPr>
        <w:t xml:space="preserve">ERA5</w:t>
      </w:r>
      <w:r>
        <w:t xml:space="preserve"> </w:t>
      </w:r>
      <w:r>
        <w:t xml:space="preserve">temperature-climatology exposure proxy</w:t>
      </w:r>
      <w:r>
        <w:t xml:space="preserve"> </w:t>
      </w:r>
      <w:r>
        <w:t xml:space="preserve">(mean + hottest-quarter), min-max capped - hot lowlands high, cool highlands 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Exposure.</w:t>
      </w:r>
      <w:r>
        <w:t xml:space="preserve"> </w:t>
      </w:r>
      <w:r>
        <w:t xml:space="preserve">Advanced to</w:t>
      </w:r>
      <w:r>
        <w:t xml:space="preserve"> </w:t>
      </w:r>
      <w:r>
        <w:rPr>
          <w:b/>
          <w:bCs/>
        </w:rPr>
        <w:t xml:space="preserve">NBS 2022 PHC</w:t>
      </w:r>
      <w:r>
        <w:t xml:space="preserve"> </w:t>
      </w:r>
      <w:r>
        <w:t xml:space="preserve">population density (population / area),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min-max</w:t>
      </w:r>
      <w:r>
        <w:t xml:space="preserve"> </w:t>
      </w:r>
      <w:r>
        <w:t xml:space="preserve">standardised - the workbook’s own</w:t>
      </w:r>
      <w:r>
        <w:t xml:space="preserve"> </w:t>
      </w:r>
      <w:r>
        <w:t xml:space="preserve">“Logarithm”</w:t>
      </w:r>
      <w:r>
        <w:t xml:space="preserve"> </w:t>
      </w:r>
      <w:r>
        <w:t xml:space="preserve">transformation for the right-skewed density distribution.</w:t>
      </w:r>
    </w:p>
    <w:p>
      <w:pPr>
        <w:pStyle w:val="FirstParagraph"/>
      </w:pPr>
      <w:r>
        <w:t xml:space="preserve">Vulnerability (poverty, stunting, HIV+malaria, displacement, food insecurity) and parts of coping (WASH,</w:t>
      </w:r>
      <w:r>
        <w:t xml:space="preserve"> </w:t>
      </w:r>
      <w:r>
        <w:t xml:space="preserve">health/education access, DRR) were similarly refreshed from NBS/TDHS/IPC/UNHCR sources. All used the</w:t>
      </w:r>
      <w:r>
        <w:t xml:space="preserve"> </w:t>
      </w:r>
      <w:r>
        <w:t xml:space="preserve">engine’s standardisation unchanged.</w:t>
      </w:r>
    </w:p>
    <w:bookmarkEnd w:id="18"/>
    <w:bookmarkStart w:id="19" w:name="Xb429d51a6455152acfd3270755ef2745a2965d8"/>
    <w:p>
      <w:pPr>
        <w:pStyle w:val="Heading1"/>
      </w:pPr>
      <w:r>
        <w:t xml:space="preserve">7. Discussion: initial vs advanced, impact, and the gap</w:t>
      </w:r>
    </w:p>
    <w:p>
      <w:pPr>
        <w:pStyle w:val="FirstParagraph"/>
      </w:pPr>
      <w:r>
        <w:rPr>
          <w:b/>
          <w:bCs/>
        </w:rPr>
        <w:t xml:space="preserve">Initial vs advanced.</w:t>
      </w:r>
      <w:r>
        <w:t xml:space="preserve"> </w:t>
      </w:r>
      <w:r>
        <w:t xml:space="preserve">The advancement does not change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drought enters risk; it changes</w:t>
      </w:r>
      <w:r>
        <w:t xml:space="preserve"> </w:t>
      </w:r>
      <w:r>
        <w:rPr>
          <w:i/>
          <w:iCs/>
        </w:rPr>
        <w:t xml:space="preserve">what value</w:t>
      </w:r>
      <w:r>
        <w:t xml:space="preserve"> </w:t>
      </w:r>
      <w:r>
        <w:t xml:space="preserve">drought has, from a coarse/incoherent layer to one grounded in 34 years of observed rainfall and the</w:t>
      </w:r>
      <w:r>
        <w:t xml:space="preserve"> </w:t>
      </w:r>
      <w:r>
        <w:t xml:space="preserve">water balance.</w:t>
      </w:r>
    </w:p>
    <w:p>
      <w:pPr>
        <w:pStyle w:val="BodyText"/>
      </w:pPr>
      <w:r>
        <w:rPr>
          <w:b/>
          <w:bCs/>
        </w:rPr>
        <w:t xml:space="preserve">Impact / outcome.</w:t>
      </w:r>
      <w:r>
        <w:t xml:space="preserve"> </w:t>
      </w:r>
      <w:r>
        <w:t xml:space="preserve">Risk rises where the evidence supports it (the central semi-arid belt and the</w:t>
      </w:r>
      <w:r>
        <w:t xml:space="preserve"> </w:t>
      </w:r>
      <w:r>
        <w:t xml:space="preserve">pastoral north), in line with IPC/MUCHALI food-insecurity classifications, and the change is auditably</w:t>
      </w:r>
      <w:r>
        <w:t xml:space="preserve"> </w:t>
      </w:r>
      <w:r>
        <w:t xml:space="preserve">raise-only</w:t>
      </w:r>
      <w:r>
        <w:t xml:space="preserve"> </w:t>
      </w:r>
      <w:r>
        <w:rPr>
          <w:i/>
          <w:iCs/>
        </w:rPr>
        <w:t xml:space="preserve">[no longer: the Core is the workbook; the Advancement layer is shown beside it]</w:t>
      </w:r>
      <w:r>
        <w:t xml:space="preserve">. Because risk is a cube root of three dimensions, a drought rise of several points lifts the</w:t>
      </w:r>
      <w:r>
        <w:t xml:space="preserve"> </w:t>
      </w:r>
      <w:r>
        <w:t xml:space="preserve">Hazard dimension modestly and the risk score by a fraction - appropriately, since drought is one of twelve</w:t>
      </w:r>
      <w:r>
        <w:t xml:space="preserve"> </w:t>
      </w:r>
      <w:r>
        <w:t xml:space="preserve">natural hazards.</w:t>
      </w:r>
    </w:p>
    <w:p>
      <w:pPr>
        <w:pStyle w:val="BodyText"/>
      </w:pPr>
      <w:r>
        <w:rPr>
          <w:b/>
          <w:bCs/>
        </w:rPr>
        <w:t xml:space="preserve">The gap.</w:t>
      </w:r>
      <w:r>
        <w:t xml:space="preserve"> </w:t>
      </w:r>
      <w:r>
        <w:t xml:space="preserve">The advancement is justified precisely where</w:t>
      </w:r>
      <w:r>
        <w:t xml:space="preserve"> </w:t>
      </w:r>
      <w:r>
        <w:rPr>
          <w:b/>
          <w:bCs/>
        </w:rPr>
        <w:t xml:space="preserve">the initial relevance was not true</w:t>
      </w:r>
      <w:r>
        <w:t xml:space="preserve">: Kondoa</w:t>
      </w:r>
      <w:r>
        <w:t xml:space="preserve"> </w:t>
      </w:r>
      <w:r>
        <w:t xml:space="preserve">and Singida are textbook semi-arid, food-insecure districts that the initial layer scored below 5. The</w:t>
      </w:r>
      <w:r>
        <w:t xml:space="preserve"> </w:t>
      </w:r>
      <w:r>
        <w:t xml:space="preserve">advancement closes that gap with transparent, reproducible evidence. Where the initial layer was already</w:t>
      </w:r>
      <w:r>
        <w:t xml:space="preserve"> </w:t>
      </w:r>
      <w:r>
        <w:t xml:space="preserve">correct (pastoral Longido/Monduli), the advancement merely confirms and slightly raises it; where the</w:t>
      </w:r>
      <w:r>
        <w:t xml:space="preserve"> </w:t>
      </w:r>
      <w:r>
        <w:t xml:space="preserve">initial layer was wrong-high (the Dar artifact), raise-only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advance it down - that</w:t>
      </w:r>
      <w:r>
        <w:t xml:space="preserve"> </w:t>
      </w:r>
      <w:r>
        <w:t xml:space="preserve">case is handled separately as a documented correction.</w:t>
      </w:r>
      <w:r>
        <w:t xml:space="preserve"> </w:t>
      </w:r>
      <w:r>
        <w:rPr>
          <w:i/>
          <w:iCs/>
        </w:rPr>
        <w:t xml:space="preserve">[October 2026: moot; the Core is the workbook and</w:t>
      </w:r>
      <w:r>
        <w:rPr>
          <w:i/>
          <w:iCs/>
        </w:rPr>
        <w:t xml:space="preserve"> </w:t>
      </w:r>
      <w:r>
        <w:rPr>
          <w:i/>
          <w:iCs/>
        </w:rPr>
        <w:t xml:space="preserve">the Advancement layer is shown beside it.]</w:t>
      </w:r>
    </w:p>
    <w:bookmarkEnd w:id="19"/>
    <w:bookmarkStart w:id="25" w:name="X86369422635db2b8486459af8fcdb262b9dafea"/>
    <w:p>
      <w:pPr>
        <w:pStyle w:val="Heading1"/>
      </w:pPr>
      <w:r>
        <w:t xml:space="preserve">8. The v2 roadmap - a structured issue register</w:t>
      </w:r>
    </w:p>
    <w:p>
      <w:pPr>
        <w:pStyle w:val="FirstParagraph"/>
      </w:pPr>
      <w:r>
        <w:t xml:space="preserve">The advancements above open a</w:t>
      </w:r>
      <w:r>
        <w:t xml:space="preserve"> </w:t>
      </w:r>
      <w:r>
        <w:rPr>
          <w:b/>
          <w:bCs/>
        </w:rPr>
        <w:t xml:space="preserve">living register</w:t>
      </w:r>
      <w:r>
        <w:t xml:space="preserve"> </w:t>
      </w:r>
      <w:r>
        <w:t xml:space="preserve">of issues to resolve in INFORM Calc Engine v2. Each is</w:t>
      </w:r>
      <w:r>
        <w:t xml:space="preserve"> </w:t>
      </w:r>
      <w:r>
        <w:t xml:space="preserve">recorded with the same discipline: what the workbook (or INFORM) does, what v1 does today, the proposed v2</w:t>
      </w:r>
      <w:r>
        <w:t xml:space="preserve"> </w:t>
      </w:r>
      <w:r>
        <w:t xml:space="preserve">method, and the expected impact. The register runs in four tiers, from</w:t>
      </w:r>
      <w:r>
        <w:t xml:space="preserve"> </w:t>
      </w:r>
      <w:r>
        <w:t xml:space="preserve">“make the standardisation literally</w:t>
      </w:r>
      <w:r>
        <w:t xml:space="preserve"> </w:t>
      </w:r>
      <w:r>
        <w:t xml:space="preserve">match the workbook”</w:t>
      </w:r>
      <w:r>
        <w:t xml:space="preserve"> </w:t>
      </w:r>
      <w:r>
        <w:t xml:space="preserve">to</w:t>
      </w:r>
      <w:r>
        <w:t xml:space="preserve"> </w:t>
      </w:r>
      <w:r>
        <w:t xml:space="preserve">“advance the science of the hazard layers”</w:t>
      </w:r>
      <w:r>
        <w:t xml:space="preserve"> </w:t>
      </w:r>
      <w:r>
        <w:t xml:space="preserve">to</w:t>
      </w:r>
      <w:r>
        <w:t xml:space="preserve"> </w:t>
      </w:r>
      <w:r>
        <w:t xml:space="preserve">“prove the index predicts reality”</w:t>
      </w:r>
      <w:r>
        <w:t xml:space="preserve">.</w:t>
      </w:r>
      <w:r>
        <w:t xml:space="preserve"> </w:t>
      </w:r>
      <w:r>
        <w:t xml:space="preserve">Nothing here changes the v1 engine; each item is implemented only after separate validation.</w:t>
      </w:r>
    </w:p>
    <w:bookmarkStart w:id="21" w:name="Xd3e301540bc4b236e231ccb22749968076aea7c"/>
    <w:p>
      <w:pPr>
        <w:pStyle w:val="Heading2"/>
      </w:pPr>
      <w:r>
        <w:t xml:space="preserve">Tier 1 - Engine fidelity (close the last standardisation gap with the workbook)</w:t>
      </w:r>
    </w:p>
    <w:p>
      <w:pPr>
        <w:pStyle w:val="FirstParagraph"/>
      </w:pPr>
      <w:r>
        <w:t xml:space="preserve">v1 reproduces the workbook’s</w:t>
      </w:r>
      <w:r>
        <w:t xml:space="preserve"> </w:t>
      </w:r>
      <w:r>
        <w:rPr>
          <w:b/>
          <w:bCs/>
        </w:rPr>
        <w:t xml:space="preserve">aggregation</w:t>
      </w:r>
      <w:r>
        <w:t xml:space="preserve"> </w:t>
      </w:r>
      <w:r>
        <w:t xml:space="preserve">exactly - mean, scaled geomean, cube root, verified 0/195. The</w:t>
      </w:r>
      <w:r>
        <w:t xml:space="preserve"> </w:t>
      </w:r>
      <w:r>
        <w:t xml:space="preserve">remaining gap is in the</w:t>
      </w:r>
      <w:r>
        <w:t xml:space="preserve"> </w:t>
      </w:r>
      <w:r>
        <w:rPr>
          <w:b/>
          <w:bCs/>
        </w:rPr>
        <w:t xml:space="preserve">standardisation</w:t>
      </w:r>
      <w:r>
        <w:t xml:space="preserve"> </w:t>
      </w:r>
      <w:r>
        <w:t xml:space="preserve">of our</w:t>
      </w:r>
      <w:r>
        <w:t xml:space="preserve"> </w:t>
      </w:r>
      <w:r>
        <w:rPr>
          <w:i/>
          <w:iCs/>
        </w:rPr>
        <w:t xml:space="preserve">recomputed</w:t>
      </w:r>
      <w:r>
        <w:t xml:space="preserve"> </w:t>
      </w:r>
      <w:r>
        <w:t xml:space="preserve">indicators (the companion</w:t>
      </w:r>
      <w:r>
        <w:t xml:space="preserve"> </w:t>
      </w:r>
      <w:r>
        <w:rPr>
          <w:rStyle w:val="VerbatimChar"/>
        </w:rPr>
        <w:t xml:space="preserve">INFORM_CALCULATION_ENGINE.docx</w:t>
      </w:r>
      <w:r>
        <w:t xml:space="preserve"> </w:t>
      </w:r>
      <w:r>
        <w:t xml:space="preserve">flags A-G). v2 closes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Workbook</w:t>
            </w:r>
          </w:p>
        </w:tc>
        <w:tc>
          <w:tcPr/>
          <w:p>
            <w:pPr>
              <w:pStyle w:val="Compact"/>
            </w:pPr>
            <w:r>
              <w:t xml:space="preserve">v1 today</w:t>
            </w:r>
          </w:p>
        </w:tc>
        <w:tc>
          <w:tcPr/>
          <w:p>
            <w:pPr>
              <w:pStyle w:val="Compact"/>
            </w:pPr>
            <w:r>
              <w:t xml:space="preserve">v2 method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 capping</w:t>
            </w:r>
          </w:p>
        </w:tc>
        <w:tc>
          <w:tcPr/>
          <w:p>
            <w:pPr>
              <w:pStyle w:val="Compact"/>
            </w:pPr>
            <w:r>
              <w:t xml:space="preserve">Tukey Q1-1.5·IQR / Q3+1.5·IQR before min-max, a</w:t>
            </w:r>
            <w:r>
              <w:t xml:space="preserve"> </w:t>
            </w:r>
            <w:r>
              <w:rPr>
                <w:b/>
                <w:bCs/>
              </w:rPr>
              <w:t xml:space="preserve">per-indicator toggle</w:t>
            </w:r>
          </w:p>
        </w:tc>
        <w:tc>
          <w:tcPr/>
          <w:p>
            <w:pPr>
              <w:pStyle w:val="Compact"/>
            </w:pPr>
            <w:r>
              <w:t xml:space="preserve">no cap on recomputed series</w:t>
            </w:r>
          </w:p>
        </w:tc>
        <w:tc>
          <w:tcPr/>
          <w:p>
            <w:pPr>
              <w:pStyle w:val="Compact"/>
            </w:pPr>
            <w:r>
              <w:t xml:space="preserve">replicate the workbook’s exact outlier-detection set; cap to the fence</w:t>
            </w:r>
          </w:p>
        </w:tc>
        <w:tc>
          <w:tcPr/>
          <w:p>
            <w:pPr>
              <w:pStyle w:val="Compact"/>
            </w:pPr>
            <w:r>
              <w:t xml:space="preserve">stops one extreme unit stretching a Tanzania-relative min-max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D/I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range and temporal stability</w:t>
            </w:r>
          </w:p>
        </w:tc>
        <w:tc>
          <w:tcPr/>
          <w:p>
            <w:pPr>
              <w:pStyle w:val="Compact"/>
            </w:pPr>
            <w:r>
              <w:t xml:space="preserve">Data Range</w:t>
            </w:r>
            <w:r>
              <w:t xml:space="preserve"> </w:t>
            </w:r>
            <w:r>
              <w:rPr>
                <w:b/>
                <w:bCs/>
              </w:rPr>
              <w:t xml:space="preserve">or Custom fixed</w:t>
            </w:r>
            <w:r>
              <w:t xml:space="preserve"> </w:t>
            </w: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Data Range over Tanzania</w:t>
            </w:r>
          </w:p>
        </w:tc>
        <w:tc>
          <w:tcPr/>
          <w:p>
            <w:pPr>
              <w:pStyle w:val="Compact"/>
            </w:pPr>
            <w:r>
              <w:t xml:space="preserve">adopt the per-indicator Custom references; use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references for anything tracked over time</w:t>
            </w:r>
          </w:p>
        </w:tc>
        <w:tc>
          <w:tcPr/>
          <w:p>
            <w:pPr>
              <w:pStyle w:val="Compact"/>
            </w:pPr>
            <w:r>
              <w:t xml:space="preserve">a unit’s score stops drifting when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units update - the key to trend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Denominators</w:t>
            </w:r>
          </w:p>
        </w:tc>
        <w:tc>
          <w:tcPr/>
          <w:p>
            <w:pPr>
              <w:pStyle w:val="Compact"/>
            </w:pPr>
            <w:r>
              <w:t xml:space="preserve">explicit per-capita / per-area denominator</w:t>
            </w:r>
          </w:p>
        </w:tc>
        <w:tc>
          <w:tcPr/>
          <w:p>
            <w:pPr>
              <w:pStyle w:val="Compact"/>
            </w:pPr>
            <w:r>
              <w:t xml:space="preserve">rates built directly</w:t>
            </w:r>
          </w:p>
        </w:tc>
        <w:tc>
          <w:tcPr/>
          <w:p>
            <w:pPr>
              <w:pStyle w:val="Compact"/>
            </w:pPr>
            <w:r>
              <w:t xml:space="preserve">verify each denominator matches the workbook</w:t>
            </w:r>
          </w:p>
        </w:tc>
        <w:tc>
          <w:tcPr/>
          <w:p>
            <w:pPr>
              <w:pStyle w:val="Compact"/>
            </w:pPr>
            <w:r>
              <w:t xml:space="preserve">small, indicator-specific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 set</w:t>
            </w:r>
          </w:p>
        </w:tc>
        <w:tc>
          <w:tcPr/>
          <w:p>
            <w:pPr>
              <w:pStyle w:val="Compact"/>
            </w:pPr>
            <w:r>
              <w:t xml:space="preserve">per-indicator Log / Exp / None</w:t>
            </w:r>
          </w:p>
        </w:tc>
        <w:tc>
          <w:tcPr/>
          <w:p>
            <w:pPr>
              <w:pStyle w:val="Compact"/>
            </w:pPr>
            <w:r>
              <w:t xml:space="preserve">Log for density only</w:t>
            </w:r>
          </w:p>
        </w:tc>
        <w:tc>
          <w:tcPr/>
          <w:p>
            <w:pPr>
              <w:pStyle w:val="Compact"/>
            </w:pPr>
            <w:r>
              <w:t xml:space="preserve">match Log/Exp/None indicator-by-indicator</w:t>
            </w:r>
          </w:p>
        </w:tc>
        <w:tc>
          <w:tcPr/>
          <w:p>
            <w:pPr>
              <w:pStyle w:val="Compact"/>
            </w:pPr>
            <w:r>
              <w:t xml:space="preserve">corrects skew handling per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Indicator use-set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useIndicator = Yes/No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null-exclusion</w:t>
            </w:r>
          </w:p>
        </w:tc>
        <w:tc>
          <w:tcPr/>
          <w:p>
            <w:pPr>
              <w:pStyle w:val="Compact"/>
            </w:pPr>
            <w:r>
              <w:t xml:space="preserve">reconcile the exact included-indicator list per dimension</w:t>
            </w:r>
          </w:p>
        </w:tc>
        <w:tc>
          <w:tcPr/>
          <w:p>
            <w:pPr>
              <w:pStyle w:val="Compact"/>
            </w:pPr>
            <w:r>
              <w:t xml:space="preserve">which leaves count in a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breakpoints</w:t>
            </w:r>
          </w:p>
        </w:tc>
        <w:tc>
          <w:tcPr/>
          <w:p>
            <w:pPr>
              <w:pStyle w:val="Compact"/>
            </w:pPr>
            <w:r>
              <w:t xml:space="preserve">per-dimension threshold table</w:t>
            </w:r>
          </w:p>
        </w:tc>
        <w:tc>
          <w:tcPr/>
          <w:p>
            <w:pPr>
              <w:pStyle w:val="Compact"/>
            </w:pPr>
            <w:r>
              <w:t xml:space="preserve">global risk bands</w:t>
            </w:r>
          </w:p>
        </w:tc>
        <w:tc>
          <w:tcPr/>
          <w:p>
            <w:pPr>
              <w:pStyle w:val="Compact"/>
            </w:pPr>
            <w:r>
              <w:t xml:space="preserve">confirm the exact per-dimension breakpoints</w:t>
            </w:r>
          </w:p>
        </w:tc>
        <w:tc>
          <w:tcPr/>
          <w:p>
            <w:pPr>
              <w:pStyle w:val="Compact"/>
            </w:pPr>
            <w:r>
              <w:t xml:space="preserve">class/colour only, not the score</w:t>
            </w:r>
          </w:p>
        </w:tc>
      </w:tr>
    </w:tbl>
    <w:bookmarkStart w:id="20" w:name="X640eb107cfea9e93d7c7d9b7b74e69f01fcd190"/>
    <w:p>
      <w:pPr>
        <w:pStyle w:val="Heading3"/>
      </w:pPr>
      <w:r>
        <w:t xml:space="preserve">Tier 1b - sparse-data fidelity and engine convergence (June 2026 audit)</w:t>
      </w:r>
    </w:p>
    <w:p>
      <w:pPr>
        <w:pStyle w:val="FirstParagraph"/>
      </w:pPr>
      <w:r>
        <w:t xml:space="preserve">A code audit of the two engines - the live</w:t>
      </w:r>
      <w:r>
        <w:t xml:space="preserve"> </w:t>
      </w:r>
      <w:r>
        <w:rPr>
          <w:rStyle w:val="VerbatimChar"/>
        </w:rPr>
        <w:t xml:space="preserve">riskModel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informCalculationEngine</w:t>
      </w:r>
      <w:r>
        <w:t xml:space="preserve"> </w:t>
      </w:r>
      <w:r>
        <w:t xml:space="preserve">-</w:t>
      </w:r>
      <w:r>
        <w:t xml:space="preserve"> </w:t>
      </w:r>
      <w:r>
        <w:t xml:space="preserve">surfaced four fidelity points on sparse or degenerate data. Two were aligned to the workbook</w:t>
      </w:r>
      <w:r>
        <w:t xml:space="preserve"> </w:t>
      </w:r>
      <w:r>
        <w:t xml:space="preserve">immediately (behaviour-neutral on the fully-populated dataset); two remain v2 decisions.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Workbook</w:t>
            </w:r>
          </w:p>
        </w:tc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Now /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 = 0 -&gt; risk</w:t>
            </w:r>
          </w:p>
        </w:tc>
        <w:tc>
          <w:tcPr/>
          <w:p>
            <w:pPr>
              <w:pStyle w:val="Compact"/>
            </w:pPr>
            <w:r>
              <w:t xml:space="preserve">0 (</w:t>
            </w:r>
            <w:r>
              <w:rPr>
                <w:rStyle w:val="VerbatimChar"/>
              </w:rPr>
              <w:t xml:space="preserve">0^(1/3)=0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formal engine returned null via a</w:t>
            </w:r>
            <w:r>
              <w:t xml:space="preserve"> </w:t>
            </w:r>
            <w:r>
              <w:rPr>
                <w:rStyle w:val="VerbatimChar"/>
              </w:rPr>
              <w:t xml:space="preserve">&gt;0</w:t>
            </w:r>
            <w:r>
              <w:t xml:space="preserve"> </w:t>
            </w:r>
            <w:r>
              <w:t xml:space="preserve">guard; the live engine already returned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- guard dropped, both engines now return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weighting</w:t>
            </w:r>
          </w:p>
        </w:tc>
        <w:tc>
          <w:tcPr/>
          <w:p>
            <w:pPr>
              <w:pStyle w:val="Compact"/>
            </w:pPr>
            <w:r>
              <w:t xml:space="preserve">unweighted (equal)</w:t>
            </w:r>
          </w:p>
        </w:tc>
        <w:tc>
          <w:tcPr/>
          <w:p>
            <w:pPr>
              <w:pStyle w:val="Compact"/>
            </w:pPr>
            <w:r>
              <w:t xml:space="preserve">formal engine passed 0.5/0.5 weights into the geomean (identical at equal, divergent if changed)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- dimension geomean hardwired unweighted; weighting is a flagged v2 deviation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whole category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  <w:r>
              <w:t xml:space="preserve"> </w:t>
            </w:r>
            <w:r>
              <w:rPr>
                <w:rStyle w:val="VerbatimChar"/>
              </w:rPr>
              <w:t xml:space="preserve">AVERAGE</w:t>
            </w:r>
            <w:r>
              <w:t xml:space="preserve"> </w:t>
            </w:r>
            <w:r>
              <w:t xml:space="preserve">errors, dimension blanks</w:t>
            </w:r>
          </w:p>
        </w:tc>
        <w:tc>
          <w:tcPr/>
          <w:p>
            <w:pPr>
              <w:pStyle w:val="Compact"/>
            </w:pPr>
            <w:r>
              <w:t xml:space="preserve">both engines degrade to the single present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decision</w:t>
            </w:r>
            <w:r>
              <w:t xml:space="preserve"> </w:t>
            </w:r>
            <w:r>
              <w:t xml:space="preserve">- replicate the blank (strict) or keep the graceful fallback and document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engines of record</w:t>
            </w:r>
          </w:p>
        </w:tc>
        <w:tc>
          <w:tcPr/>
          <w:p>
            <w:pPr>
              <w:pStyle w:val="Compact"/>
            </w:pPr>
            <w:r>
              <w:t xml:space="preserve">one workbook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riskModel</w:t>
            </w:r>
            <w:r>
              <w:t xml:space="preserve"> </w:t>
            </w:r>
            <w:r>
              <w:t xml:space="preserve">and formal</w:t>
            </w:r>
            <w:r>
              <w:t xml:space="preserve"> </w:t>
            </w:r>
            <w:r>
              <w:rPr>
                <w:rStyle w:val="VerbatimChar"/>
              </w:rPr>
              <w:t xml:space="preserve">informCalculationEngine</w:t>
            </w:r>
            <w:r>
              <w:t xml:space="preserve"> </w:t>
            </w:r>
            <w:r>
              <w:t xml:space="preserve">agree on populated data, diverge on edge cases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</w:t>
            </w:r>
            <w:r>
              <w:t xml:space="preserve"> </w:t>
            </w:r>
            <w:r>
              <w:t xml:space="preserve">- the workbook-golden fixture now guards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; converging to one engine is v2</w:t>
            </w:r>
          </w:p>
        </w:tc>
      </w:tr>
    </w:tbl>
    <w:p>
      <w:pPr>
        <w:pStyle w:val="BodyText"/>
      </w:pPr>
      <w:r>
        <w:t xml:space="preserve">Equal weights and full data masked all four; only an explicit audit against the workbook’s own</w:t>
      </w:r>
      <w:r>
        <w:t xml:space="preserve"> </w:t>
      </w:r>
      <w:r>
        <w:t xml:space="preserve">sparse-data behaviour exposes them. The golden fixture (the workbook’s cached rows) is now the</w:t>
      </w:r>
      <w:r>
        <w:t xml:space="preserve"> </w:t>
      </w:r>
      <w:r>
        <w:t xml:space="preserve">regression guard pinning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engines to the workbook.</w:t>
      </w:r>
    </w:p>
    <w:bookmarkEnd w:id="20"/>
    <w:bookmarkEnd w:id="21"/>
    <w:bookmarkStart w:id="22" w:name="X29f4525e1c0f84775e5cb09be55fe22d2bbf44a"/>
    <w:p>
      <w:pPr>
        <w:pStyle w:val="Heading2"/>
      </w:pPr>
      <w:r>
        <w:t xml:space="preserve">Tier 2 - Hazard evidence (apply the drought template to every documented overlay)</w:t>
      </w:r>
    </w:p>
    <w:p>
      <w:pPr>
        <w:pStyle w:val="FirstParagraph"/>
      </w:pPr>
      <w:r>
        <w:t xml:space="preserve">Several hazards are still</w:t>
      </w:r>
      <w:r>
        <w:t xml:space="preserve"> </w:t>
      </w:r>
      <w:r>
        <w:rPr>
          <w:b/>
          <w:bCs/>
        </w:rPr>
        <w:t xml:space="preserve">documented overlays</w:t>
      </w:r>
      <w:r>
        <w:t xml:space="preserve"> </w:t>
      </w:r>
      <w:r>
        <w:t xml:space="preserve">(expert-placed, not computed). v2 advances each the way</w:t>
      </w:r>
      <w:r>
        <w:t xml:space="preserve"> </w:t>
      </w:r>
      <w:r>
        <w:t xml:space="preserve">drought was advanced - computed from an authoritative observational product, standardised by the unchanged</w:t>
      </w:r>
      <w:r>
        <w:t xml:space="preserve"> </w:t>
      </w:r>
      <w:r>
        <w:t xml:space="preserve">engine, applied</w:t>
      </w:r>
      <w:r>
        <w:t xml:space="preserve"> </w:t>
      </w:r>
      <w:r>
        <w:rPr>
          <w:b/>
          <w:bCs/>
        </w:rPr>
        <w:t xml:space="preserve">raise-only</w:t>
      </w:r>
      <w:r>
        <w:t xml:space="preserve"> </w:t>
      </w:r>
      <w:r>
        <w:rPr>
          <w:i/>
          <w:iCs/>
        </w:rPr>
        <w:t xml:space="preserve">[October 2026: as members of the Advancement layer, never as floors on the Core]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</w:t>
            </w:r>
          </w:p>
        </w:tc>
        <w:tc>
          <w:tcPr/>
          <w:p>
            <w:pPr>
              <w:pStyle w:val="Compact"/>
            </w:pPr>
            <w:r>
              <w:t xml:space="preserve">v1 overlay</w:t>
            </w:r>
          </w:p>
        </w:tc>
        <w:tc>
          <w:tcPr/>
          <w:p>
            <w:pPr>
              <w:pStyle w:val="Compact"/>
            </w:pPr>
            <w:r>
              <w:t xml:space="preserve">v2 evidence</w:t>
            </w:r>
          </w:p>
        </w:tc>
        <w:tc>
          <w:tcPr/>
          <w:p>
            <w:pPr>
              <w:pStyle w:val="Compact"/>
            </w:pPr>
            <w:r>
              <w:t xml:space="preserve">Standard 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Earthquake</w:t>
            </w:r>
          </w:p>
        </w:tc>
        <w:tc>
          <w:tcPr/>
          <w:p>
            <w:pPr>
              <w:pStyle w:val="Compact"/>
            </w:pPr>
            <w:r>
              <w:t xml:space="preserve">rift-proximity</w:t>
            </w:r>
          </w:p>
        </w:tc>
        <w:tc>
          <w:tcPr/>
          <w:p>
            <w:pPr>
              <w:pStyle w:val="Compact"/>
            </w:pPr>
            <w:r>
              <w:t xml:space="preserve">probabilistic seismic hazard</w:t>
            </w:r>
          </w:p>
        </w:tc>
        <w:tc>
          <w:tcPr/>
          <w:p>
            <w:pPr>
              <w:pStyle w:val="Compact"/>
            </w:pPr>
            <w:r>
              <w:t xml:space="preserve">PGA at 475-yr return period</w:t>
            </w:r>
          </w:p>
        </w:tc>
        <w:tc>
          <w:tcPr/>
          <w:p>
            <w:pPr>
              <w:pStyle w:val="Compact"/>
            </w:pPr>
            <w:r>
              <w:t xml:space="preserve">USGS / GEM / GSHAP [13]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</w:t>
            </w:r>
          </w:p>
        </w:tc>
        <w:tc>
          <w:tcPr/>
          <w:p>
            <w:pPr>
              <w:pStyle w:val="Compact"/>
            </w:pPr>
            <w:r>
              <w:t xml:space="preserve">event counts × exposure</w:t>
            </w:r>
          </w:p>
        </w:tc>
        <w:tc>
          <w:tcPr/>
          <w:p>
            <w:pPr>
              <w:pStyle w:val="Compact"/>
            </w:pPr>
            <w:r>
              <w:t xml:space="preserve">return-period inundation</w:t>
            </w:r>
          </w:p>
        </w:tc>
        <w:tc>
          <w:tcPr/>
          <w:p>
            <w:pPr>
              <w:pStyle w:val="Compact"/>
            </w:pPr>
            <w:r>
              <w:t xml:space="preserve">1-in-100-yr flood extent/depth</w:t>
            </w:r>
          </w:p>
        </w:tc>
        <w:tc>
          <w:tcPr/>
          <w:p>
            <w:pPr>
              <w:pStyle w:val="Compact"/>
            </w:pPr>
            <w:r>
              <w:t xml:space="preserve">JRC GloFAS / global flood maps [14]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Wildfire</w:t>
            </w:r>
          </w:p>
        </w:tc>
        <w:tc>
          <w:tcPr/>
          <w:p>
            <w:pPr>
              <w:pStyle w:val="Compact"/>
            </w:pPr>
            <w:r>
              <w:t xml:space="preserve">miombo dry-season</w:t>
            </w:r>
          </w:p>
        </w:tc>
        <w:tc>
          <w:tcPr/>
          <w:p>
            <w:pPr>
              <w:pStyle w:val="Compact"/>
            </w:pPr>
            <w:r>
              <w:t xml:space="preserve">active-fire + burned-area climatology</w:t>
            </w:r>
          </w:p>
        </w:tc>
        <w:tc>
          <w:tcPr/>
          <w:p>
            <w:pPr>
              <w:pStyle w:val="Compact"/>
            </w:pPr>
            <w:r>
              <w:t xml:space="preserve">annual fire density</w:t>
            </w:r>
          </w:p>
        </w:tc>
        <w:tc>
          <w:tcPr/>
          <w:p>
            <w:pPr>
              <w:pStyle w:val="Compact"/>
            </w:pPr>
            <w:r>
              <w:t xml:space="preserve">MODIS/VIIRS MCD64 [15]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 / violence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event intensity and fatalities</w:t>
            </w:r>
          </w:p>
        </w:tc>
        <w:tc>
          <w:tcPr/>
          <w:p>
            <w:pPr>
              <w:pStyle w:val="Compact"/>
            </w:pPr>
            <w:r>
              <w:t xml:space="preserve">ACLED event rate</w:t>
            </w:r>
          </w:p>
        </w:tc>
        <w:tc>
          <w:tcPr/>
          <w:p>
            <w:pPr>
              <w:pStyle w:val="Compact"/>
            </w:pPr>
            <w:r>
              <w:t xml:space="preserve">ACLED [16]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Lightning</w:t>
            </w:r>
          </w:p>
        </w:tc>
        <w:tc>
          <w:tcPr/>
          <w:p>
            <w:pPr>
              <w:pStyle w:val="Compact"/>
            </w:pPr>
            <w:r>
              <w:t xml:space="preserve">Lake Victoria overlay</w:t>
            </w:r>
          </w:p>
        </w:tc>
        <w:tc>
          <w:tcPr/>
          <w:p>
            <w:pPr>
              <w:pStyle w:val="Compact"/>
            </w:pPr>
            <w:r>
              <w:t xml:space="preserve">flash-density grid</w:t>
            </w:r>
          </w:p>
        </w:tc>
        <w:tc>
          <w:tcPr/>
          <w:p>
            <w:pPr>
              <w:pStyle w:val="Compact"/>
            </w:pPr>
            <w:r>
              <w:t xml:space="preserve">flashes km^-2 yr^-1</w:t>
            </w:r>
          </w:p>
        </w:tc>
        <w:tc>
          <w:tcPr/>
          <w:p>
            <w:pPr>
              <w:pStyle w:val="Compact"/>
            </w:pPr>
            <w:r>
              <w:t xml:space="preserve">NASA LIS/OTD [17]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Storms / cyclone</w:t>
            </w:r>
          </w:p>
        </w:tc>
        <w:tc>
          <w:tcPr/>
          <w:p>
            <w:pPr>
              <w:pStyle w:val="Compact"/>
            </w:pPr>
            <w:r>
              <w:t xml:space="preserve">documented coastal</w:t>
            </w:r>
          </w:p>
        </w:tc>
        <w:tc>
          <w:tcPr/>
          <w:p>
            <w:pPr>
              <w:pStyle w:val="Compact"/>
            </w:pPr>
            <w:r>
              <w:t xml:space="preserve">track density / return period</w:t>
            </w:r>
          </w:p>
        </w:tc>
        <w:tc>
          <w:tcPr/>
          <w:p>
            <w:pPr>
              <w:pStyle w:val="Compact"/>
            </w:pPr>
            <w:r>
              <w:t xml:space="preserve">cyclone passage frequency</w:t>
            </w:r>
          </w:p>
        </w:tc>
        <w:tc>
          <w:tcPr/>
          <w:p>
            <w:pPr>
              <w:pStyle w:val="Compact"/>
            </w:pPr>
            <w:r>
              <w:t xml:space="preserve">IBTrACS [18]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Heatwave</w:t>
            </w:r>
          </w:p>
        </w:tc>
        <w:tc>
          <w:tcPr/>
          <w:p>
            <w:pPr>
              <w:pStyle w:val="Compact"/>
            </w:pPr>
            <w:r>
              <w:t xml:space="preserve">ERA5 climatology, capped</w:t>
            </w:r>
          </w:p>
        </w:tc>
        <w:tc>
          <w:tcPr/>
          <w:p>
            <w:pPr>
              <w:pStyle w:val="Compact"/>
            </w:pPr>
            <w:r>
              <w:t xml:space="preserve">heat-health threshold days</w:t>
            </w:r>
          </w:p>
        </w:tc>
        <w:tc>
          <w:tcPr/>
          <w:p>
            <w:pPr>
              <w:pStyle w:val="Compact"/>
            </w:pPr>
            <w:r>
              <w:t xml:space="preserve">days &gt; 90th-pct Tmax; WBGT</w:t>
            </w:r>
          </w:p>
        </w:tc>
        <w:tc>
          <w:tcPr/>
          <w:p>
            <w:pPr>
              <w:pStyle w:val="Compact"/>
            </w:pPr>
            <w:r>
              <w:t xml:space="preserve">ERA5 + heat-health [19]</w:t>
            </w:r>
          </w:p>
        </w:tc>
      </w:tr>
    </w:tbl>
    <w:bookmarkEnd w:id="22"/>
    <w:bookmarkStart w:id="23" w:name="Xd3c75fb4465274c559a4d15f3546d19a5fb94a9"/>
    <w:p>
      <w:pPr>
        <w:pStyle w:val="Heading2"/>
      </w:pPr>
      <w:r>
        <w:t xml:space="preserve">Tier 3 - Exposure and vulnerability resolution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v1 today</w:t>
            </w:r>
          </w:p>
        </w:tc>
        <w:tc>
          <w:tcPr/>
          <w:p>
            <w:pPr>
              <w:pStyle w:val="Compact"/>
            </w:pPr>
            <w:r>
              <w:t xml:space="preserve">v2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Hazard-specific exposure</w:t>
            </w:r>
          </w:p>
        </w:tc>
        <w:tc>
          <w:tcPr/>
          <w:p>
            <w:pPr>
              <w:pStyle w:val="Compact"/>
            </w:pPr>
            <w:r>
              <w:t xml:space="preserve">one population-density layer multiplies every hazard</w:t>
            </w:r>
          </w:p>
        </w:tc>
        <w:tc>
          <w:tcPr/>
          <w:p>
            <w:pPr>
              <w:pStyle w:val="Compact"/>
            </w:pPr>
            <w:r>
              <w:t xml:space="preserve">pair each hazard with its own exposure - drought with cropland, livestock and rural population; flood with floodplain population - not generic density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Council-resolution vulnerability</w:t>
            </w:r>
          </w:p>
        </w:tc>
        <w:tc>
          <w:tcPr/>
          <w:p>
            <w:pPr>
              <w:pStyle w:val="Compact"/>
            </w:pPr>
            <w:r>
              <w:t xml:space="preserve">195 councils inherit district survey values</w:t>
            </w:r>
          </w:p>
        </w:tc>
        <w:tc>
          <w:tcPr/>
          <w:p>
            <w:pPr>
              <w:pStyle w:val="Compact"/>
            </w:pPr>
            <w:r>
              <w:t xml:space="preserve">small-area estimation (model-based) for council-level vulnerability where surveys allow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food security</w:t>
            </w:r>
          </w:p>
        </w:tc>
        <w:tc>
          <w:tcPr/>
          <w:p>
            <w:pPr>
              <w:pStyle w:val="Compact"/>
            </w:pPr>
            <w:r>
              <w:t xml:space="preserve">IPC/MUCHALI entered per round</w:t>
            </w:r>
          </w:p>
        </w:tc>
        <w:tc>
          <w:tcPr/>
          <w:p>
            <w:pPr>
              <w:pStyle w:val="Compact"/>
            </w:pPr>
            <w:r>
              <w:t xml:space="preserve">automated IPC-round ingestion so livelihoods refreshes itself</w:t>
            </w:r>
          </w:p>
        </w:tc>
      </w:tr>
    </w:tbl>
    <w:bookmarkEnd w:id="23"/>
    <w:bookmarkStart w:id="24" w:name="X3341492e1858b3b654f465a1966e79d3b6b1991"/>
    <w:p>
      <w:pPr>
        <w:pStyle w:val="Heading2"/>
      </w:pPr>
      <w:r>
        <w:t xml:space="preserve">Tier 4 - Methodology and validation (scientific credibility)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v1 today</w:t>
            </w:r>
          </w:p>
        </w:tc>
        <w:tc>
          <w:tcPr/>
          <w:p>
            <w:pPr>
              <w:pStyle w:val="Compact"/>
            </w:pPr>
            <w:r>
              <w:t xml:space="preserve">v2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 gating</w:t>
            </w:r>
          </w:p>
        </w:tc>
        <w:tc>
          <w:tcPr/>
          <w:p>
            <w:pPr>
              <w:pStyle w:val="Compact"/>
            </w:pPr>
            <w:r>
              <w:t xml:space="preserve">data-coverage % shown, not enforced</w:t>
            </w:r>
          </w:p>
        </w:tc>
        <w:tc>
          <w:tcPr/>
          <w:p>
            <w:pPr>
              <w:pStyle w:val="Compact"/>
            </w:pPr>
            <w:r>
              <w:t xml:space="preserve">a confidence tier per unit; annotate or suppress scores below a minimum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point scores</w:t>
            </w:r>
          </w:p>
        </w:tc>
        <w:tc>
          <w:tcPr/>
          <w:p>
            <w:pPr>
              <w:pStyle w:val="Compact"/>
            </w:pPr>
            <w:r>
              <w:t xml:space="preserve">propagate input uncertainty (CHIRPS error, survey sampling) to a risk</w:t>
            </w:r>
            <w:r>
              <w:t xml:space="preserve"> </w:t>
            </w:r>
            <w:r>
              <w:rPr>
                <w:b/>
                <w:bCs/>
              </w:rPr>
              <w:t xml:space="preserve">band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face validity vs IPC geography</w:t>
            </w:r>
          </w:p>
        </w:tc>
        <w:tc>
          <w:tcPr/>
          <w:p>
            <w:pPr>
              <w:pStyle w:val="Compact"/>
            </w:pPr>
            <w:r>
              <w:t xml:space="preserve">quantitative validation against observed losses and displacement (EM-DAT, DesInventar Tanzania) [20]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drought weights an explicit choice</w:t>
            </w:r>
          </w:p>
        </w:tc>
        <w:tc>
          <w:tcPr/>
          <w:p>
            <w:pPr>
              <w:pStyle w:val="Compact"/>
            </w:pPr>
            <w:r>
              <w:t xml:space="preserve">full sensitivity analysis of which indicators and weights move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Weighting (deviation-flagged)</w:t>
            </w:r>
          </w:p>
        </w:tc>
        <w:tc>
          <w:tcPr/>
          <w:p>
            <w:pPr>
              <w:pStyle w:val="Compact"/>
            </w:pPr>
            <w:r>
              <w:t xml:space="preserve">equal weights within a category (INFORM default)</w:t>
            </w:r>
          </w:p>
        </w:tc>
        <w:tc>
          <w:tcPr/>
          <w:p>
            <w:pPr>
              <w:pStyle w:val="Compact"/>
            </w:pPr>
            <w:r>
              <w:t xml:space="preserve">explore expert/data-driven weights as a</w:t>
            </w:r>
            <w:r>
              <w:t xml:space="preserve"> </w:t>
            </w:r>
            <w:r>
              <w:rPr>
                <w:b/>
                <w:bCs/>
              </w:rPr>
              <w:t xml:space="preserve">separate, validated</w:t>
            </w:r>
            <w:r>
              <w:t xml:space="preserve"> </w:t>
            </w:r>
            <w:r>
              <w:t xml:space="preserve">option - never silently</w:t>
            </w:r>
          </w:p>
        </w:tc>
      </w:tr>
    </w:tbl>
    <w:bookmarkEnd w:id="24"/>
    <w:bookmarkEnd w:id="25"/>
    <w:bookmarkStart w:id="26" w:name="cross-cutting-insights-for-v2"/>
    <w:p>
      <w:pPr>
        <w:pStyle w:val="Heading1"/>
      </w:pPr>
      <w:r>
        <w:t xml:space="preserve">9. Cross-cutting insights for v2</w:t>
      </w:r>
    </w:p>
    <w:p>
      <w:pPr>
        <w:pStyle w:val="FirstParagraph"/>
      </w:pPr>
      <w:r>
        <w:t xml:space="preserve">Three insights run across the register and shape the v2 design.</w:t>
      </w:r>
    </w:p>
    <w:p>
      <w:pPr>
        <w:pStyle w:val="BodyText"/>
      </w:pPr>
      <w:r>
        <w:rPr>
          <w:b/>
          <w:bCs/>
        </w:rPr>
        <w:t xml:space="preserve">1. Temporal comparability is a reference-range problem.</w:t>
      </w:r>
      <w:r>
        <w:t xml:space="preserve"> </w:t>
      </w:r>
      <w:r>
        <w:t xml:space="preserve">A Data-Range min-max re-standardises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unit whenever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unit’s data changes, so a district’s score can move even when its own reality did not.</w:t>
      </w:r>
      <w:r>
        <w:t xml:space="preserve"> </w:t>
      </w:r>
      <w:r>
        <w:t xml:space="preserve">For a model meant to answer</w:t>
      </w:r>
      <w:r>
        <w:t xml:space="preserve"> </w:t>
      </w:r>
      <w:r>
        <w:t xml:space="preserve">“is this place getting riskier?”</w:t>
      </w:r>
      <w:r>
        <w:t xml:space="preserve">, that is a defect. v2’s adoption of</w:t>
      </w:r>
      <w:r>
        <w:t xml:space="preserve"> </w:t>
      </w:r>
      <w:r>
        <w:rPr>
          <w:b/>
          <w:bCs/>
        </w:rPr>
        <w:t xml:space="preserve">fixed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ranges</w:t>
      </w:r>
      <w:r>
        <w:t xml:space="preserve"> </w:t>
      </w:r>
      <w:r>
        <w:t xml:space="preserve">(Tier 1, #D/I) is therefore not cosmetic - it is what makes year-on-year and</w:t>
      </w:r>
      <w:r>
        <w:t xml:space="preserve"> </w:t>
      </w:r>
      <w:r>
        <w:t xml:space="preserve">pre/post-intervention comparison valid. This is the single most consequential engine-fidelity decision.</w:t>
      </w:r>
    </w:p>
    <w:p>
      <w:pPr>
        <w:pStyle w:val="BodyText"/>
      </w:pPr>
      <w:r>
        <w:rPr>
          <w:b/>
          <w:bCs/>
        </w:rPr>
        <w:t xml:space="preserve">2. Exposure must be hazard-specific or it misleads.</w:t>
      </w:r>
      <w:r>
        <w:t xml:space="preserve"> </w:t>
      </w:r>
      <w:r>
        <w:t xml:space="preserve">v1 multiplies hazards by one population-density</w:t>
      </w:r>
      <w:r>
        <w:t xml:space="preserve"> </w:t>
      </w:r>
      <w:r>
        <w:t xml:space="preserve">layer. But drought’s exposure is</w:t>
      </w:r>
      <w:r>
        <w:t xml:space="preserve"> </w:t>
      </w:r>
      <w:r>
        <w:rPr>
          <w:b/>
          <w:bCs/>
        </w:rPr>
        <w:t xml:space="preserve">agricultural</w:t>
      </w:r>
      <w:r>
        <w:t xml:space="preserve"> </w:t>
      </w:r>
      <w:r>
        <w:t xml:space="preserve">- cropland, livestock, rural livelihoods - not urban</w:t>
      </w:r>
      <w:r>
        <w:t xml:space="preserve"> </w:t>
      </w:r>
      <w:r>
        <w:t xml:space="preserve">population; a dense coastal city is highly</w:t>
      </w:r>
      <w:r>
        <w:t xml:space="preserve"> </w:t>
      </w:r>
      <w:r>
        <w:rPr>
          <w:i/>
          <w:iCs/>
        </w:rPr>
        <w:t xml:space="preserve">flood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heat</w:t>
      </w:r>
      <w:r>
        <w:t xml:space="preserve"> </w:t>
      </w:r>
      <w:r>
        <w:t xml:space="preserve">exposed but not</w:t>
      </w:r>
      <w:r>
        <w:t xml:space="preserve"> </w:t>
      </w:r>
      <w:r>
        <w:rPr>
          <w:i/>
          <w:iCs/>
        </w:rPr>
        <w:t xml:space="preserve">drought</w:t>
      </w:r>
      <w:r>
        <w:t xml:space="preserve"> </w:t>
      </w:r>
      <w:r>
        <w:t xml:space="preserve">exposed. Using a</w:t>
      </w:r>
      <w:r>
        <w:t xml:space="preserve"> </w:t>
      </w:r>
      <w:r>
        <w:t xml:space="preserve">single exposure layer is exactly what produced the Dar-es-Salaam drought artifact (Table 2). Hazard-specific</w:t>
      </w:r>
      <w:r>
        <w:t xml:space="preserve"> </w:t>
      </w:r>
      <w:r>
        <w:t xml:space="preserve">exposure (Tier 3) is the structural fix behind that symptom, not a cosmetic one.</w:t>
      </w:r>
    </w:p>
    <w:p>
      <w:pPr>
        <w:pStyle w:val="BodyText"/>
      </w:pPr>
      <w:r>
        <w:rPr>
          <w:b/>
          <w:bCs/>
        </w:rPr>
        <w:t xml:space="preserve">3. A risk index is only as credible as its validation.</w:t>
      </w:r>
      <w:r>
        <w:t xml:space="preserve"> </w:t>
      </w:r>
      <w:r>
        <w:t xml:space="preserve">The drought advancement is justified by face</w:t>
      </w:r>
      <w:r>
        <w:t xml:space="preserve"> </w:t>
      </w:r>
      <w:r>
        <w:t xml:space="preserve">validity against IPC/MUCHALI geography; that is necessary but not sufficient. v2 must validate the risk</w:t>
      </w:r>
      <w:r>
        <w:t xml:space="preserve"> </w:t>
      </w:r>
      <w:r>
        <w:t xml:space="preserve">score</w:t>
      </w:r>
      <w:r>
        <w:t xml:space="preserve"> </w:t>
      </w:r>
      <w:r>
        <w:rPr>
          <w:b/>
          <w:bCs/>
        </w:rPr>
        <w:t xml:space="preserve">quantitatively</w:t>
      </w:r>
      <w:r>
        <w:t xml:space="preserve"> </w:t>
      </w:r>
      <w:r>
        <w:t xml:space="preserve">against independent outcomes - recorded disaster losses, displacement,</w:t>
      </w:r>
      <w:r>
        <w:t xml:space="preserve"> </w:t>
      </w:r>
      <w:r>
        <w:t xml:space="preserve">food-insecurity caseloads - so</w:t>
      </w:r>
      <w:r>
        <w:t xml:space="preserve"> </w:t>
      </w:r>
      <w:r>
        <w:t xml:space="preserve">“risk”</w:t>
      </w:r>
      <w:r>
        <w:t xml:space="preserve"> </w:t>
      </w:r>
      <w:r>
        <w:t xml:space="preserve">is demonstrably predictive, not merely plausible. Without this, every</w:t>
      </w:r>
      <w:r>
        <w:t xml:space="preserve"> </w:t>
      </w:r>
      <w:r>
        <w:t xml:space="preserve">advancement is an assertion; with it, the model earns operational trust.</w:t>
      </w:r>
    </w:p>
    <w:p>
      <w:pPr>
        <w:pStyle w:val="BodyText"/>
      </w:pPr>
      <w:r>
        <w:t xml:space="preserve">Stable references, hazard-specific exposure, and outcome validation are the backbone of INFORM Calc</w:t>
      </w:r>
      <w:r>
        <w:t xml:space="preserve"> </w:t>
      </w:r>
      <w:r>
        <w:t xml:space="preserve">Engine v2.</w:t>
      </w:r>
    </w:p>
    <w:bookmarkEnd w:id="26"/>
    <w:bookmarkStart w:id="27" w:name="limitations-of-this-proposal"/>
    <w:p>
      <w:pPr>
        <w:pStyle w:val="Heading1"/>
      </w:pPr>
      <w:r>
        <w:t xml:space="preserve">10. Limitations of this proposal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Weights</w:t>
      </w:r>
      <w:r>
        <w:t xml:space="preserve"> </w:t>
      </w:r>
      <w:r>
        <w:t xml:space="preserve">for the drought blend (0.30/0.20/0.15/0.35) are an explicit modelling choice; the sensitivity</w:t>
      </w:r>
      <w:r>
        <w:t xml:space="preserve"> </w:t>
      </w:r>
      <w:r>
        <w:t xml:space="preserve">analysis (Tier 4) is what will defend or revise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Raise-only</w:t>
      </w:r>
      <w:r>
        <w:t xml:space="preserve"> </w:t>
      </w:r>
      <w:r>
        <w:t xml:space="preserve">is honest but asymmetric: it cannot correct a documented-but-too-high value (the Dar</w:t>
      </w:r>
      <w:r>
        <w:t xml:space="preserve"> </w:t>
      </w:r>
      <w:r>
        <w:t xml:space="preserve">artifact), which is handled separately as a Data-Entry correction, not an advancement.</w:t>
      </w:r>
      <w:r>
        <w:t xml:space="preserve"> </w:t>
      </w:r>
      <w:r>
        <w:rPr>
          <w:i/>
          <w:iCs/>
        </w:rPr>
        <w:t xml:space="preserve">[Resolved by</w:t>
      </w:r>
      <w:r>
        <w:rPr>
          <w:i/>
          <w:iCs/>
        </w:rPr>
        <w:t xml:space="preserve"> </w:t>
      </w:r>
      <w:r>
        <w:rPr>
          <w:i/>
          <w:iCs/>
        </w:rPr>
        <w:t xml:space="preserve">withdrawing the rule: the Core is the workbook and the Advancement layer is shown beside it.]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register is not exhaustive</w:t>
      </w:r>
      <w:r>
        <w:t xml:space="preserve"> </w:t>
      </w:r>
      <w:r>
        <w:t xml:space="preserve">and is expected to grow; it is a working backlog, not a finished spec.</w:t>
      </w:r>
    </w:p>
    <w:p>
      <w:pPr>
        <w:pStyle w:val="Compact"/>
        <w:numPr>
          <w:ilvl w:val="0"/>
          <w:numId w:val="1005"/>
        </w:numPr>
      </w:pPr>
      <w:r>
        <w:t xml:space="preserve">Every Tier-2/3/4 item is</w:t>
      </w:r>
      <w:r>
        <w:t xml:space="preserve"> </w:t>
      </w:r>
      <w:r>
        <w:rPr>
          <w:b/>
          <w:bCs/>
        </w:rPr>
        <w:t xml:space="preserve">unvalidated</w:t>
      </w:r>
      <w:r>
        <w:t xml:space="preserve"> </w:t>
      </w:r>
      <w:r>
        <w:t xml:space="preserve">until its own evidence passes review - listing it here is a</w:t>
      </w:r>
      <w:r>
        <w:t xml:space="preserve"> </w:t>
      </w:r>
      <w:r>
        <w:t xml:space="preserve">commitment to test it, not a claim that it is already right.</w:t>
      </w:r>
    </w:p>
    <w:bookmarkEnd w:id="27"/>
    <w:bookmarkStart w:id="2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INFORM (2024).</w:t>
      </w:r>
      <w:r>
        <w:t xml:space="preserve"> </w:t>
      </w:r>
      <w:r>
        <w:rPr>
          <w:i/>
          <w:iCs/>
        </w:rPr>
        <w:t xml:space="preserve">INFORM Subnational Risk Index - SADC</w:t>
      </w:r>
      <w:r>
        <w:t xml:space="preserve">. Disaster Risk Management Knowledge Centre / Joint Research Centre, European Commission.</w:t>
      </w:r>
      <w:r>
        <w:t xml:space="preserve"> </w:t>
      </w:r>
      <w:r>
        <w:t xml:space="preserve">[2] Funk, C. et al. (2015). The climate hazards infrared precipitation with stations - a new environmental record for monitoring extremes.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2, 150066.</w:t>
      </w:r>
      <w:r>
        <w:t xml:space="preserve"> </w:t>
      </w:r>
      <w:r>
        <w:t xml:space="preserve">[3] Hersbach, H. et al. (2020). The ERA5 global reanalysis.</w:t>
      </w:r>
      <w:r>
        <w:t xml:space="preserve"> </w:t>
      </w:r>
      <w:r>
        <w:rPr>
          <w:i/>
          <w:iCs/>
        </w:rPr>
        <w:t xml:space="preserve">Quarterly Journal of the Royal Meteorological Society</w:t>
      </w:r>
      <w:r>
        <w:t xml:space="preserve"> </w:t>
      </w:r>
      <w:r>
        <w:t xml:space="preserve">146, 1999-2049.</w:t>
      </w:r>
      <w:r>
        <w:t xml:space="preserve"> </w:t>
      </w:r>
      <w:r>
        <w:t xml:space="preserve">[4] Zargar, A. et al. (2011). A review of drought indices.</w:t>
      </w:r>
      <w:r>
        <w:t xml:space="preserve"> </w:t>
      </w:r>
      <w:r>
        <w:rPr>
          <w:i/>
          <w:iCs/>
        </w:rPr>
        <w:t xml:space="preserve">Environmental Reviews</w:t>
      </w:r>
      <w:r>
        <w:t xml:space="preserve"> </w:t>
      </w:r>
      <w:r>
        <w:t xml:space="preserve">19, 333-349.</w:t>
      </w:r>
      <w:r>
        <w:t xml:space="preserve"> </w:t>
      </w:r>
      <w:r>
        <w:t xml:space="preserve">[5] WMO (2012).</w:t>
      </w:r>
      <w:r>
        <w:t xml:space="preserve"> </w:t>
      </w:r>
      <w:r>
        <w:rPr>
          <w:i/>
          <w:iCs/>
        </w:rPr>
        <w:t xml:space="preserve">Standardized Precipitation Index User Guide</w:t>
      </w:r>
      <w:r>
        <w:t xml:space="preserve"> </w:t>
      </w:r>
      <w:r>
        <w:t xml:space="preserve">(WMO-No. 1090).</w:t>
      </w:r>
      <w:r>
        <w:t xml:space="preserve"> </w:t>
      </w:r>
      <w:r>
        <w:t xml:space="preserve">[6] UNEP (1992).</w:t>
      </w:r>
      <w:r>
        <w:t xml:space="preserve"> </w:t>
      </w:r>
      <w:r>
        <w:rPr>
          <w:i/>
          <w:iCs/>
        </w:rPr>
        <w:t xml:space="preserve">World Atlas of Desertification</w:t>
      </w:r>
      <w:r>
        <w:t xml:space="preserve">. United Nations Environment Programme.</w:t>
      </w:r>
      <w:r>
        <w:t xml:space="preserve"> </w:t>
      </w:r>
      <w:r>
        <w:t xml:space="preserve">[7] Middleton, N. &amp; Thomas, D. (1997).</w:t>
      </w:r>
      <w:r>
        <w:t xml:space="preserve"> </w:t>
      </w:r>
      <w:r>
        <w:rPr>
          <w:i/>
          <w:iCs/>
        </w:rPr>
        <w:t xml:space="preserve">World Atlas of Desertification</w:t>
      </w:r>
      <w:r>
        <w:t xml:space="preserve">, 2nd ed. UNEP.</w:t>
      </w:r>
      <w:r>
        <w:t xml:space="preserve"> </w:t>
      </w:r>
      <w:r>
        <w:t xml:space="preserve">[8] Nicholson, S. E. (2017). Climate and climatic variability of rainfall over eastern Africa.</w:t>
      </w:r>
      <w:r>
        <w:t xml:space="preserve"> </w:t>
      </w:r>
      <w:r>
        <w:rPr>
          <w:i/>
          <w:iCs/>
        </w:rPr>
        <w:t xml:space="preserve">Reviews of Geophysics</w:t>
      </w:r>
      <w:r>
        <w:t xml:space="preserve"> </w:t>
      </w:r>
      <w:r>
        <w:t xml:space="preserve">55, 590-635.</w:t>
      </w:r>
      <w:r>
        <w:t xml:space="preserve"> </w:t>
      </w:r>
      <w:r>
        <w:t xml:space="preserve">[9] Lyon, B. &amp; DeWitt, D. G. (2012). A recent and abrupt decline in the East African long rains.</w:t>
      </w:r>
      <w:r>
        <w:t xml:space="preserve"> </w:t>
      </w:r>
      <w:r>
        <w:rPr>
          <w:i/>
          <w:iCs/>
        </w:rPr>
        <w:t xml:space="preserve">Geophysical Research Letters</w:t>
      </w:r>
      <w:r>
        <w:t xml:space="preserve"> </w:t>
      </w:r>
      <w:r>
        <w:t xml:space="preserve">39, L02702.</w:t>
      </w:r>
      <w:r>
        <w:t xml:space="preserve"> </w:t>
      </w:r>
      <w:r>
        <w:t xml:space="preserve">[10] Thornthwaite, C. W. (1948). An approach toward a rational classification of climate.</w:t>
      </w:r>
      <w:r>
        <w:t xml:space="preserve"> </w:t>
      </w:r>
      <w:r>
        <w:rPr>
          <w:i/>
          <w:iCs/>
        </w:rPr>
        <w:t xml:space="preserve">Geographical Review</w:t>
      </w:r>
      <w:r>
        <w:t xml:space="preserve"> </w:t>
      </w:r>
      <w:r>
        <w:t xml:space="preserve">38, 55-94.</w:t>
      </w:r>
      <w:r>
        <w:t xml:space="preserve"> </w:t>
      </w:r>
      <w:r>
        <w:t xml:space="preserve">[11] Vicente-Serrano, S. M., Begueria, S. &amp; Lopez-Moreno, J. I. (2010). A multiscalar drought index sensitive to global warming: the SPEI.</w:t>
      </w:r>
      <w:r>
        <w:t xml:space="preserve"> </w:t>
      </w:r>
      <w:r>
        <w:rPr>
          <w:i/>
          <w:iCs/>
        </w:rPr>
        <w:t xml:space="preserve">Journal of Climate</w:t>
      </w:r>
      <w:r>
        <w:t xml:space="preserve"> </w:t>
      </w:r>
      <w:r>
        <w:t xml:space="preserve">23, 1696-1718.</w:t>
      </w:r>
      <w:r>
        <w:t xml:space="preserve"> </w:t>
      </w:r>
      <w:r>
        <w:t xml:space="preserve">[12] McKee, T. B., Doesken, N. J. &amp; Kleist, J. (1993). The relationship of drought frequency and duration to time scales.</w:t>
      </w:r>
      <w:r>
        <w:t xml:space="preserve"> </w:t>
      </w:r>
      <w:r>
        <w:rPr>
          <w:i/>
          <w:iCs/>
        </w:rPr>
        <w:t xml:space="preserve">Proc. 8th Conf. on Applied Climatology</w:t>
      </w:r>
      <w:r>
        <w:t xml:space="preserve">, 179-184.</w:t>
      </w:r>
      <w:r>
        <w:t xml:space="preserve"> </w:t>
      </w:r>
      <w:r>
        <w:t xml:space="preserve">[13] Pagani, M. et al. (2018). Global Earthquake Model (GEM) seismic hazard map; Giardini, D. et al. (1999). The GSHAP global seismic hazard map.</w:t>
      </w:r>
      <w:r>
        <w:t xml:space="preserve"> </w:t>
      </w:r>
      <w:r>
        <w:rPr>
          <w:i/>
          <w:iCs/>
        </w:rPr>
        <w:t xml:space="preserve">Annali di Geofisica</w:t>
      </w:r>
      <w:r>
        <w:t xml:space="preserve"> </w:t>
      </w:r>
      <w:r>
        <w:t xml:space="preserve">42, 1225-1230.</w:t>
      </w:r>
      <w:r>
        <w:t xml:space="preserve"> </w:t>
      </w:r>
      <w:r>
        <w:t xml:space="preserve">[14] Dottori, F. et al. (2016). Development and evaluation of a framework for global flood hazard mapping.</w:t>
      </w:r>
      <w:r>
        <w:t xml:space="preserve"> </w:t>
      </w:r>
      <w:r>
        <w:rPr>
          <w:i/>
          <w:iCs/>
        </w:rPr>
        <w:t xml:space="preserve">Advances in Water Resources</w:t>
      </w:r>
      <w:r>
        <w:t xml:space="preserve"> </w:t>
      </w:r>
      <w:r>
        <w:t xml:space="preserve">94, 87-102 (JRC GloFAS).</w:t>
      </w:r>
      <w:r>
        <w:t xml:space="preserve"> </w:t>
      </w:r>
      <w:r>
        <w:t xml:space="preserve">[15] Giglio, L. et al. (2018). The Collection 6 MODIS burned area mapping algorithm and product (MCD64A1).</w:t>
      </w:r>
      <w:r>
        <w:t xml:space="preserve"> </w:t>
      </w:r>
      <w:r>
        <w:rPr>
          <w:i/>
          <w:iCs/>
        </w:rPr>
        <w:t xml:space="preserve">Remote Sensing of Environment</w:t>
      </w:r>
      <w:r>
        <w:t xml:space="preserve"> </w:t>
      </w:r>
      <w:r>
        <w:t xml:space="preserve">217, 72-85.</w:t>
      </w:r>
      <w:r>
        <w:t xml:space="preserve"> </w:t>
      </w:r>
      <w:r>
        <w:t xml:space="preserve">[16] Raleigh, C. et al. (2010). Introducing ACLED: an Armed Conflict Location and Event Dataset.</w:t>
      </w:r>
      <w:r>
        <w:t xml:space="preserve"> </w:t>
      </w:r>
      <w:r>
        <w:rPr>
          <w:i/>
          <w:iCs/>
        </w:rPr>
        <w:t xml:space="preserve">Journal of Peace Research</w:t>
      </w:r>
      <w:r>
        <w:t xml:space="preserve"> </w:t>
      </w:r>
      <w:r>
        <w:t xml:space="preserve">47, 651-660.</w:t>
      </w:r>
      <w:r>
        <w:t xml:space="preserve"> </w:t>
      </w:r>
      <w:r>
        <w:t xml:space="preserve">[17] Albrecht, R. I. et al. (2016). Where are the lightning hotspots on Earth?</w:t>
      </w:r>
      <w:r>
        <w:t xml:space="preserve"> </w:t>
      </w:r>
      <w:r>
        <w:rPr>
          <w:i/>
          <w:iCs/>
        </w:rPr>
        <w:t xml:space="preserve">Bulletin of the American Meteorological Society</w:t>
      </w:r>
      <w:r>
        <w:t xml:space="preserve"> </w:t>
      </w:r>
      <w:r>
        <w:t xml:space="preserve">97, 2051-2068 (LIS/OTD).</w:t>
      </w:r>
      <w:r>
        <w:t xml:space="preserve"> </w:t>
      </w:r>
      <w:r>
        <w:t xml:space="preserve">[18] Knapp, K. R. et al. (2010). The International Best Track Archive for Climate Stewardship (IBTrACS).</w:t>
      </w:r>
      <w:r>
        <w:t xml:space="preserve"> </w:t>
      </w:r>
      <w:r>
        <w:rPr>
          <w:i/>
          <w:iCs/>
        </w:rPr>
        <w:t xml:space="preserve">Bulletin of the American Meteorological Society</w:t>
      </w:r>
      <w:r>
        <w:t xml:space="preserve"> </w:t>
      </w:r>
      <w:r>
        <w:t xml:space="preserve">91, 363-376.</w:t>
      </w:r>
      <w:r>
        <w:t xml:space="preserve"> </w:t>
      </w:r>
      <w:r>
        <w:t xml:space="preserve">[19] Mora, C. et al. (2017). Global risk of deadly heat.</w:t>
      </w:r>
      <w:r>
        <w:t xml:space="preserve"> </w:t>
      </w:r>
      <w:r>
        <w:rPr>
          <w:i/>
          <w:iCs/>
        </w:rPr>
        <w:t xml:space="preserve">Nature Climate Change</w:t>
      </w:r>
      <w:r>
        <w:t xml:space="preserve"> </w:t>
      </w:r>
      <w:r>
        <w:t xml:space="preserve">7, 501-506.</w:t>
      </w:r>
      <w:r>
        <w:t xml:space="preserve"> </w:t>
      </w:r>
      <w:r>
        <w:t xml:space="preserve">[20] Guha-Sapir, D., Below, R. &amp; Hoyois, P. EM-DAT: The CRED/OFDA International Disaster Database; UNDRR DesInventar Sendai disaster-loss database.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Advancing the INFORM Hazard Evidence for Tanzania while Preserving the INFORM Engine: a CHIRPS/ERA5/NBS multi-criteria drought case study</dc:title>
  <dc:creator>INFORM Tanzania (inform.co.tz)</dc:creator>
  <cp:keywords/>
  <dcterms:created xsi:type="dcterms:W3CDTF">2026-10-09T17:38:09Z</dcterms:created>
  <dcterms:modified xsi:type="dcterms:W3CDTF">2026-10-09T17:38:09Z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2026-06-03, corrected 2026-10-09</vt:lpwstr>
  </property>
</Properties>
</file>