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INFORM Tanzania - Local Data Integration Plan</w:t>
      </w:r>
    </w:p>
    <w:p>
      <w:pPr>
        <w:pStyle w:val="Author"/>
      </w:pPr>
      <w:r>
        <w:t xml:space="preserve">Federated, spec-driven, transparent - built from the workbook, not invented</w:t>
      </w:r>
    </w:p>
    <w:p>
      <w:pPr>
        <w:pStyle w:val="Date"/>
      </w:pPr>
      <w:r>
        <w:t xml:space="preserve">Version 1.0 (blueprint; build follows)</w:t>
      </w:r>
    </w:p>
    <w:p>
      <w:pPr>
        <w:pStyle w:val="BlockText"/>
      </w:pPr>
      <w:r>
        <w:rPr>
          <w:b/>
          <w:bCs/>
        </w:rPr>
        <w:t xml:space="preserve">What this document is.</w:t>
      </w:r>
      <w:r>
        <w:t xml:space="preserve"> </w:t>
      </w:r>
      <w:r>
        <w:t xml:space="preserve">The blueprint for positioning the model to receive authentic Tanzanian</w:t>
      </w:r>
      <w:r>
        <w:t xml:space="preserve"> </w:t>
      </w:r>
      <w:r>
        <w:t xml:space="preserve">local data - per indicator, at 195-council scale, with sensitive-data sovereignty and full</w:t>
      </w:r>
      <w:r>
        <w:t xml:space="preserve"> </w:t>
      </w:r>
      <w:r>
        <w:t xml:space="preserve">transparency - while keeping the INFORM engine exactly as the workbook. Everything here is grounded</w:t>
      </w:r>
      <w:r>
        <w:t xml:space="preserve"> </w:t>
      </w:r>
      <w:r>
        <w:t xml:space="preserve">in the actual</w:t>
      </w:r>
      <w:r>
        <w:t xml:space="preserve"> </w:t>
      </w:r>
      <w:r>
        <w:rPr>
          <w:i/>
          <w:iCs/>
        </w:rPr>
        <w:t xml:space="preserve">Tanzania - Country Model Template</w:t>
      </w:r>
      <w:r>
        <w:t xml:space="preserve"> </w:t>
      </w:r>
      <w:r>
        <w:t xml:space="preserve">workbook and proven against it. Nothing is invented.</w:t>
      </w:r>
      <w:r>
        <w:t xml:space="preserve"> </w:t>
      </w:r>
      <w:r>
        <w:t xml:space="preserve">This is document 5 of the set (Manual, Exact-formula, Paper/v2, Procedures,</w:t>
      </w:r>
      <w:r>
        <w:t xml:space="preserve"> </w:t>
      </w:r>
      <w:r>
        <w:rPr>
          <w:b/>
          <w:bCs/>
        </w:rPr>
        <w:t xml:space="preserve">Plan</w:t>
      </w:r>
      <w:r>
        <w:t xml:space="preserve">).</w:t>
      </w:r>
    </w:p>
    <w:p>
      <w:pPr>
        <w:pStyle w:val="BlockText"/>
      </w:pPr>
      <w:r>
        <w:rPr>
          <w:b/>
          <w:bCs/>
        </w:rPr>
        <w:t xml:space="preserve">Status, October 2026.</w:t>
      </w:r>
      <w:r>
        <w:t xml:space="preserve"> </w:t>
      </w:r>
      <w:r>
        <w:t xml:space="preserve">Phases 1 to 5 are built: the standardiser from the workbook specification,</w:t>
      </w:r>
      <w:r>
        <w:t xml:space="preserve"> </w:t>
      </w:r>
      <w:r>
        <w:t xml:space="preserve">the raw layer, data entry in natural units (or 0-10 scores by the INFORM method with a citable source),</w:t>
      </w:r>
      <w:r>
        <w:t xml:space="preserve"> </w:t>
      </w:r>
      <w:r>
        <w:t xml:space="preserve">Supabase submission and review by the owning institution’s chain, and provenance on every value. The</w:t>
      </w:r>
      <w:r>
        <w:t xml:space="preserve"> </w:t>
      </w:r>
      <w:r>
        <w:t xml:space="preserve">sector tools of Phase 6 exist and await regeneration. Two guardrails in Section 8 were superseded by</w:t>
      </w:r>
      <w:r>
        <w:t xml:space="preserve"> </w:t>
      </w:r>
      <w:r>
        <w:t xml:space="preserve">the integrity assessment of October 2026 (</w:t>
      </w:r>
      <w:r>
        <w:rPr>
          <w:rStyle w:val="VerbatimChar"/>
        </w:rPr>
        <w:t xml:space="preserve">docs/assessment/</w:t>
      </w:r>
      <w:r>
        <w:t xml:space="preserve">): there is</w:t>
      </w:r>
      <w:r>
        <w:t xml:space="preserve"> </w:t>
      </w:r>
      <w:r>
        <w:rPr>
          <w:b/>
          <w:bCs/>
        </w:rPr>
        <w:t xml:space="preserve">no</w:t>
      </w:r>
      <w:r>
        <w:rPr>
          <w:b/>
          <w:bCs/>
        </w:rPr>
        <w:t xml:space="preserve"> </w:t>
      </w:r>
      <w:r>
        <w:rPr>
          <w:b/>
          <w:bCs/>
        </w:rPr>
        <w:t xml:space="preserve">“official”</w:t>
      </w:r>
      <w:r>
        <w:rPr>
          <w:b/>
          <w:bCs/>
        </w:rPr>
        <w:t xml:space="preserve"> </w:t>
      </w:r>
      <w:r>
        <w:rPr>
          <w:b/>
          <w:bCs/>
        </w:rPr>
        <w:t xml:space="preserve">national</w:t>
      </w:r>
      <w:r>
        <w:rPr>
          <w:b/>
          <w:bCs/>
        </w:rPr>
        <w:t xml:space="preserve"> </w:t>
      </w:r>
      <w:r>
        <w:rPr>
          <w:b/>
          <w:bCs/>
        </w:rPr>
        <w:t xml:space="preserve">figure</w:t>
      </w:r>
      <w:r>
        <w:t xml:space="preserve"> </w:t>
      </w:r>
      <w:r>
        <w:t xml:space="preserve">(the national value is the INFORM aggregate of the 195 councils, 3.8 on the Core, labelled as</w:t>
      </w:r>
      <w:r>
        <w:t xml:space="preserve"> </w:t>
      </w:r>
      <w:r>
        <w:t xml:space="preserve">not an official INFORM figure) and there is</w:t>
      </w:r>
      <w:r>
        <w:t xml:space="preserve"> </w:t>
      </w:r>
      <w:r>
        <w:rPr>
          <w:b/>
          <w:bCs/>
        </w:rPr>
        <w:t xml:space="preserve">no raise-only rule</w:t>
      </w:r>
      <w:r>
        <w:t xml:space="preserve"> </w:t>
      </w:r>
      <w:r>
        <w:t xml:space="preserve">(the Core carries the workbook values</w:t>
      </w:r>
      <w:r>
        <w:t xml:space="preserve"> </w:t>
      </w:r>
      <w:r>
        <w:t xml:space="preserve">and approved institutional values only; every other Tanzanian addition is a separate Advancement layer).</w:t>
      </w:r>
    </w:p>
    <w:p>
      <w:r>
        <w:pict>
          <v:rect style="width:0;height:1.5pt" o:hralign="center" o:hrstd="t" o:hr="t"/>
        </w:pict>
      </w:r>
    </w:p>
    <w:bookmarkStart w:id="9" w:name="principles-non-negotiable"/>
    <w:p>
      <w:pPr>
        <w:pStyle w:val="Heading1"/>
      </w:pPr>
      <w:r>
        <w:t xml:space="preserve">0. Principles (non-negotiable)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Build from the Excel, do not invent.</w:t>
      </w:r>
      <w:r>
        <w:t xml:space="preserve"> </w:t>
      </w:r>
      <w:r>
        <w:t xml:space="preserve">Every denominator, transform, reference, sign and Use flag</w:t>
      </w:r>
      <w:r>
        <w:t xml:space="preserve"> </w:t>
      </w:r>
      <w:r>
        <w:t xml:space="preserve">is extracted from the workbook (</w:t>
      </w:r>
      <w:r>
        <w:rPr>
          <w:rStyle w:val="VerbatimChar"/>
        </w:rPr>
        <w:t xml:space="preserve">data-source/inform_indicator_spec.csv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engine stays exactly INFORM.</w:t>
      </w:r>
      <w:r>
        <w:t xml:space="preserve"> </w:t>
      </w:r>
      <w:r>
        <w:t xml:space="preserve">Aggregation (component AVERAGE, dimension scaled GEOMEAN, risk</w:t>
      </w:r>
      <w:r>
        <w:t xml:space="preserve"> </w:t>
      </w:r>
      <w:r>
        <w:t xml:space="preserve">cube-root) is unchanged and remains verified 0/195. We add a</w:t>
      </w:r>
      <w:r>
        <w:t xml:space="preserve"> </w:t>
      </w:r>
      <w:r>
        <w:rPr>
          <w:i/>
          <w:iCs/>
        </w:rPr>
        <w:t xml:space="preserve">standardiser in front of it</w:t>
      </w:r>
      <w:r>
        <w:t xml:space="preserve">, never</w:t>
      </w:r>
      <w:r>
        <w:t xml:space="preserve"> </w:t>
      </w:r>
      <w:r>
        <w:t xml:space="preserve">inside it.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Raw in, engine standardises.</w:t>
      </w:r>
      <w:r>
        <w:t xml:space="preserve"> </w:t>
      </w:r>
      <w:r>
        <w:t xml:space="preserve">Sectors provide actual values in natural units; the model produces</w:t>
      </w:r>
      <w:r>
        <w:t xml:space="preserve"> </w:t>
      </w:r>
      <w:r>
        <w:t xml:space="preserve">the 0-10. Sectors are never asked to hand over a score.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Fixed references.</w:t>
      </w:r>
      <w:r>
        <w:t xml:space="preserve"> </w:t>
      </w:r>
      <w:r>
        <w:t xml:space="preserve">The reference for each indicator is fixed (self-contained), not a live data</w:t>
      </w:r>
      <w:r>
        <w:t xml:space="preserve"> </w:t>
      </w:r>
      <w:r>
        <w:t xml:space="preserve">range - the single decision that unlocks 195, any-unit, and sensitive-safe submission.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Federated and transparent.</w:t>
      </w:r>
      <w:r>
        <w:t xml:space="preserve"> </w:t>
      </w:r>
      <w:r>
        <w:t xml:space="preserve">Sensitive raw stays at the ministry; the system holds and discloses</w:t>
      </w:r>
      <w:r>
        <w:t xml:space="preserve"> </w:t>
      </w:r>
      <w:r>
        <w:t xml:space="preserve">the indicator, its provenance, its standardisation, and its change history.</w:t>
      </w:r>
    </w:p>
    <w:p>
      <w:r>
        <w:pict>
          <v:rect style="width:0;height:1.5pt" o:hralign="center" o:hrstd="t" o:hr="t"/>
        </w:pict>
      </w:r>
    </w:p>
    <w:bookmarkEnd w:id="9"/>
    <w:bookmarkStart w:id="13" w:name="X531d4a5cd0d8b2c6e2616a3d7de99122beb1d56"/>
    <w:p>
      <w:pPr>
        <w:pStyle w:val="Heading1"/>
      </w:pPr>
      <w:r>
        <w:t xml:space="preserve">1. The foundation we established (proven from the workbook)</w:t>
      </w:r>
    </w:p>
    <w:bookmarkStart w:id="10" w:name="the-keying-in-spec"/>
    <w:p>
      <w:pPr>
        <w:pStyle w:val="Heading2"/>
      </w:pPr>
      <w:r>
        <w:t xml:space="preserve">1.1 The keying-in spec</w:t>
      </w:r>
    </w:p>
    <w:p>
      <w:pPr>
        <w:pStyle w:val="FirstParagraph"/>
      </w:pPr>
      <w:r>
        <w:t xml:space="preserve">The workbook keys in</w:t>
      </w:r>
      <w:r>
        <w:t xml:space="preserve"> </w:t>
      </w:r>
      <w:r>
        <w:rPr>
          <w:b/>
          <w:bCs/>
        </w:rPr>
        <w:t xml:space="preserve">78 raw indicators</w:t>
      </w:r>
      <w:r>
        <w:t xml:space="preserve">,</w:t>
      </w:r>
      <w:r>
        <w:t xml:space="preserve"> </w:t>
      </w:r>
      <w:r>
        <w:rPr>
          <w:b/>
          <w:bCs/>
        </w:rPr>
        <w:t xml:space="preserve">53 used</w:t>
      </w:r>
      <w:r>
        <w:t xml:space="preserve"> </w:t>
      </w:r>
      <w:r>
        <w:t xml:space="preserve">(</w:t>
      </w:r>
      <w:r>
        <w:rPr>
          <w:rStyle w:val="VerbatimChar"/>
        </w:rPr>
        <w:t xml:space="preserve">Use indicator? = Yes</w:t>
      </w:r>
      <w:r>
        <w:t xml:space="preserve">), in natural units: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Resolution:</w:t>
      </w:r>
      <w:r>
        <w:t xml:space="preserve"> </w:t>
      </w:r>
      <w:r>
        <w:t xml:space="preserve">6 at Adm2 (district), 31 at Adm1 (region), 16 at National.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Denominator:</w:t>
      </w:r>
      <w:r>
        <w:t xml:space="preserve"> </w:t>
      </w:r>
      <w:r>
        <w:t xml:space="preserve">only 1 (health-facility density / population); the rest are already rates/indices.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Transform:</w:t>
      </w:r>
      <w:r>
        <w:t xml:space="preserve"> </w:t>
      </w:r>
      <w:r>
        <w:t xml:space="preserve">47 None, 6 Logarithm (</w:t>
      </w:r>
      <w:r>
        <w:rPr>
          <w:rStyle w:val="VerbatimChar"/>
        </w:rPr>
        <w:t xml:space="preserve">LN(0.001 + x)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Reference:</w:t>
      </w:r>
      <w:r>
        <w:t xml:space="preserve"> </w:t>
      </w:r>
      <w:r>
        <w:t xml:space="preserve">36 Data-range (computed Min/Max), 17 Custom (fixed pair).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Sign:</w:t>
      </w:r>
      <w:r>
        <w:t xml:space="preserve"> </w:t>
      </w:r>
      <w:r>
        <w:t xml:space="preserve">Hazard/Vulnerability = Increase; all Coping = Decrease (inverted).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Combining:</w:t>
      </w:r>
      <w:r>
        <w:t xml:space="preserve"> </w:t>
      </w:r>
      <w:r>
        <w:t xml:space="preserve">several raw average into one component (Children Health = 4, Access-to-Health = 6).</w:t>
      </w:r>
    </w:p>
    <w:p>
      <w:pPr>
        <w:pStyle w:val="FirstParagraph"/>
      </w:pPr>
      <w:r>
        <w:t xml:space="preserve">Captured verbatim in</w:t>
      </w:r>
      <w:r>
        <w:t xml:space="preserve"> </w:t>
      </w:r>
      <w:r>
        <w:rPr>
          <w:rStyle w:val="VerbatimChar"/>
        </w:rPr>
        <w:t xml:space="preserve">data-source/inform_indicator_spec.csv</w:t>
      </w:r>
      <w:r>
        <w:t xml:space="preserve"> </w:t>
      </w:r>
      <w:r>
        <w:t xml:space="preserve">(every column above).</w:t>
      </w:r>
    </w:p>
    <w:bookmarkEnd w:id="10"/>
    <w:bookmarkStart w:id="11" w:name="Xc75e85d4c2c6ac0e81f5f96a5dfa697a454acb5"/>
    <w:p>
      <w:pPr>
        <w:pStyle w:val="Heading2"/>
      </w:pPr>
      <w:r>
        <w:t xml:space="preserve">1.2 The standardisation pipeline (exact formulas)</w:t>
      </w:r>
    </w:p>
    <w:p>
      <w:pPr>
        <w:pStyle w:val="SourceCode"/>
      </w:pPr>
      <w:r>
        <w:rPr>
          <w:rStyle w:val="VerbatimChar"/>
        </w:rPr>
        <w:t xml:space="preserve">①  RAW VALUE        sector keys the actual number (e.g. drought 11 years, underweight 18%)</w:t>
      </w:r>
      <w:r>
        <w:br/>
      </w:r>
      <w:r>
        <w:rPr>
          <w:rStyle w:val="VerbatimChar"/>
        </w:rPr>
        <w:t xml:space="preserve">②  DENOMINATOR      value = raw / denominator        (SUBDIVISIONS pop/area/GDP; mostly None)</w:t>
      </w:r>
      <w:r>
        <w:br/>
      </w:r>
      <w:r>
        <w:rPr>
          <w:rStyle w:val="VerbatimChar"/>
        </w:rPr>
        <w:t xml:space="preserve">③  OUTLIER CAP      if Outlier=Yes: x = MAX(MIN(value, Q3+1.5IQR), Q1-1.5IQR)</w:t>
      </w:r>
      <w:r>
        <w:br/>
      </w:r>
      <w:r>
        <w:rPr>
          <w:rStyle w:val="VerbatimChar"/>
        </w:rPr>
        <w:t xml:space="preserve">④  TRANSFORM        None | Logarithm LN(0.001+x) | Exponential EXP(x)</w:t>
      </w:r>
      <w:r>
        <w:br/>
      </w:r>
      <w:r>
        <w:rPr>
          <w:rStyle w:val="VerbatimChar"/>
        </w:rPr>
        <w:t xml:space="preserve">⑤  MIN-MAX -&gt; 0-10  MAX(0, MIN(10, ROUND(</w:t>
      </w:r>
      <w:r>
        <w:br/>
      </w:r>
      <w:r>
        <w:rPr>
          <w:rStyle w:val="VerbatimChar"/>
        </w:rPr>
        <w:t xml:space="preserve">                      IF(Decrease, 10 - 10*(x-Min)/(Max-Min), 10*(x-Min)/(Max-Min)), 1)))</w:t>
      </w:r>
      <w:r>
        <w:br/>
      </w:r>
      <w:r>
        <w:rPr>
          <w:rStyle w:val="VerbatimChar"/>
        </w:rPr>
        <w:t xml:space="preserve">                      Min/Max = data-range (computed) OR custom (fixed)</w:t>
      </w:r>
      <w:r>
        <w:br/>
      </w:r>
      <w:r>
        <w:rPr>
          <w:rStyle w:val="VerbatimChar"/>
        </w:rPr>
        <w:t xml:space="preserve">⑥  COMPONENT        = AVERAGEIFS(processed indicators, Use="Yes")</w:t>
      </w:r>
      <w:r>
        <w:br/>
      </w:r>
      <w:r>
        <w:rPr>
          <w:rStyle w:val="VerbatimChar"/>
        </w:rPr>
        <w:t xml:space="preserve">⑦  CATEGORY         = AVERAGE(components)</w:t>
      </w:r>
      <w:r>
        <w:br/>
      </w:r>
      <w:r>
        <w:rPr>
          <w:rStyle w:val="VerbatimChar"/>
        </w:rPr>
        <w:t xml:space="preserve">⑧  DIMENSION        = ROUND((10 - GEOMEAN((10-c)/10*9+1 ...))/9*10, 1)</w:t>
      </w:r>
      <w:r>
        <w:br/>
      </w:r>
      <w:r>
        <w:rPr>
          <w:rStyle w:val="VerbatimChar"/>
        </w:rPr>
        <w:t xml:space="preserve">⑨  RISK             = ROUND(H^(1/3) * V^(1/3) * LCC^(1/3), 1)</w:t>
      </w:r>
    </w:p>
    <w:p>
      <w:pPr>
        <w:pStyle w:val="FirstParagraph"/>
      </w:pPr>
      <w:r>
        <w:t xml:space="preserve">Stages 6-9 are the engine already verified 0/195. Stages 2-5 are the standardiser our live app lacks.</w:t>
      </w:r>
    </w:p>
    <w:bookmarkEnd w:id="11"/>
    <w:bookmarkStart w:id="12" w:name="the-proof"/>
    <w:p>
      <w:pPr>
        <w:pStyle w:val="Heading2"/>
      </w:pPr>
      <w:r>
        <w:t xml:space="preserve">1.3 The proof</w:t>
      </w:r>
    </w:p>
    <w:p>
      <w:pPr>
        <w:pStyle w:val="FirstParagraph"/>
      </w:pPr>
      <w:r>
        <w:rPr>
          <w:rStyle w:val="VerbatimChar"/>
        </w:rPr>
        <w:t xml:space="preserve">standardise(raw, spec)</w:t>
      </w:r>
      <w:r>
        <w:t xml:space="preserve"> </w:t>
      </w:r>
      <w:r>
        <w:t xml:space="preserve">reproduces the workbook’s 0-10 with</w:t>
      </w:r>
      <w:r>
        <w:t xml:space="preserve"> </w:t>
      </w:r>
      <w:r>
        <w:rPr>
          <w:b/>
          <w:bCs/>
        </w:rPr>
        <w:t xml:space="preserve">zero mismatch across all 170 districts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Indicator</w:t>
            </w:r>
          </w:p>
        </w:tc>
        <w:tc>
          <w:tcPr/>
          <w:p>
            <w:pPr>
              <w:pStyle w:val="Compact"/>
            </w:pPr>
            <w:r>
              <w:t xml:space="preserve">Reference</w:t>
            </w:r>
          </w:p>
        </w:tc>
        <w:tc>
          <w:tcPr/>
          <w:p>
            <w:pPr>
              <w:pStyle w:val="Compact"/>
            </w:pPr>
            <w:r>
              <w:t xml:space="preserve">Transform</w:t>
            </w:r>
          </w:p>
        </w:tc>
        <w:tc>
          <w:tcPr/>
          <w:p>
            <w:pPr>
              <w:pStyle w:val="Compact"/>
            </w:pPr>
            <w:r>
              <w:t xml:space="preserve">Sign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Drought frequency</w:t>
            </w:r>
          </w:p>
        </w:tc>
        <w:tc>
          <w:tcPr/>
          <w:p>
            <w:pPr>
              <w:pStyle w:val="Compact"/>
            </w:pPr>
            <w:r>
              <w:t xml:space="preserve">data-range[5,19]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Increase</w:t>
            </w:r>
          </w:p>
        </w:tc>
        <w:tc>
          <w:tcPr/>
          <w:p>
            <w:pPr>
              <w:pStyle w:val="Compact"/>
            </w:pPr>
            <w:r>
              <w:t xml:space="preserve">170/170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Children Underweight</w:t>
            </w:r>
          </w:p>
        </w:tc>
        <w:tc>
          <w:tcPr/>
          <w:p>
            <w:pPr>
              <w:pStyle w:val="Compact"/>
            </w:pPr>
            <w:r>
              <w:t xml:space="preserve">data-range[6.2,20]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Increase</w:t>
            </w:r>
          </w:p>
        </w:tc>
        <w:tc>
          <w:tcPr/>
          <w:p>
            <w:pPr>
              <w:pStyle w:val="Compact"/>
            </w:pPr>
            <w:r>
              <w:t xml:space="preserve">170/170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Flood exposure</w:t>
            </w:r>
          </w:p>
        </w:tc>
        <w:tc>
          <w:tcPr/>
          <w:p>
            <w:pPr>
              <w:pStyle w:val="Compact"/>
            </w:pPr>
            <w:r>
              <w:t xml:space="preserve">data-range[-6.9,-1.15]</w:t>
            </w:r>
          </w:p>
        </w:tc>
        <w:tc>
          <w:tcPr/>
          <w:p>
            <w:pPr>
              <w:pStyle w:val="Compact"/>
            </w:pPr>
            <w:r>
              <w:t xml:space="preserve">Log</w:t>
            </w:r>
          </w:p>
        </w:tc>
        <w:tc>
          <w:tcPr/>
          <w:p>
            <w:pPr>
              <w:pStyle w:val="Compact"/>
            </w:pPr>
            <w:r>
              <w:t xml:space="preserve">Increase</w:t>
            </w:r>
          </w:p>
        </w:tc>
        <w:tc>
          <w:tcPr/>
          <w:p>
            <w:pPr>
              <w:pStyle w:val="Compact"/>
            </w:pPr>
            <w:r>
              <w:t xml:space="preserve">169/169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Deforestation</w:t>
            </w:r>
          </w:p>
        </w:tc>
        <w:tc>
          <w:tcPr/>
          <w:p>
            <w:pPr>
              <w:pStyle w:val="Compact"/>
            </w:pPr>
            <w:r>
              <w:t xml:space="preserve">data-range[-6.9,-1.0]</w:t>
            </w:r>
          </w:p>
        </w:tc>
        <w:tc>
          <w:tcPr/>
          <w:p>
            <w:pPr>
              <w:pStyle w:val="Compact"/>
            </w:pPr>
            <w:r>
              <w:t xml:space="preserve">Log</w:t>
            </w:r>
          </w:p>
        </w:tc>
        <w:tc>
          <w:tcPr/>
          <w:p>
            <w:pPr>
              <w:pStyle w:val="Compact"/>
            </w:pPr>
            <w:r>
              <w:t xml:space="preserve">Increase</w:t>
            </w:r>
          </w:p>
        </w:tc>
        <w:tc>
          <w:tcPr/>
          <w:p>
            <w:pPr>
              <w:pStyle w:val="Compact"/>
            </w:pPr>
            <w:r>
              <w:t xml:space="preserve">169/169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Government effectiveness</w:t>
            </w:r>
          </w:p>
        </w:tc>
        <w:tc>
          <w:tcPr/>
          <w:p>
            <w:pPr>
              <w:pStyle w:val="Compact"/>
            </w:pPr>
            <w:r>
              <w:t xml:space="preserve">custom[-1.7,0.8]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Decrease</w:t>
            </w:r>
          </w:p>
        </w:tc>
        <w:tc>
          <w:tcPr/>
          <w:p>
            <w:pPr>
              <w:pStyle w:val="Compact"/>
            </w:pPr>
            <w:r>
              <w:t xml:space="preserve">170/170</w:t>
            </w:r>
          </w:p>
        </w:tc>
      </w:tr>
    </w:tbl>
    <w:p>
      <w:pPr>
        <w:pStyle w:val="BodyText"/>
      </w:pPr>
      <w:r>
        <w:rPr>
          <w:b/>
          <w:bCs/>
        </w:rPr>
        <w:t xml:space="preserve">Rechecked across all 53 used indicators, every district: 8664/8664 = 100.00%</w:t>
      </w:r>
      <w:r>
        <w:t xml:space="preserve"> </w:t>
      </w:r>
      <w:r>
        <w:t xml:space="preserve">with Excel half-up</w:t>
      </w:r>
      <w:r>
        <w:t xml:space="preserve"> </w:t>
      </w:r>
      <w:r>
        <w:t xml:space="preserve">rounding (the 1 degenerate</w:t>
      </w:r>
      <w:r>
        <w:t xml:space="preserve"> </w:t>
      </w:r>
      <w:r>
        <w:rPr>
          <w:rStyle w:val="VerbatimChar"/>
        </w:rPr>
        <w:t xml:space="preserve">custom[0,0]</w:t>
      </w:r>
      <w:r>
        <w:t xml:space="preserve"> </w:t>
      </w:r>
      <w:r>
        <w:t xml:space="preserve">indicator and 1 all-</w:t>
      </w:r>
      <w:r>
        <w:t xml:space="preserve">“No data”</w:t>
      </w:r>
      <w:r>
        <w:t xml:space="preserve"> </w:t>
      </w:r>
      <w:r>
        <w:t xml:space="preserve">indicator are caught by the</w:t>
      </w:r>
      <w:r>
        <w:t xml:space="preserve"> </w:t>
      </w:r>
      <w:r>
        <w:t xml:space="preserve">diagnostics, not failures). The spec is a</w:t>
      </w:r>
      <w:r>
        <w:t xml:space="preserve"> </w:t>
      </w:r>
      <w:r>
        <w:rPr>
          <w:b/>
          <w:bCs/>
        </w:rPr>
        <w:t xml:space="preserve">provably exact</w:t>
      </w:r>
      <w:r>
        <w:t xml:space="preserve"> </w:t>
      </w:r>
      <w:r>
        <w:t xml:space="preserve">foundation. Two build requirements surfaced</w:t>
      </w:r>
      <w:r>
        <w:t xml:space="preserve"> </w:t>
      </w:r>
      <w:r>
        <w:t xml:space="preserve">from the recheck: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Excel half-up rounding</w:t>
      </w:r>
      <w:r>
        <w:t xml:space="preserve"> </w:t>
      </w:r>
      <w:r>
        <w:t xml:space="preserve">(</w:t>
      </w:r>
      <w:r>
        <w:rPr>
          <w:rStyle w:val="VerbatimChar"/>
        </w:rPr>
        <w:t xml:space="preserve">ROUND(5.25,1)=5.3</w:t>
      </w:r>
      <w:r>
        <w:t xml:space="preserve">) - JS</w:t>
      </w:r>
      <w:r>
        <w:t xml:space="preserve"> </w:t>
      </w:r>
      <w:r>
        <w:rPr>
          <w:rStyle w:val="VerbatimChar"/>
        </w:rPr>
        <w:t xml:space="preserve">Math.round</w:t>
      </w:r>
      <w:r>
        <w:t xml:space="preserve"> </w:t>
      </w:r>
      <w:r>
        <w:t xml:space="preserve">already does this; a naive Python</w:t>
      </w:r>
      <w:r>
        <w:t xml:space="preserve"> </w:t>
      </w:r>
      <w:r>
        <w:rPr>
          <w:rStyle w:val="VerbatimChar"/>
        </w:rPr>
        <w:t xml:space="preserve">round()</w:t>
      </w:r>
      <w:r>
        <w:t xml:space="preserve"> </w:t>
      </w:r>
      <w:r>
        <w:t xml:space="preserve">does not.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Freeze the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resolved</w:t>
      </w:r>
      <w:r>
        <w:rPr>
          <w:b/>
          <w:bCs/>
        </w:rPr>
        <w:t xml:space="preserve"> </w:t>
      </w:r>
      <w:r>
        <w:rPr>
          <w:b/>
          <w:bCs/>
        </w:rPr>
        <w:t xml:space="preserve">reference</w:t>
      </w:r>
      <w:r>
        <w:t xml:space="preserve"> </w:t>
      </w:r>
      <w:r>
        <w:t xml:space="preserve">- for data-range indicators that is the proc-22 data range</w:t>
      </w:r>
      <w:r>
        <w:t xml:space="preserve"> </w:t>
      </w:r>
      <w:r>
        <w:t xml:space="preserve">(drought</w:t>
      </w:r>
      <w:r>
        <w:t xml:space="preserve"> </w:t>
      </w:r>
      <w:r>
        <w:rPr>
          <w:rStyle w:val="VerbatimChar"/>
        </w:rPr>
        <w:t xml:space="preserve">[5,19]</w:t>
      </w:r>
      <w:r>
        <w:t xml:space="preserve">),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the leftover</w:t>
      </w:r>
      <w:r>
        <w:t xml:space="preserve"> </w:t>
      </w:r>
      <w:r>
        <w:t xml:space="preserve">“custom Max/Min”</w:t>
      </w:r>
      <w:r>
        <w:t xml:space="preserve"> </w:t>
      </w:r>
      <w:r>
        <w:t xml:space="preserve">cells. Now recorded as</w:t>
      </w:r>
      <w:r>
        <w:t xml:space="preserve"> </w:t>
      </w:r>
      <w:r>
        <w:rPr>
          <w:rStyle w:val="VerbatimChar"/>
        </w:rPr>
        <w:t xml:space="preserve">resolved_min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resolved_max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inform_indicator_spec.csv</w:t>
      </w:r>
      <w:r>
        <w:t xml:space="preserve"> </w:t>
      </w:r>
      <w:r>
        <w:t xml:space="preserve">(this would have silently broken 36 indicators if we had</w:t>
      </w:r>
      <w:r>
        <w:t xml:space="preserve"> </w:t>
      </w:r>
      <w:r>
        <w:t xml:space="preserve">built on the raw custom columns).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4" w:name="X87c977d7c9661d4c9ebc46b746c4fd5756eb76e"/>
    <w:p>
      <w:pPr>
        <w:pStyle w:val="Heading1"/>
      </w:pPr>
      <w:r>
        <w:t xml:space="preserve">2. The honest current state (the multi-agent audit)</w:t>
      </w:r>
    </w:p>
    <w:p>
      <w:pPr>
        <w:pStyle w:val="FirstParagraph"/>
      </w:pPr>
      <w:r>
        <w:t xml:space="preserve">Of the</w:t>
      </w:r>
      <w:r>
        <w:t xml:space="preserve"> </w:t>
      </w:r>
      <w:r>
        <w:rPr>
          <w:b/>
          <w:bCs/>
        </w:rPr>
        <w:t xml:space="preserve">32 engine indicators</w:t>
      </w:r>
      <w:r>
        <w:t xml:space="preserve">:</w:t>
      </w:r>
      <w:r>
        <w:t xml:space="preserve"> </w:t>
      </w:r>
      <w:r>
        <w:rPr>
          <w:b/>
          <w:bCs/>
        </w:rPr>
        <w:t xml:space="preserve">8 genuine local</w:t>
      </w:r>
      <w:r>
        <w:t xml:space="preserve"> </w:t>
      </w:r>
      <w:r>
        <w:t xml:space="preserve">(drought, flood, heatwave, exposure,</w:t>
      </w:r>
      <w:r>
        <w:t xml:space="preserve"> </w:t>
      </w:r>
      <w:r>
        <w:t xml:space="preserve">healthConditions, displaced, wash, earthquake),</w:t>
      </w:r>
      <w:r>
        <w:t xml:space="preserve"> </w:t>
      </w:r>
      <w:r>
        <w:rPr>
          <w:b/>
          <w:bCs/>
        </w:rPr>
        <w:t xml:space="preserve">9 authored overlays</w:t>
      </w:r>
      <w:r>
        <w:t xml:space="preserve"> </w:t>
      </w:r>
      <w:r>
        <w:t xml:space="preserve">(storms, landslide, coastal,</w:t>
      </w:r>
      <w:r>
        <w:t xml:space="preserve"> </w:t>
      </w:r>
      <w:r>
        <w:t xml:space="preserve">wildfire, volcano, lightning, zoonoses, hazmat, vehicle - hand-assigned grades, no dataset),</w:t>
      </w:r>
      <w:r>
        <w:t xml:space="preserve"> </w:t>
      </w:r>
      <w:r>
        <w:rPr>
          <w:b/>
          <w:bCs/>
        </w:rPr>
        <w:t xml:space="preserve">14 still</w:t>
      </w:r>
      <w:r>
        <w:rPr>
          <w:b/>
          <w:bCs/>
        </w:rPr>
        <w:t xml:space="preserve"> </w:t>
      </w:r>
      <w:r>
        <w:rPr>
          <w:b/>
          <w:bCs/>
        </w:rPr>
        <w:t xml:space="preserve">the global foundation</w:t>
      </w:r>
      <w:r>
        <w:t xml:space="preserve">,</w:t>
      </w:r>
      <w:r>
        <w:t xml:space="preserve"> </w:t>
      </w:r>
      <w:r>
        <w:rPr>
          <w:b/>
          <w:bCs/>
        </w:rPr>
        <w:t xml:space="preserve">1 missing</w:t>
      </w:r>
      <w:r>
        <w:t xml:space="preserve">. The engine reads only a pre-standardised JSON baked offline plus</w:t>
      </w:r>
      <w:r>
        <w:t xml:space="preserve"> </w:t>
      </w:r>
      <w:r>
        <w:t xml:space="preserve">a single-device localStorage override -</w:t>
      </w:r>
      <w:r>
        <w:t xml:space="preserve"> </w:t>
      </w:r>
      <w:r>
        <w:rPr>
          <w:b/>
          <w:bCs/>
        </w:rPr>
        <w:t xml:space="preserve">no live sector feed</w:t>
      </w:r>
      <w:r>
        <w:t xml:space="preserve">. Several provenance chips overstate local</w:t>
      </w:r>
      <w:r>
        <w:t xml:space="preserve"> </w:t>
      </w:r>
      <w:r>
        <w:t xml:space="preserve">sourcing (accessHealth/education/habitat claim NBS/MoH but are byte-identical to the global baseline). No</w:t>
      </w:r>
      <w:r>
        <w:t xml:space="preserve"> </w:t>
      </w:r>
      <w:r>
        <w:t xml:space="preserve">CRITICAL math defects (engine is exact); every issue is provenance, ingestion, or resolution. This plan</w:t>
      </w:r>
      <w:r>
        <w:t xml:space="preserve"> </w:t>
      </w:r>
      <w:r>
        <w:t xml:space="preserve">closes all of it.</w:t>
      </w:r>
    </w:p>
    <w:p>
      <w:r>
        <w:pict>
          <v:rect style="width:0;height:1.5pt" o:hralign="center" o:hrstd="t" o:hr="t"/>
        </w:pict>
      </w:r>
    </w:p>
    <w:bookmarkEnd w:id="14"/>
    <w:bookmarkStart w:id="15" w:name="Xbb395847df085f1ac86eaa4a17dbb8c9f727ca3"/>
    <w:p>
      <w:pPr>
        <w:pStyle w:val="Heading1"/>
      </w:pPr>
      <w:r>
        <w:t xml:space="preserve">3. The core decision: fixed references (the linchpin)</w:t>
      </w:r>
    </w:p>
    <w:p>
      <w:pPr>
        <w:pStyle w:val="FirstParagraph"/>
      </w:pPr>
      <w:r>
        <w:t xml:space="preserve">A data-range reference is bound to the unit set: drought’s [5,19] is the min/max of the</w:t>
      </w:r>
      <w:r>
        <w:t xml:space="preserve"> </w:t>
      </w:r>
      <w:r>
        <w:rPr>
          <w:b/>
          <w:bCs/>
        </w:rPr>
        <w:t xml:space="preserve">170</w:t>
      </w:r>
      <w:r>
        <w:t xml:space="preserve"> </w:t>
      </w:r>
      <w:r>
        <w:t xml:space="preserve">units;</w:t>
      </w:r>
      <w:r>
        <w:t xml:space="preserve"> </w:t>
      </w:r>
      <w:r>
        <w:t xml:space="preserve">recompute it over</w:t>
      </w:r>
      <w:r>
        <w:t xml:space="preserve"> </w:t>
      </w:r>
      <w:r>
        <w:rPr>
          <w:b/>
          <w:bCs/>
        </w:rPr>
        <w:t xml:space="preserve">195</w:t>
      </w:r>
      <w:r>
        <w:t xml:space="preserve"> </w:t>
      </w:r>
      <w:r>
        <w:t xml:space="preserve">councils and every score shifts, silently leaving INFORM. A fixed reference</w:t>
      </w:r>
      <w:r>
        <w:t xml:space="preserve"> </w:t>
      </w:r>
      <w:r>
        <w:t xml:space="preserve">gives the same 0-10 at 170, 195, or any resolution. Fixing the references is what simultaneously unlocks: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195-council scaling</w:t>
      </w:r>
      <w:r>
        <w:t xml:space="preserve"> </w:t>
      </w:r>
      <w:r>
        <w:t xml:space="preserve">- a council’s score does not depend on which units are present.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Any-unit indicators</w:t>
      </w:r>
      <w:r>
        <w:t xml:space="preserve"> </w:t>
      </w:r>
      <w:r>
        <w:t xml:space="preserve">- each self-standardises against its own fixed reference.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Sensitive-safe submission</w:t>
      </w:r>
      <w:r>
        <w:t xml:space="preserve"> </w:t>
      </w:r>
      <w:r>
        <w:t xml:space="preserve">- a sector can standardise locally (no need for the whole country’s data),</w:t>
      </w:r>
      <w:r>
        <w:t xml:space="preserve"> </w:t>
      </w:r>
      <w:r>
        <w:t xml:space="preserve">so it can submit a bare 0-10 and keep its raw at home.</w:t>
      </w:r>
    </w:p>
    <w:p>
      <w:pPr>
        <w:pStyle w:val="FirstParagraph"/>
      </w:pPr>
      <w:r>
        <w:rPr>
          <w:b/>
          <w:bCs/>
        </w:rPr>
        <w:t xml:space="preserve">Action:</w:t>
      </w:r>
      <w:r>
        <w:t xml:space="preserve"> </w:t>
      </w:r>
      <w:r>
        <w:t xml:space="preserve">the references to freeze are already extracted -</w:t>
      </w:r>
      <w:r>
        <w:t xml:space="preserve"> </w:t>
      </w:r>
      <w:r>
        <w:rPr>
          <w:rStyle w:val="VerbatimChar"/>
        </w:rPr>
        <w:t xml:space="preserve">resolved_min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resolved_max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inform_indicator_spec.csv</w:t>
      </w:r>
      <w:r>
        <w:t xml:space="preserve">: the</w:t>
      </w:r>
      <w:r>
        <w:t xml:space="preserve"> </w:t>
      </w:r>
      <w:r>
        <w:rPr>
          <w:b/>
          <w:bCs/>
        </w:rPr>
        <w:t xml:space="preserve">17 custom</w:t>
      </w:r>
      <w:r>
        <w:t xml:space="preserve"> </w:t>
      </w:r>
      <w:r>
        <w:t xml:space="preserve">pairs verbatim, and the</w:t>
      </w:r>
      <w:r>
        <w:t xml:space="preserve"> </w:t>
      </w:r>
      <w:r>
        <w:rPr>
          <w:b/>
          <w:bCs/>
        </w:rPr>
        <w:t xml:space="preserve">36 data-range</w:t>
      </w:r>
      <w:r>
        <w:t xml:space="preserve"> </w:t>
      </w:r>
      <w:r>
        <w:t xml:space="preserve">pairs frozen at</w:t>
      </w:r>
      <w:r>
        <w:t xml:space="preserve"> </w:t>
      </w:r>
      <w:r>
        <w:t xml:space="preserve">the proc-22 data range (e.g. drought</w:t>
      </w:r>
      <w:r>
        <w:t xml:space="preserve"> </w:t>
      </w:r>
      <w:r>
        <w:rPr>
          <w:rStyle w:val="VerbatimChar"/>
        </w:rPr>
        <w:t xml:space="preserve">[5,19]</w:t>
      </w:r>
      <w:r>
        <w:t xml:space="preserve">). At 195, a council standardises against the</w:t>
      </w:r>
      <w:r>
        <w:t xml:space="preserve"> </w:t>
      </w:r>
      <w:r>
        <w:rPr>
          <w:i/>
          <w:iCs/>
        </w:rPr>
        <w:t xml:space="preserve">frozen</w:t>
      </w:r>
      <w:r>
        <w:t xml:space="preserve"> </w:t>
      </w:r>
      <w:r>
        <w:t xml:space="preserve">reference, giving the same 0-10 independent of how many units are present - and this is</w:t>
      </w:r>
      <w:r>
        <w:t xml:space="preserve"> </w:t>
      </w:r>
      <w:r>
        <w:rPr>
          <w:b/>
          <w:bCs/>
        </w:rPr>
        <w:t xml:space="preserve">proven</w:t>
      </w:r>
      <w:r>
        <w:t xml:space="preserve">, since</w:t>
      </w:r>
      <w:r>
        <w:t xml:space="preserve"> </w:t>
      </w:r>
      <w:r>
        <w:t xml:space="preserve">those exact references reproduce the 170 workbook at 100.00%. This is the one place we move beyond</w:t>
      </w:r>
      <w:r>
        <w:t xml:space="preserve"> </w:t>
      </w:r>
      <w:r>
        <w:t xml:space="preserve">“copy</w:t>
      </w:r>
      <w:r>
        <w:t xml:space="preserve"> </w:t>
      </w:r>
      <w:r>
        <w:t xml:space="preserve">the workbook”</w:t>
      </w:r>
      <w:r>
        <w:t xml:space="preserve"> </w:t>
      </w:r>
      <w:r>
        <w:t xml:space="preserve">verbatim (a data-range becomes a fixed pair); it is required by the 195 mandate and</w:t>
      </w:r>
      <w:r>
        <w:t xml:space="preserve"> </w:t>
      </w:r>
      <w:r>
        <w:t xml:space="preserve">documented as such. (Where a policy/literature bound is more defensible than the frozen data range - e.g.</w:t>
      </w:r>
      <w:r>
        <w:t xml:space="preserve"> </w:t>
      </w:r>
      <w:r>
        <w:t xml:space="preserve">0-100% for a rate - it can replace the frozen pair per indicator, recorded in the spec.)</w:t>
      </w:r>
    </w:p>
    <w:p>
      <w:r>
        <w:pict>
          <v:rect style="width:0;height:1.5pt" o:hralign="center" o:hrstd="t" o:hr="t"/>
        </w:pict>
      </w:r>
    </w:p>
    <w:bookmarkEnd w:id="15"/>
    <w:bookmarkStart w:id="20" w:name="the-architecture"/>
    <w:p>
      <w:pPr>
        <w:pStyle w:val="Heading1"/>
      </w:pPr>
      <w:r>
        <w:t xml:space="preserve">4. The architecture</w:t>
      </w:r>
    </w:p>
    <w:bookmarkStart w:id="16" w:name="the-standardisation-engine-spec-driven"/>
    <w:p>
      <w:pPr>
        <w:pStyle w:val="Heading2"/>
      </w:pPr>
      <w:r>
        <w:t xml:space="preserve">4.1 The standardisation engine (spec-driven)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indicatorSpec</w:t>
      </w:r>
      <w:r>
        <w:t xml:space="preserve"> </w:t>
      </w:r>
      <w:r>
        <w:t xml:space="preserve">loaded from</w:t>
      </w:r>
      <w:r>
        <w:t xml:space="preserve"> </w:t>
      </w:r>
      <w:r>
        <w:rPr>
          <w:rStyle w:val="VerbatimChar"/>
        </w:rPr>
        <w:t xml:space="preserve">inform_indicator_spec.csv</w:t>
      </w:r>
      <w:r>
        <w:t xml:space="preserve"> </w:t>
      </w:r>
      <w:r>
        <w:t xml:space="preserve">(denominator, transform, reference, sign, Use,</w:t>
      </w:r>
      <w:r>
        <w:t xml:space="preserve"> </w:t>
      </w:r>
      <w:r>
        <w:t xml:space="preserve">resolution) - the engine reads it, never hardcodes.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standardise(raw, spec)</w:t>
      </w:r>
      <w:r>
        <w:t xml:space="preserve"> </w:t>
      </w:r>
      <w:r>
        <w:t xml:space="preserve">= stages 2-5 (proven exact).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AVERAGEIFS(Use="Yes")</w:t>
      </w:r>
      <w:r>
        <w:t xml:space="preserve"> </w:t>
      </w:r>
      <w:r>
        <w:t xml:space="preserve">rebuilds the</w:t>
      </w:r>
      <w:r>
        <w:t xml:space="preserve"> </w:t>
      </w:r>
      <w:r>
        <w:rPr>
          <w:b/>
          <w:bCs/>
        </w:rPr>
        <w:t xml:space="preserve">raw (78) -&gt; component (32)</w:t>
      </w:r>
      <w:r>
        <w:t xml:space="preserve"> </w:t>
      </w:r>
      <w:r>
        <w:t xml:space="preserve">layer in-app, then the existing</w:t>
      </w:r>
      <w:r>
        <w:t xml:space="preserve"> </w:t>
      </w:r>
      <w:r>
        <w:t xml:space="preserve">engine (7-9) runs unchanged.</w:t>
      </w:r>
    </w:p>
    <w:bookmarkEnd w:id="16"/>
    <w:bookmarkStart w:id="17" w:name="data-entry-federated-two-layers"/>
    <w:p>
      <w:pPr>
        <w:pStyle w:val="Heading2"/>
      </w:pPr>
      <w:r>
        <w:t xml:space="preserve">4.2 Data entry: federated, two layers</w:t>
      </w:r>
    </w:p>
    <w:p>
      <w:pPr>
        <w:pStyle w:val="SourceCode"/>
      </w:pPr>
      <w:r>
        <w:rPr>
          <w:rStyle w:val="VerbatimChar"/>
        </w:rPr>
        <w:t xml:space="preserve">LAYER 1 - HARMONISE (inside the ministry, on their data)</w:t>
      </w:r>
      <w:r>
        <w:br/>
      </w:r>
      <w:r>
        <w:rPr>
          <w:rStyle w:val="VerbatimChar"/>
        </w:rPr>
        <w:t xml:space="preserve">  raw/sensitive records -&gt; the DATA TOOL we ship (their indicators + the proven spec)</w:t>
      </w:r>
      <w:r>
        <w:br/>
      </w:r>
      <w:r>
        <w:rPr>
          <w:rStyle w:val="VerbatimChar"/>
        </w:rPr>
        <w:t xml:space="preserve">    -&gt; aggregate to the indicator at its resolution -&gt; validate type/range</w:t>
      </w:r>
      <w:r>
        <w:br/>
      </w:r>
      <w:r>
        <w:rPr>
          <w:rStyle w:val="VerbatimChar"/>
        </w:rPr>
        <w:t xml:space="preserve">    -&gt; (optionally) standardise to 0-10 against the FIXED reference</w:t>
      </w:r>
      <w:r>
        <w:br/>
      </w:r>
      <w:r>
        <w:rPr>
          <w:rStyle w:val="VerbatimChar"/>
        </w:rPr>
        <w:t xml:space="preserve">  =&gt; the indicator value (or score). Sensitive raw NEVER leaves the ministry.</w:t>
      </w:r>
      <w:r>
        <w:br/>
      </w:r>
      <w:r>
        <w:br/>
      </w:r>
      <w:r>
        <w:rPr>
          <w:rStyle w:val="VerbatimChar"/>
        </w:rPr>
        <w:t xml:space="preserve">LAYER 2 - SUBMIT (to the central system, authenticated)</w:t>
      </w:r>
      <w:r>
        <w:br/>
      </w:r>
      <w:r>
        <w:rPr>
          <w:rStyle w:val="VerbatimChar"/>
        </w:rPr>
        <w:t xml:space="preserve">  ministry submits the indicator + provenance (source, method, date, resolution)</w:t>
      </w:r>
      <w:r>
        <w:br/>
      </w:r>
      <w:r>
        <w:rPr>
          <w:rStyle w:val="VerbatimChar"/>
        </w:rPr>
        <w:t xml:space="preserve">    -&gt; role-scoped: a sector submits ONLY its own indicators</w:t>
      </w:r>
      <w:r>
        <w:br/>
      </w:r>
      <w:r>
        <w:rPr>
          <w:rStyle w:val="VerbatimChar"/>
        </w:rPr>
        <w:t xml:space="preserve">    -&gt; PMO-DMD reviews -&gt; approves -&gt; engine recomputes</w:t>
      </w:r>
      <w:r>
        <w:br/>
      </w:r>
      <w:r>
        <w:rPr>
          <w:rStyle w:val="VerbatimChar"/>
        </w:rPr>
        <w:t xml:space="preserve">  =&gt; the model updates, fully attributed.</w:t>
      </w:r>
    </w:p>
    <w:p>
      <w:pPr>
        <w:pStyle w:val="FirstParagraph"/>
      </w:pPr>
      <w:r>
        <w:t xml:space="preserve">Sectors</w:t>
      </w:r>
      <w:r>
        <w:t xml:space="preserve"> </w:t>
      </w:r>
      <w:r>
        <w:rPr>
          <w:b/>
          <w:bCs/>
        </w:rPr>
        <w:t xml:space="preserve">harmonise their own data with the tool and are given role-scoped access to submit</w:t>
      </w:r>
      <w:r>
        <w:t xml:space="preserve"> </w:t>
      </w:r>
      <w:r>
        <w:t xml:space="preserve">- not to</w:t>
      </w:r>
      <w:r>
        <w:t xml:space="preserve"> </w:t>
      </w:r>
      <w:r>
        <w:t xml:space="preserve">key raw national data into a shared database.</w:t>
      </w:r>
    </w:p>
    <w:bookmarkEnd w:id="17"/>
    <w:bookmarkStart w:id="18" w:name="the-transparency-model"/>
    <w:p>
      <w:pPr>
        <w:pStyle w:val="Heading2"/>
      </w:pPr>
      <w:r>
        <w:t xml:space="preserve">4.3 The transparency model</w:t>
      </w:r>
    </w:p>
    <w:p>
      <w:pPr>
        <w:pStyle w:val="FirstParagraph"/>
      </w:pPr>
      <w:r>
        <w:rPr>
          <w:b/>
          <w:bCs/>
        </w:rPr>
        <w:t xml:space="preserve">Fully transparent (public, auditable):</w:t>
      </w:r>
      <w:r>
        <w:t xml:space="preserve"> </w:t>
      </w:r>
      <w:r>
        <w:t xml:space="preserve">the value; the provenance (which sector, when, source/method);</w:t>
      </w:r>
      <w:r>
        <w:t xml:space="preserve"> </w:t>
      </w:r>
      <w:r>
        <w:t xml:space="preserve">the standardisation (raw value + spec + the resulting 0-10 - re-derivable because the spec is published</w:t>
      </w:r>
      <w:r>
        <w:t xml:space="preserve"> </w:t>
      </w:r>
      <w:r>
        <w:t xml:space="preserve">and proven to reproduce INFORM); the change log (every update/add/delete, attributed and reversible).</w:t>
      </w:r>
    </w:p>
    <w:p>
      <w:pPr>
        <w:pStyle w:val="BodyText"/>
      </w:pPr>
      <w:r>
        <w:rPr>
          <w:b/>
          <w:bCs/>
        </w:rPr>
        <w:t xml:space="preserve">Sovereign (never in the system):</w:t>
      </w:r>
      <w:r>
        <w:t xml:space="preserve"> </w:t>
      </w:r>
      <w:r>
        <w:t xml:space="preserve">the sensitive raw records - aggregated into the indicator before</w:t>
      </w:r>
      <w:r>
        <w:t xml:space="preserve"> </w:t>
      </w:r>
      <w:r>
        <w:t xml:space="preserve">submission; the most sensitive submit only as a 0-10 (the least-revealing form, possible because the</w:t>
      </w:r>
      <w:r>
        <w:t xml:space="preserve"> </w:t>
      </w:r>
      <w:r>
        <w:t xml:space="preserve">reference is fixed).</w:t>
      </w:r>
    </w:p>
    <w:p>
      <w:pPr>
        <w:pStyle w:val="BlockText"/>
      </w:pPr>
      <w:r>
        <w:t xml:space="preserve">Total transparency of method, provenance, and result; full sovereignty of the sensitive source.</w:t>
      </w:r>
    </w:p>
    <w:bookmarkEnd w:id="18"/>
    <w:bookmarkStart w:id="19" w:name="roles-and-access"/>
    <w:p>
      <w:pPr>
        <w:pStyle w:val="Heading2"/>
      </w:pPr>
      <w:r>
        <w:t xml:space="preserve">4.4 Roles and access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Can</w:t>
            </w:r>
          </w:p>
        </w:tc>
        <w:tc>
          <w:tcPr/>
          <w:p>
            <w:pPr>
              <w:pStyle w:val="Compact"/>
            </w:pPr>
            <w:r>
              <w:t xml:space="preserve">Cannot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Sector officer (TMA, MoH, MoW, MoA, NBS, …)</w:t>
            </w:r>
          </w:p>
        </w:tc>
        <w:tc>
          <w:tcPr/>
          <w:p>
            <w:pPr>
              <w:pStyle w:val="Compact"/>
            </w:pPr>
            <w:r>
              <w:t xml:space="preserve">submit/update only their own indicators, with provenance</w:t>
            </w:r>
          </w:p>
        </w:tc>
        <w:tc>
          <w:tcPr/>
          <w:p>
            <w:pPr>
              <w:pStyle w:val="Compact"/>
            </w:pPr>
            <w:r>
              <w:t xml:space="preserve">edit another sector’s data or the engine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PMO-DMD (coordinator)</w:t>
            </w:r>
          </w:p>
        </w:tc>
        <w:tc>
          <w:tcPr/>
          <w:p>
            <w:pPr>
              <w:pStyle w:val="Compact"/>
            </w:pPr>
            <w:r>
              <w:t xml:space="preserve">assign indicator ownership; review/approve/reject; publish</w:t>
            </w:r>
          </w:p>
        </w:tc>
        <w:tc>
          <w:tcPr/>
          <w:p>
            <w:pPr>
              <w:pStyle w:val="Compact"/>
            </w:pPr>
            <w:r>
              <w:t xml:space="preserve">author values; hold the raw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 / planners</w:t>
            </w:r>
          </w:p>
        </w:tc>
        <w:tc>
          <w:tcPr/>
          <w:p>
            <w:pPr>
              <w:pStyle w:val="Compact"/>
            </w:pPr>
            <w:r>
              <w:t xml:space="preserve">view the model, methodology, and every value’s provenance</w:t>
            </w:r>
          </w:p>
        </w:tc>
        <w:tc>
          <w:tcPr/>
          <w:p>
            <w:pPr>
              <w:pStyle w:val="Compact"/>
            </w:pPr>
            <w:r>
              <w:t xml:space="preserve">submit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End w:id="20"/>
    <w:bookmarkStart w:id="21" w:name="X466217e43e63fdb66915d6e4abd08632339a668"/>
    <w:p>
      <w:pPr>
        <w:pStyle w:val="Heading1"/>
      </w:pPr>
      <w:r>
        <w:t xml:space="preserve">5. The issue-catching layer (replicate the Excel + close its gap)</w:t>
      </w:r>
    </w:p>
    <w:p>
      <w:pPr>
        <w:pStyle w:val="FirstParagraph"/>
      </w:pPr>
      <w:r>
        <w:t xml:space="preserve">The workbook catches issues by</w:t>
      </w:r>
      <w:r>
        <w:t xml:space="preserve"> </w:t>
      </w:r>
      <w:r>
        <w:rPr>
          <w:b/>
          <w:bCs/>
        </w:rPr>
        <w:t xml:space="preserve">post-hoc diagnostics</w:t>
      </w:r>
      <w:r>
        <w:t xml:space="preserve">; its entry sheets have</w:t>
      </w:r>
      <w:r>
        <w:t xml:space="preserve"> </w:t>
      </w:r>
      <w:r>
        <w:rPr>
          <w:b/>
          <w:bCs/>
        </w:rPr>
        <w:t xml:space="preserve">zero input validation</w:t>
      </w:r>
      <w:r>
        <w:t xml:space="preserve">.</w:t>
      </w:r>
      <w:r>
        <w:t xml:space="preserve"> </w:t>
      </w:r>
      <w:r>
        <w:t xml:space="preserve">We replicate the diagnostics and add validation at entry (the one place we improve on the Excel):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Mechanism</w:t>
            </w:r>
          </w:p>
        </w:tc>
        <w:tc>
          <w:tcPr/>
          <w:p>
            <w:pPr>
              <w:pStyle w:val="Compact"/>
            </w:pPr>
            <w:r>
              <w:t xml:space="preserve">Catches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Input validation (new)</w:t>
            </w:r>
          </w:p>
        </w:tc>
        <w:tc>
          <w:tcPr/>
          <w:p>
            <w:pPr>
              <w:pStyle w:val="Compact"/>
            </w:pPr>
            <w:r>
              <w:t xml:space="preserve">enforce</w:t>
            </w:r>
            <w:r>
              <w:t xml:space="preserve"> </w:t>
            </w:r>
            <w:r>
              <w:rPr>
                <w:rStyle w:val="VerbatimChar"/>
              </w:rPr>
              <w:t xml:space="preserve">data_type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valid_range</w:t>
            </w:r>
            <w:r>
              <w:t xml:space="preserve"> </w:t>
            </w:r>
            <w:r>
              <w:t xml:space="preserve">at entry</w:t>
            </w:r>
          </w:p>
        </w:tc>
        <w:tc>
          <w:tcPr/>
          <w:p>
            <w:pPr>
              <w:pStyle w:val="Compact"/>
            </w:pPr>
            <w:r>
              <w:t xml:space="preserve">bad input before it enters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No-data sentinel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null</w:t>
            </w:r>
            <w:r>
              <w:t xml:space="preserve"> </w:t>
            </w:r>
            <w:r>
              <w:t xml:space="preserve">excluded from averages</w:t>
            </w:r>
          </w:p>
        </w:tc>
        <w:tc>
          <w:tcPr/>
          <w:p>
            <w:pPr>
              <w:pStyle w:val="Compact"/>
            </w:pPr>
            <w:r>
              <w:t xml:space="preserve">missing handled cleanly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Data-Collected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COUNT(raw) &gt; 0</w:t>
            </w:r>
          </w:p>
        </w:tc>
        <w:tc>
          <w:tcPr/>
          <w:p>
            <w:pPr>
              <w:pStyle w:val="Compact"/>
            </w:pPr>
            <w:r>
              <w:t xml:space="preserve">indicator has any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Data-Processed / ERROR</w:t>
            </w:r>
          </w:p>
        </w:tc>
        <w:tc>
          <w:tcPr/>
          <w:p>
            <w:pPr>
              <w:pStyle w:val="Compact"/>
            </w:pPr>
            <w:r>
              <w:t xml:space="preserve">collected but unprocessed -&gt;</w:t>
            </w:r>
            <w:r>
              <w:t xml:space="preserve"> </w:t>
            </w:r>
            <w:r>
              <w:t xml:space="preserve">“ERROR”</w:t>
            </w:r>
          </w:p>
        </w:tc>
        <w:tc>
          <w:tcPr/>
          <w:p>
            <w:pPr>
              <w:pStyle w:val="Compact"/>
            </w:pPr>
            <w:r>
              <w:t xml:space="preserve">claimed-but-empty (the audit catch)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Outlier cap</w:t>
            </w:r>
          </w:p>
        </w:tc>
        <w:tc>
          <w:tcPr/>
          <w:p>
            <w:pPr>
              <w:pStyle w:val="Compact"/>
            </w:pPr>
            <w:r>
              <w:t xml:space="preserve">Tukey Q1-1.5IQR / Q3+1.5IQR</w:t>
            </w:r>
          </w:p>
        </w:tc>
        <w:tc>
          <w:tcPr/>
          <w:p>
            <w:pPr>
              <w:pStyle w:val="Compact"/>
            </w:pPr>
            <w:r>
              <w:t xml:space="preserve">one freak value can’t stretch the scale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Skew / Kurtosis</w:t>
            </w:r>
          </w:p>
        </w:tc>
        <w:tc>
          <w:tcPr/>
          <w:p>
            <w:pPr>
              <w:pStyle w:val="Compact"/>
            </w:pPr>
            <w:r>
              <w:t xml:space="preserve">post-normalisation diagnostics</w:t>
            </w:r>
          </w:p>
        </w:tc>
        <w:tc>
          <w:tcPr/>
          <w:p>
            <w:pPr>
              <w:pStyle w:val="Compact"/>
            </w:pPr>
            <w:r>
              <w:t xml:space="preserve">a transform is needed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Bounds clamp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MAX(0, MIN(10, ...))</w:t>
            </w:r>
          </w:p>
        </w:tc>
        <w:tc>
          <w:tcPr/>
          <w:p>
            <w:pPr>
              <w:pStyle w:val="Compact"/>
            </w:pPr>
            <w:r>
              <w:t xml:space="preserve">0-10 can’t overflow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Graceful degrade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IFERROR</w:t>
            </w:r>
            <w:r>
              <w:t xml:space="preserve"> </w:t>
            </w:r>
            <w:r>
              <w:t xml:space="preserve">equivalent</w:t>
            </w:r>
          </w:p>
        </w:tc>
        <w:tc>
          <w:tcPr/>
          <w:p>
            <w:pPr>
              <w:pStyle w:val="Compact"/>
            </w:pPr>
            <w:r>
              <w:t xml:space="preserve">a broken cell becomes</w:t>
            </w:r>
            <w:r>
              <w:t xml:space="preserve"> </w:t>
            </w:r>
            <w:r>
              <w:t xml:space="preserve">“No data”</w:t>
            </w:r>
            <w:r>
              <w:t xml:space="preserve">, never an error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Xbbdbf26c4a02cf55b89208f6c27dfd304d83beb"/>
    <w:p>
      <w:pPr>
        <w:pStyle w:val="Heading1"/>
      </w:pPr>
      <w:r>
        <w:t xml:space="preserve">6. The indicator lifecycle - delete / add / amend</w:t>
      </w:r>
    </w:p>
    <w:p>
      <w:pPr>
        <w:pStyle w:val="FirstParagraph"/>
      </w:pPr>
      <w:r>
        <w:t xml:space="preserve">The workbook’s own mechanism is the</w:t>
      </w:r>
      <w:r>
        <w:t xml:space="preserve"> </w:t>
      </w:r>
      <w:r>
        <w:rPr>
          <w:rStyle w:val="VerbatimChar"/>
        </w:rPr>
        <w:t xml:space="preserve">Use</w:t>
      </w:r>
      <w:r>
        <w:t xml:space="preserve"> </w:t>
      </w:r>
      <w:r>
        <w:t xml:space="preserve">flag feeding</w:t>
      </w:r>
      <w:r>
        <w:t xml:space="preserve"> </w:t>
      </w:r>
      <w:r>
        <w:rPr>
          <w:rStyle w:val="VerbatimChar"/>
        </w:rPr>
        <w:t xml:space="preserve">AVERAGEIFS(Use="Yes")</w:t>
      </w:r>
      <w:r>
        <w:t xml:space="preserve">; the component averages</w:t>
      </w:r>
      <w:r>
        <w:t xml:space="preserve"> </w:t>
      </w:r>
      <w:r>
        <w:t xml:space="preserve">whatever is switched on, so the set flexes without touching a formula.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Mechanism</w:t>
            </w:r>
          </w:p>
        </w:tc>
        <w:tc>
          <w:tcPr/>
          <w:p>
            <w:pPr>
              <w:pStyle w:val="Compact"/>
            </w:pPr>
            <w:r>
              <w:t xml:space="preserve">Effect</w:t>
            </w:r>
          </w:p>
        </w:tc>
        <w:tc>
          <w:tcPr/>
          <w:p>
            <w:pPr>
              <w:pStyle w:val="Compact"/>
            </w:pPr>
            <w:r>
              <w:t xml:space="preserve">Governance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t xml:space="preserve">set</w:t>
            </w:r>
            <w:r>
              <w:t xml:space="preserve"> </w:t>
            </w:r>
            <w:r>
              <w:rPr>
                <w:rStyle w:val="VerbatimChar"/>
              </w:rPr>
              <w:t xml:space="preserve">Use = No</w:t>
            </w:r>
            <w:r>
              <w:t xml:space="preserve"> </w:t>
            </w:r>
            <w:r>
              <w:t xml:space="preserve">(data kept)</w:t>
            </w:r>
          </w:p>
        </w:tc>
        <w:tc>
          <w:tcPr/>
          <w:p>
            <w:pPr>
              <w:pStyle w:val="Compact"/>
            </w:pPr>
            <w:r>
              <w:t xml:space="preserve">drops from the component average</w:t>
            </w:r>
          </w:p>
        </w:tc>
        <w:tc>
          <w:tcPr/>
          <w:p>
            <w:pPr>
              <w:pStyle w:val="Compact"/>
            </w:pPr>
            <w:r>
              <w:t xml:space="preserve">review (moves the score)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</w:t>
            </w:r>
          </w:p>
        </w:tc>
        <w:tc>
          <w:tcPr/>
          <w:p>
            <w:pPr>
              <w:pStyle w:val="Compact"/>
            </w:pPr>
            <w:r>
              <w:t xml:space="preserve">new indicator + spec + data +</w:t>
            </w:r>
            <w:r>
              <w:t xml:space="preserve"> </w:t>
            </w:r>
            <w:r>
              <w:rPr>
                <w:rStyle w:val="VerbatimChar"/>
              </w:rPr>
              <w:t xml:space="preserve">Use = Yes</w:t>
            </w:r>
          </w:p>
        </w:tc>
        <w:tc>
          <w:tcPr/>
          <w:p>
            <w:pPr>
              <w:pStyle w:val="Compact"/>
            </w:pPr>
            <w:r>
              <w:t xml:space="preserve">joins the component average</w:t>
            </w:r>
          </w:p>
        </w:tc>
        <w:tc>
          <w:tcPr/>
          <w:p>
            <w:pPr>
              <w:pStyle w:val="Compact"/>
            </w:pPr>
            <w:r>
              <w:t xml:space="preserve">review; must come at its resolution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Amend a value</w:t>
            </w:r>
          </w:p>
        </w:tc>
        <w:tc>
          <w:tcPr/>
          <w:p>
            <w:pPr>
              <w:pStyle w:val="Compact"/>
            </w:pPr>
            <w:r>
              <w:t xml:space="preserve">re-key the raw</w:t>
            </w:r>
          </w:p>
        </w:tc>
        <w:tc>
          <w:tcPr/>
          <w:p>
            <w:pPr>
              <w:pStyle w:val="Compact"/>
            </w:pPr>
            <w:r>
              <w:t xml:space="preserve">re-standardise -&gt; re-average</w:t>
            </w:r>
          </w:p>
        </w:tc>
        <w:tc>
          <w:tcPr/>
          <w:p>
            <w:pPr>
              <w:pStyle w:val="Compact"/>
            </w:pPr>
            <w:r>
              <w:t xml:space="preserve">routine (sector) -</w:t>
            </w:r>
            <w:r>
              <w:t xml:space="preserve"> </w:t>
            </w:r>
            <w:r>
              <w:rPr>
                <w:b/>
                <w:bCs/>
              </w:rPr>
              <w:t xml:space="preserve">but see the rule below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Amend the spec</w:t>
            </w:r>
          </w:p>
        </w:tc>
        <w:tc>
          <w:tcPr/>
          <w:p>
            <w:pPr>
              <w:pStyle w:val="Compact"/>
            </w:pPr>
            <w:r>
              <w:t xml:space="preserve">change transform/reference/sign</w:t>
            </w:r>
          </w:p>
        </w:tc>
        <w:tc>
          <w:tcPr/>
          <w:p>
            <w:pPr>
              <w:pStyle w:val="Compact"/>
            </w:pPr>
            <w:r>
              <w:t xml:space="preserve">re-standardise</w:t>
            </w:r>
          </w:p>
        </w:tc>
        <w:tc>
          <w:tcPr/>
          <w:p>
            <w:pPr>
              <w:pStyle w:val="Compact"/>
            </w:pPr>
            <w:r>
              <w:t xml:space="preserve">flag (deviation if it changes the INFORM reference)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data (a unit)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"No data"</w:t>
            </w:r>
            <w:r>
              <w:t xml:space="preserve"> </w:t>
            </w:r>
            <w:r>
              <w:t xml:space="preserve">sentinel</w:t>
            </w:r>
          </w:p>
        </w:tc>
        <w:tc>
          <w:tcPr/>
          <w:p>
            <w:pPr>
              <w:pStyle w:val="Compact"/>
            </w:pPr>
            <w:r>
              <w:t xml:space="preserve">excluded from that unit’s average only</w:t>
            </w:r>
          </w:p>
        </w:tc>
        <w:tc>
          <w:tcPr/>
          <w:p>
            <w:pPr>
              <w:pStyle w:val="Compact"/>
            </w:pPr>
            <w:r>
              <w:t xml:space="preserve">automatic</w:t>
            </w:r>
          </w:p>
        </w:tc>
      </w:tr>
    </w:tbl>
    <w:p>
      <w:pPr>
        <w:pStyle w:val="BodyText"/>
      </w:pPr>
      <w:r>
        <w:rPr>
          <w:b/>
          <w:bCs/>
        </w:rPr>
        <w:t xml:space="preserve">Three rules that follow: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Add/Delete move the component average up or down</w:t>
      </w:r>
      <w:r>
        <w:t xml:space="preserve">, so they are</w:t>
      </w:r>
      <w:r>
        <w:t xml:space="preserve"> </w:t>
      </w:r>
      <w:r>
        <w:t xml:space="preserve">governed (approval + logged reason). The</w:t>
      </w:r>
      <w:r>
        <w:t xml:space="preserve"> </w:t>
      </w:r>
      <w:r>
        <w:rPr>
          <w:rStyle w:val="VerbatimChar"/>
        </w:rPr>
        <w:t xml:space="preserve">Use</w:t>
      </w:r>
      <w:r>
        <w:t xml:space="preserve"> </w:t>
      </w:r>
      <w:r>
        <w:t xml:space="preserve">flag makes them auditable and reversible (data is</w:t>
      </w:r>
      <w:r>
        <w:t xml:space="preserve"> </w:t>
      </w:r>
      <w:r>
        <w:t xml:space="preserve">switched, never destroyed).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A value amendment is local or global by reference type</w:t>
      </w:r>
      <w:r>
        <w:t xml:space="preserve"> </w:t>
      </w:r>
      <w:r>
        <w:t xml:space="preserve">- with a fixed reference it changes only</w:t>
      </w:r>
      <w:r>
        <w:t xml:space="preserve"> </w:t>
      </w:r>
      <w:r>
        <w:t xml:space="preserve">that unit; with a (legacy) data-range it would re-pool and move everyone. Fixing references (Section 3)</w:t>
      </w:r>
      <w:r>
        <w:t xml:space="preserve"> </w:t>
      </w:r>
      <w:r>
        <w:t xml:space="preserve">makes every amendment local and stable - essential at 195.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The diagnostics are the safety net</w:t>
      </w:r>
      <w:r>
        <w:t xml:space="preserve"> </w:t>
      </w:r>
      <w:r>
        <w:t xml:space="preserve">- the Data-Collected / ERROR flags fire exactly when an</w:t>
      </w:r>
      <w:r>
        <w:t xml:space="preserve"> </w:t>
      </w:r>
      <w:r>
        <w:t xml:space="preserve">indicator is switched on but empty (the audit’s claimed-but-empty state).</w:t>
      </w:r>
    </w:p>
    <w:p>
      <w:r>
        <w:pict>
          <v:rect style="width:0;height:1.5pt" o:hralign="center" o:hrstd="t" o:hr="t"/>
        </w:pict>
      </w:r>
    </w:p>
    <w:bookmarkEnd w:id="22"/>
    <w:bookmarkStart w:id="23" w:name="X3d246df582cf7df36121595d59f1751ce317db1"/>
    <w:p>
      <w:pPr>
        <w:pStyle w:val="Heading1"/>
      </w:pPr>
      <w:r>
        <w:t xml:space="preserve">7. Build phases (the honest, authentic sequence)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What</w:t>
            </w:r>
          </w:p>
        </w:tc>
        <w:tc>
          <w:tcPr/>
          <w:p>
            <w:pPr>
              <w:pStyle w:val="Compact"/>
            </w:pPr>
            <w:r>
              <w:t xml:space="preserve">Proves / closes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 Lock the spec</w:t>
            </w:r>
          </w:p>
        </w:tc>
        <w:tc>
          <w:tcPr/>
          <w:p>
            <w:pPr>
              <w:pStyle w:val="Compact"/>
            </w:pPr>
            <w:r>
              <w:t xml:space="preserve">extract the 17 custom references verbatim; document the 36 data-range -&gt; fixed basis</w:t>
            </w:r>
          </w:p>
        </w:tc>
        <w:tc>
          <w:tcPr/>
          <w:p>
            <w:pPr>
              <w:pStyle w:val="Compact"/>
            </w:pPr>
            <w:r>
              <w:t xml:space="preserve">the foundation is exact and fixed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 Standardiser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indicatorSpec</w:t>
            </w:r>
            <w:r>
              <w:t xml:space="preserve"> </w:t>
            </w:r>
            <w:r>
              <w:t xml:space="preserve">(from CSV) +</w:t>
            </w:r>
            <w:r>
              <w:t xml:space="preserve"> </w:t>
            </w:r>
            <w:r>
              <w:rPr>
                <w:rStyle w:val="VerbatimChar"/>
              </w:rPr>
              <w:t xml:space="preserve">standardise(raw, spec)</w:t>
            </w:r>
            <w:r>
              <w:t xml:space="preserve"> </w:t>
            </w:r>
            <w:r>
              <w:t xml:space="preserve">(stages 2-5)</w:t>
            </w:r>
          </w:p>
        </w:tc>
        <w:tc>
          <w:tcPr/>
          <w:p>
            <w:pPr>
              <w:pStyle w:val="Compact"/>
            </w:pPr>
            <w:r>
              <w:t xml:space="preserve">reproduces INFORM 0-10 per indicator (golden test)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 Raw -&gt; component layer</w:t>
            </w:r>
          </w:p>
        </w:tc>
        <w:tc>
          <w:tcPr/>
          <w:p>
            <w:pPr>
              <w:pStyle w:val="Compact"/>
            </w:pPr>
            <w:r>
              <w:t xml:space="preserve">the 78 sub-indicators +</w:t>
            </w:r>
            <w:r>
              <w:t xml:space="preserve"> </w:t>
            </w:r>
            <w:r>
              <w:rPr>
                <w:rStyle w:val="VerbatimChar"/>
              </w:rPr>
              <w:t xml:space="preserve">AVERAGEIFS(Use="Yes")</w:t>
            </w:r>
            <w:r>
              <w:t xml:space="preserve"> </w:t>
            </w:r>
            <w:r>
              <w:t xml:space="preserve">-&gt; 32 components</w:t>
            </w:r>
          </w:p>
        </w:tc>
        <w:tc>
          <w:tcPr/>
          <w:p>
            <w:pPr>
              <w:pStyle w:val="Compact"/>
            </w:pPr>
            <w:r>
              <w:t xml:space="preserve">the missing raw layer exists in-app; engine unchanged (0/195)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3. Data entry, per indicator</w:t>
            </w:r>
          </w:p>
        </w:tc>
        <w:tc>
          <w:tcPr/>
          <w:p>
            <w:pPr>
              <w:pStyle w:val="Compact"/>
            </w:pPr>
            <w:r>
              <w:t xml:space="preserve">enter the actual value in the unit at the resolution; validate; show live 0-10; stamp sector + date</w:t>
            </w:r>
          </w:p>
        </w:tc>
        <w:tc>
          <w:tcPr/>
          <w:p>
            <w:pPr>
              <w:pStyle w:val="Compact"/>
            </w:pPr>
            <w:r>
              <w:t xml:space="preserve">the inverted</w:t>
            </w:r>
            <w:r>
              <w:t xml:space="preserve"> </w:t>
            </w:r>
            <w:r>
              <w:t xml:space="preserve">“enter a score”</w:t>
            </w:r>
            <w:r>
              <w:t xml:space="preserve"> </w:t>
            </w:r>
            <w:r>
              <w:t xml:space="preserve">is gone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4. Federated submission + persistence</w:t>
            </w:r>
          </w:p>
        </w:tc>
        <w:tc>
          <w:tcPr/>
          <w:p>
            <w:pPr>
              <w:pStyle w:val="Compact"/>
            </w:pPr>
            <w:r>
              <w:t xml:space="preserve">authenticated per-sector submission; Supabase replaces localStorage; PMO-DMD approval</w:t>
            </w:r>
          </w:p>
        </w:tc>
        <w:tc>
          <w:tcPr/>
          <w:p>
            <w:pPr>
              <w:pStyle w:val="Compact"/>
            </w:pPr>
            <w:r>
              <w:t xml:space="preserve">real multi-user feed; no snapshot trap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5. Transparency surfacing</w:t>
            </w:r>
          </w:p>
        </w:tc>
        <w:tc>
          <w:tcPr/>
          <w:p>
            <w:pPr>
              <w:pStyle w:val="Compact"/>
            </w:pPr>
            <w:r>
              <w:t xml:space="preserve">show provenance, the spec, the raw-&gt;0-10 derivation, and the change log on every value</w:t>
            </w:r>
          </w:p>
        </w:tc>
        <w:tc>
          <w:tcPr/>
          <w:p>
            <w:pPr>
              <w:pStyle w:val="Compact"/>
            </w:pPr>
            <w:r>
              <w:t xml:space="preserve">the trust layer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6. The sector tool</w:t>
            </w:r>
          </w:p>
        </w:tc>
        <w:tc>
          <w:tcPr/>
          <w:p>
            <w:pPr>
              <w:pStyle w:val="Compact"/>
            </w:pPr>
            <w:r>
              <w:t xml:space="preserve">a distributable harmoniser (carries each sector’s indicators + spec) for offline aggregation of sensitive data</w:t>
            </w:r>
          </w:p>
        </w:tc>
        <w:tc>
          <w:tcPr/>
          <w:p>
            <w:pPr>
              <w:pStyle w:val="Compact"/>
            </w:pPr>
            <w:r>
              <w:t xml:space="preserve">sensitive raw stays at source</w:t>
            </w:r>
          </w:p>
        </w:tc>
      </w:tr>
    </w:tbl>
    <w:p>
      <w:pPr>
        <w:pStyle w:val="BodyText"/>
      </w:pPr>
      <w:r>
        <w:t xml:space="preserve">Each phase is independently verifiable and behaviour-neutral on the engine. We build in order, prove each,</w:t>
      </w:r>
      <w:r>
        <w:t xml:space="preserve"> </w:t>
      </w:r>
      <w:r>
        <w:t xml:space="preserve">and only then move on - honestly and authentically.</w:t>
      </w:r>
    </w:p>
    <w:p>
      <w:r>
        <w:pict>
          <v:rect style="width:0;height:1.5pt" o:hralign="center" o:hrstd="t" o:hr="t"/>
        </w:pict>
      </w:r>
    </w:p>
    <w:bookmarkEnd w:id="23"/>
    <w:bookmarkStart w:id="24" w:name="what-stays-exactly-as-inform-guardrails"/>
    <w:p>
      <w:pPr>
        <w:pStyle w:val="Heading1"/>
      </w:pPr>
      <w:r>
        <w:t xml:space="preserve">8. What stays exactly as INFORM (guardrails)</w:t>
      </w:r>
    </w:p>
    <w:p>
      <w:pPr>
        <w:pStyle w:val="Compact"/>
        <w:numPr>
          <w:ilvl w:val="0"/>
          <w:numId w:val="1006"/>
        </w:numPr>
      </w:pPr>
      <w:r>
        <w:t xml:space="preserve">The aggregation engine (AVERAGE / scaled GEOMEAN / cube-root) - unchanged, 0/195.</w:t>
      </w:r>
    </w:p>
    <w:p>
      <w:pPr>
        <w:pStyle w:val="Compact"/>
        <w:numPr>
          <w:ilvl w:val="0"/>
          <w:numId w:val="1006"/>
        </w:numPr>
      </w:pPr>
      <w:r>
        <w:t xml:space="preserve">The standardisation formulas (stages 2-5) - proven to reproduce the workbook.</w:t>
      </w:r>
    </w:p>
    <w:p>
      <w:pPr>
        <w:pStyle w:val="Compact"/>
        <w:numPr>
          <w:ilvl w:val="0"/>
          <w:numId w:val="1006"/>
        </w:numPr>
      </w:pPr>
      <w:r>
        <w:t xml:space="preserve">The national figure is the INFORM aggregate of the councils, labelled as not an official INFORM figure;</w:t>
      </w:r>
      <w:r>
        <w:t xml:space="preserve"> </w:t>
      </w:r>
      <w:r>
        <w:t xml:space="preserve">no raise-only floor anywhere; missing = excluded.</w:t>
      </w:r>
    </w:p>
    <w:p>
      <w:pPr>
        <w:pStyle w:val="Compact"/>
        <w:numPr>
          <w:ilvl w:val="0"/>
          <w:numId w:val="1006"/>
        </w:numPr>
      </w:pPr>
      <w:r>
        <w:t xml:space="preserve">The golden fixture (the workbook’s own cached rows) remains the regression guard for both engines.</w:t>
      </w:r>
    </w:p>
    <w:bookmarkEnd w:id="24"/>
    <w:bookmarkStart w:id="25" w:name="verification-how-each-phase-earns-trust"/>
    <w:p>
      <w:pPr>
        <w:pStyle w:val="Heading1"/>
      </w:pPr>
      <w:r>
        <w:t xml:space="preserve">9. Verification (how each phase earns trust)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Golden test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standardise + aggregate</w:t>
      </w:r>
      <w:r>
        <w:t xml:space="preserve"> </w:t>
      </w:r>
      <w:r>
        <w:t xml:space="preserve">reproduces the workbook’s cached 0-10 / category / risk.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0/195 engine check</w:t>
      </w:r>
      <w:r>
        <w:t xml:space="preserve"> </w:t>
      </w:r>
      <w:r>
        <w:t xml:space="preserve">- every council’s hazard.total and risk equal the literal Excel formulas.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Spec-reproduces-INFORM</w:t>
      </w:r>
      <w:r>
        <w:t xml:space="preserve"> </w:t>
      </w:r>
      <w:r>
        <w:t xml:space="preserve">- the all-170 proof, extended to every used indicator before Phase 2 ships.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Per-indicator validation</w:t>
      </w:r>
      <w:r>
        <w:t xml:space="preserve"> </w:t>
      </w:r>
      <w:r>
        <w:t xml:space="preserve">- type/range/resolution enforced at entry; ERROR flags surfaced.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Provenance audit</w:t>
      </w:r>
      <w:r>
        <w:t xml:space="preserve"> </w:t>
      </w:r>
      <w:r>
        <w:t xml:space="preserve">- no value claims a sector it was not submitted by (closes the audit’s</w:t>
      </w:r>
      <w:r>
        <w:t xml:space="preserve"> </w:t>
      </w:r>
      <w:r>
        <w:t xml:space="preserve">false-provenance catches).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This plan is the contract: nothing beyond the workbook is invented; the engine is untouched; local data</w:t>
      </w:r>
      <w:r>
        <w:rPr>
          <w:i/>
          <w:iCs/>
        </w:rPr>
        <w:t xml:space="preserve"> </w:t>
      </w:r>
      <w:r>
        <w:rPr>
          <w:i/>
          <w:iCs/>
        </w:rPr>
        <w:t xml:space="preserve">enters the authentic way - raw in, standardised centrally or at a fixed reference, aggregated by Use flag,</w:t>
      </w:r>
      <w:r>
        <w:rPr>
          <w:i/>
          <w:iCs/>
        </w:rPr>
        <w:t xml:space="preserve"> </w:t>
      </w:r>
      <w:r>
        <w:rPr>
          <w:i/>
          <w:iCs/>
        </w:rPr>
        <w:t xml:space="preserve">fully attributed, with sensitive sources sovereign. Build follows, phase by phase.</w:t>
      </w:r>
    </w:p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 Tanzania - Local Data Integration Plan</dc:title>
  <dc:creator>Federated, spec-driven, transparent - built from the workbook, not invented</dc:creator>
  <cp:keywords/>
  <dcterms:created xsi:type="dcterms:W3CDTF">2026-10-09T17:37:01Z</dcterms:created>
  <dcterms:modified xsi:type="dcterms:W3CDTF">2026-10-09T17:37:01Z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Version 1.0 (blueprint; build follows)</vt:lpwstr>
  </property>
</Properties>
</file>