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0B0" w:rsidRPr="008410B0" w:rsidRDefault="0090408D" w:rsidP="008410B0">
      <w:pPr>
        <w:shd w:val="clear" w:color="auto" w:fill="FFFFFF"/>
        <w:spacing w:before="100" w:beforeAutospacing="1" w:after="100" w:afterAutospacing="1" w:line="360" w:lineRule="auto"/>
        <w:ind w:firstLine="567"/>
        <w:jc w:val="center"/>
        <w:rPr>
          <w:rFonts w:asciiTheme="majorBidi" w:eastAsia="Times New Roman" w:hAnsiTheme="majorBidi" w:cs="Aharoni"/>
          <w:color w:val="444444"/>
          <w:sz w:val="36"/>
          <w:szCs w:val="36"/>
          <w:lang w:eastAsia="fr-FR"/>
        </w:rPr>
      </w:pPr>
      <w:r w:rsidRPr="0090408D">
        <w:rPr>
          <w:rFonts w:asciiTheme="majorBidi" w:eastAsia="Times New Roman" w:hAnsiTheme="majorBidi" w:cs="Aharoni"/>
          <w:color w:val="444444"/>
          <w:sz w:val="36"/>
          <w:szCs w:val="36"/>
          <w:lang w:eastAsia="fr-FR"/>
        </w:rPr>
        <w:t>​</w:t>
      </w:r>
      <w:r w:rsidR="008410B0" w:rsidRPr="008410B0">
        <w:rPr>
          <w:rFonts w:asciiTheme="majorBidi" w:eastAsia="Times New Roman" w:hAnsiTheme="majorBidi" w:cs="Aharoni"/>
          <w:color w:val="444444"/>
          <w:sz w:val="36"/>
          <w:szCs w:val="36"/>
          <w:lang w:eastAsia="fr-FR"/>
        </w:rPr>
        <w:t>Visioconférence pour le E-Learning</w:t>
      </w:r>
    </w:p>
    <w:p w:rsidR="00541D20" w:rsidRPr="008410B0" w:rsidRDefault="0090408D" w:rsidP="008410B0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Le serveur </w:t>
      </w:r>
      <w:proofErr w:type="spellStart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VisioConference</w:t>
      </w:r>
      <w:proofErr w:type="spellEnd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est un système</w:t>
      </w:r>
      <w:r w:rsidR="00541D20"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de conférence en ligne utilisé p</w:t>
      </w: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rincipalement dans le </w:t>
      </w:r>
      <w:proofErr w:type="spellStart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Classroom</w:t>
      </w:r>
      <w:proofErr w:type="spellEnd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Virtuelle et qui per</w:t>
      </w:r>
      <w:r w:rsidR="00541D20"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met le partage multiple d'audio </w:t>
      </w: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et de vidéo, de présentations avec ou sans tableaux bl</w:t>
      </w:r>
      <w:r w:rsidR="00541D20"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ancs, l'utilisation d'outils de c</w:t>
      </w: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hat publics et privés et la voix sur IP à l'aide d'un serveur </w:t>
      </w:r>
      <w:proofErr w:type="spellStart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VoIP</w:t>
      </w:r>
      <w:proofErr w:type="spellEnd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, ainsi que</w:t>
      </w:r>
      <w:r w:rsidR="00093098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</w:t>
      </w: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l'utilisation de documents de types </w:t>
      </w:r>
      <w:proofErr w:type="spellStart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pdf</w:t>
      </w:r>
      <w:proofErr w:type="spellEnd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et Microsoft Office</w:t>
      </w:r>
      <w:r w:rsidR="00541D20"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.</w:t>
      </w:r>
      <w:r w:rsidR="00093098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</w:t>
      </w:r>
    </w:p>
    <w:p w:rsidR="00541D20" w:rsidRPr="008410B0" w:rsidRDefault="0090408D" w:rsidP="008410B0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Il ya deux types d'architecture :</w:t>
      </w:r>
    </w:p>
    <w:p w:rsidR="008410B0" w:rsidRPr="008410B0" w:rsidRDefault="0090408D" w:rsidP="008410B0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Architecture Single ServerDans cette architecture toutes les composants</w:t>
      </w:r>
      <w:r w:rsidR="00093098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</w:t>
      </w: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nécessaires pour le fonctionnement sont installée</w:t>
      </w:r>
      <w:r w:rsidR="00541D20"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s dans le même serveur (serveur </w:t>
      </w: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Web + Moteur de gestion de flux </w:t>
      </w:r>
      <w:proofErr w:type="spellStart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video</w:t>
      </w:r>
      <w:proofErr w:type="spellEnd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+ serveur </w:t>
      </w:r>
      <w:proofErr w:type="spellStart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VoIP</w:t>
      </w:r>
      <w:proofErr w:type="spellEnd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etc...)</w:t>
      </w:r>
    </w:p>
    <w:p w:rsidR="00541D20" w:rsidRPr="008410B0" w:rsidRDefault="0090408D" w:rsidP="008410B0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Architecture Multi</w:t>
      </w:r>
      <w:r w:rsidR="00093098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</w:t>
      </w: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Server</w:t>
      </w:r>
      <w:r w:rsidR="00541D20"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 : </w:t>
      </w: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Dans cette architecture, nous avons besoin de deux serveurs, l'un est utilisé comme</w:t>
      </w:r>
      <w:r w:rsidR="00093098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</w:t>
      </w: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serveur web et moteur de flux </w:t>
      </w:r>
      <w:proofErr w:type="spellStart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Video</w:t>
      </w:r>
      <w:proofErr w:type="spellEnd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et l'autre utilisé comme un serveur </w:t>
      </w:r>
      <w:proofErr w:type="spellStart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VoIPpuisque</w:t>
      </w:r>
      <w:proofErr w:type="spellEnd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dans la plupart de </w:t>
      </w:r>
      <w:proofErr w:type="spellStart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classroom</w:t>
      </w:r>
      <w:proofErr w:type="spellEnd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, seule le modérateur ou bien l'enseignant</w:t>
      </w:r>
      <w:r w:rsidR="00093098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</w:t>
      </w: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utilise le webcam mais l'ensemble des participants ou élevés utilisent la voix pour</w:t>
      </w:r>
      <w:r w:rsidR="00093098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</w:t>
      </w: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comme communiquer entre eux et communiquer avec le modérateur</w:t>
      </w:r>
    </w:p>
    <w:p w:rsidR="00541D20" w:rsidRPr="008410B0" w:rsidRDefault="0090408D" w:rsidP="008410B0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L'</w:t>
      </w:r>
      <w:proofErr w:type="spellStart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installatation</w:t>
      </w:r>
      <w:proofErr w:type="spellEnd"/>
      <w:r w:rsidR="00093098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</w:t>
      </w: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Single</w:t>
      </w:r>
      <w:r w:rsidR="00093098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</w:t>
      </w: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Server nécessite :</w:t>
      </w:r>
    </w:p>
    <w:p w:rsidR="00541D20" w:rsidRPr="008410B0" w:rsidRDefault="0090408D" w:rsidP="008410B0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Un serveur (de préférence dédié)</w:t>
      </w:r>
    </w:p>
    <w:p w:rsidR="00541D20" w:rsidRPr="008410B0" w:rsidRDefault="0090408D" w:rsidP="008410B0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Quad-</w:t>
      </w:r>
      <w:proofErr w:type="spellStart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core</w:t>
      </w:r>
      <w:proofErr w:type="spellEnd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2.6 GHZ CPU</w:t>
      </w:r>
    </w:p>
    <w:p w:rsidR="00541D20" w:rsidRPr="008410B0" w:rsidRDefault="0090408D" w:rsidP="008410B0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10 GB de RAM</w:t>
      </w:r>
    </w:p>
    <w:p w:rsidR="008410B0" w:rsidRPr="008410B0" w:rsidRDefault="0090408D" w:rsidP="008410B0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100 Mbits/sec bande passante symétrique dans le réseau LAN</w:t>
      </w:r>
    </w:p>
    <w:p w:rsidR="008410B0" w:rsidRPr="008410B0" w:rsidRDefault="0090408D" w:rsidP="008410B0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500G Espace disque</w:t>
      </w:r>
    </w:p>
    <w:p w:rsidR="008410B0" w:rsidRPr="008410B0" w:rsidRDefault="0090408D" w:rsidP="008410B0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12 Mbits/sec bande passante de l'internet vers le serveur</w:t>
      </w:r>
    </w:p>
    <w:p w:rsidR="009166B7" w:rsidRPr="008410B0" w:rsidRDefault="0090408D" w:rsidP="008410B0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L'installation </w:t>
      </w:r>
      <w:proofErr w:type="spellStart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MultiServer</w:t>
      </w:r>
      <w:proofErr w:type="spellEnd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nécessite :</w:t>
      </w:r>
    </w:p>
    <w:p w:rsidR="009166B7" w:rsidRPr="008410B0" w:rsidRDefault="0090408D" w:rsidP="008410B0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2 serveurs (de préférence dédiés)</w:t>
      </w:r>
    </w:p>
    <w:p w:rsidR="009166B7" w:rsidRPr="008410B0" w:rsidRDefault="0090408D" w:rsidP="008410B0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Quad-</w:t>
      </w:r>
      <w:proofErr w:type="spellStart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core</w:t>
      </w:r>
      <w:proofErr w:type="spellEnd"/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2.6 GHZ CPU</w:t>
      </w:r>
    </w:p>
    <w:p w:rsidR="009166B7" w:rsidRPr="008410B0" w:rsidRDefault="0090408D" w:rsidP="008410B0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6 GB de RAM pour chaque serveur</w:t>
      </w:r>
    </w:p>
    <w:p w:rsidR="009166B7" w:rsidRPr="008410B0" w:rsidRDefault="0090408D" w:rsidP="008410B0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100 Mbits/sec bande passante symétrique dans le réseau LAN</w:t>
      </w:r>
    </w:p>
    <w:p w:rsidR="009166B7" w:rsidRPr="008410B0" w:rsidRDefault="0090408D" w:rsidP="008410B0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lastRenderedPageBreak/>
        <w:t>400G Espace disque pour serveur 1 et 100G pour serveur 2</w:t>
      </w:r>
    </w:p>
    <w:p w:rsidR="0090408D" w:rsidRPr="008410B0" w:rsidRDefault="0090408D" w:rsidP="008410B0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8410B0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12 Mbits/sec bande passante de l'internet vers le serveur 1 et l'autre dans le LAN</w:t>
      </w:r>
    </w:p>
    <w:p w:rsidR="008410B0" w:rsidRPr="00512E67" w:rsidRDefault="0090408D" w:rsidP="008410B0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Theme="majorBidi" w:eastAsia="Times New Roman" w:hAnsiTheme="majorBidi" w:cstheme="majorBidi"/>
          <w:b/>
          <w:bCs/>
          <w:color w:val="666666"/>
          <w:sz w:val="24"/>
          <w:szCs w:val="24"/>
          <w:u w:val="single"/>
          <w:lang w:eastAsia="fr-FR"/>
        </w:rPr>
      </w:pP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L'architectures </w:t>
      </w:r>
      <w:proofErr w:type="spellStart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SingleServer</w:t>
      </w:r>
      <w:proofErr w:type="spellEnd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supporte </w:t>
      </w:r>
      <w:r w:rsidRPr="0090408D"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u w:val="single"/>
          <w:lang w:eastAsia="fr-FR"/>
        </w:rPr>
        <w:t>4</w:t>
      </w: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sessions de formation </w:t>
      </w:r>
      <w:r w:rsidRPr="0090408D"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u w:val="single"/>
          <w:lang w:eastAsia="fr-FR"/>
        </w:rPr>
        <w:t>avec</w:t>
      </w:r>
      <w:r w:rsidR="008410B0" w:rsidRPr="00512E67">
        <w:rPr>
          <w:rFonts w:asciiTheme="majorBidi" w:eastAsia="Times New Roman" w:hAnsiTheme="majorBidi" w:cstheme="majorBidi"/>
          <w:b/>
          <w:bCs/>
          <w:color w:val="666666"/>
          <w:sz w:val="24"/>
          <w:szCs w:val="24"/>
          <w:u w:val="single"/>
          <w:lang w:eastAsia="fr-FR"/>
        </w:rPr>
        <w:t xml:space="preserve">30 utilisateurs </w:t>
      </w:r>
      <w:r w:rsidRPr="0090408D">
        <w:rPr>
          <w:rFonts w:asciiTheme="majorBidi" w:eastAsia="Times New Roman" w:hAnsiTheme="majorBidi" w:cstheme="majorBidi"/>
          <w:b/>
          <w:bCs/>
          <w:color w:val="666666"/>
          <w:sz w:val="24"/>
          <w:szCs w:val="24"/>
          <w:u w:val="single"/>
          <w:lang w:eastAsia="fr-FR"/>
        </w:rPr>
        <w:t>pour chaque session = 120 utilisateurs</w:t>
      </w:r>
      <w:r w:rsidR="008410B0" w:rsidRPr="00512E67">
        <w:rPr>
          <w:rFonts w:asciiTheme="majorBidi" w:eastAsia="Times New Roman" w:hAnsiTheme="majorBidi" w:cstheme="majorBidi"/>
          <w:b/>
          <w:bCs/>
          <w:color w:val="666666"/>
          <w:sz w:val="24"/>
          <w:szCs w:val="24"/>
          <w:u w:val="single"/>
          <w:lang w:eastAsia="fr-FR"/>
        </w:rPr>
        <w:t>.</w:t>
      </w:r>
    </w:p>
    <w:p w:rsidR="0090408D" w:rsidRPr="0090408D" w:rsidRDefault="0090408D" w:rsidP="008410B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</w:pP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L'architecture </w:t>
      </w:r>
      <w:proofErr w:type="spellStart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>MultiServer</w:t>
      </w:r>
      <w:proofErr w:type="spellEnd"/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supporte </w:t>
      </w:r>
      <w:r w:rsidRPr="0090408D"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u w:val="single"/>
          <w:lang w:eastAsia="fr-FR"/>
        </w:rPr>
        <w:t>6</w:t>
      </w:r>
      <w:r w:rsidRPr="0090408D">
        <w:rPr>
          <w:rFonts w:asciiTheme="majorBidi" w:eastAsia="Times New Roman" w:hAnsiTheme="majorBidi" w:cstheme="majorBidi"/>
          <w:color w:val="444444"/>
          <w:sz w:val="24"/>
          <w:szCs w:val="24"/>
          <w:lang w:eastAsia="fr-FR"/>
        </w:rPr>
        <w:t xml:space="preserve"> sessions de formation</w:t>
      </w:r>
      <w:r w:rsidRPr="0090408D"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u w:val="single"/>
          <w:lang w:eastAsia="fr-FR"/>
        </w:rPr>
        <w:t xml:space="preserve"> avec 50 utilisateurs pour chaque session = 300 utilisateurs</w:t>
      </w:r>
      <w:bookmarkStart w:id="0" w:name="_GoBack"/>
      <w:bookmarkEnd w:id="0"/>
    </w:p>
    <w:p w:rsidR="008410B0" w:rsidRPr="00F67419" w:rsidRDefault="0090408D" w:rsidP="008410B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444444"/>
          <w:sz w:val="32"/>
          <w:szCs w:val="24"/>
          <w:lang w:eastAsia="fr-FR"/>
        </w:rPr>
      </w:pPr>
      <w:r w:rsidRPr="00F67419">
        <w:rPr>
          <w:rFonts w:asciiTheme="majorBidi" w:eastAsia="Times New Roman" w:hAnsiTheme="majorBidi" w:cstheme="majorBidi"/>
          <w:color w:val="444444"/>
          <w:sz w:val="32"/>
          <w:szCs w:val="24"/>
          <w:lang w:eastAsia="fr-FR"/>
        </w:rPr>
        <w:t>Coût</w:t>
      </w:r>
      <w:r w:rsidR="008410B0" w:rsidRPr="00F67419">
        <w:rPr>
          <w:rFonts w:asciiTheme="majorBidi" w:eastAsia="Times New Roman" w:hAnsiTheme="majorBidi" w:cstheme="majorBidi"/>
          <w:color w:val="444444"/>
          <w:sz w:val="32"/>
          <w:szCs w:val="24"/>
          <w:lang w:eastAsia="fr-FR"/>
        </w:rPr>
        <w:t xml:space="preserve">set délais </w:t>
      </w:r>
      <w:r w:rsidRPr="00F67419">
        <w:rPr>
          <w:rFonts w:asciiTheme="majorBidi" w:eastAsia="Times New Roman" w:hAnsiTheme="majorBidi" w:cstheme="majorBidi"/>
          <w:color w:val="444444"/>
          <w:sz w:val="32"/>
          <w:szCs w:val="24"/>
          <w:lang w:eastAsia="fr-FR"/>
        </w:rPr>
        <w:t>de l'installation :</w:t>
      </w:r>
    </w:p>
    <w:tbl>
      <w:tblPr>
        <w:tblStyle w:val="GridTable4Accent2"/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32"/>
        <w:gridCol w:w="236"/>
        <w:gridCol w:w="2059"/>
        <w:gridCol w:w="2979"/>
      </w:tblGrid>
      <w:tr w:rsidR="007F7064" w:rsidRPr="008410B0" w:rsidTr="008410B0">
        <w:trPr>
          <w:cnfStyle w:val="100000000000"/>
          <w:trHeight w:val="1004"/>
          <w:jc w:val="center"/>
        </w:trPr>
        <w:tc>
          <w:tcPr>
            <w:cnfStyle w:val="001000000000"/>
            <w:tcW w:w="39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F7064" w:rsidRPr="008410B0" w:rsidRDefault="007F7064" w:rsidP="008410B0">
            <w:pPr>
              <w:spacing w:before="100" w:beforeAutospacing="1" w:after="100" w:afterAutospacing="1" w:line="360" w:lineRule="auto"/>
              <w:ind w:firstLine="56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410B0">
              <w:rPr>
                <w:rFonts w:asciiTheme="majorBidi" w:hAnsiTheme="majorBidi" w:cstheme="majorBidi"/>
                <w:sz w:val="24"/>
                <w:szCs w:val="24"/>
              </w:rPr>
              <w:t>Type de mise en place</w:t>
            </w:r>
          </w:p>
        </w:tc>
        <w:tc>
          <w:tcPr>
            <w:tcW w:w="20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F7064" w:rsidRPr="008410B0" w:rsidRDefault="007F7064" w:rsidP="008410B0">
            <w:pPr>
              <w:spacing w:before="100" w:beforeAutospacing="1" w:after="100" w:afterAutospacing="1" w:line="360" w:lineRule="auto"/>
              <w:jc w:val="both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8410B0">
              <w:rPr>
                <w:rFonts w:asciiTheme="majorBidi" w:hAnsiTheme="majorBidi" w:cstheme="majorBidi"/>
                <w:sz w:val="24"/>
                <w:szCs w:val="24"/>
              </w:rPr>
              <w:t>Délai en Jours</w:t>
            </w:r>
          </w:p>
        </w:tc>
        <w:tc>
          <w:tcPr>
            <w:tcW w:w="2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F7064" w:rsidRPr="008410B0" w:rsidRDefault="007F7064" w:rsidP="008410B0">
            <w:pPr>
              <w:spacing w:before="100" w:beforeAutospacing="1" w:after="100" w:afterAutospacing="1" w:line="360" w:lineRule="auto"/>
              <w:ind w:firstLine="567"/>
              <w:jc w:val="both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8410B0">
              <w:rPr>
                <w:rFonts w:asciiTheme="majorBidi" w:hAnsiTheme="majorBidi" w:cstheme="majorBidi"/>
                <w:sz w:val="24"/>
                <w:szCs w:val="24"/>
              </w:rPr>
              <w:t>Prix</w:t>
            </w:r>
            <w:r w:rsidR="008410B0">
              <w:rPr>
                <w:rFonts w:asciiTheme="majorBidi" w:hAnsiTheme="majorBidi" w:cstheme="majorBidi"/>
                <w:sz w:val="24"/>
                <w:szCs w:val="24"/>
              </w:rPr>
              <w:t xml:space="preserve"> TTC en TND</w:t>
            </w:r>
          </w:p>
        </w:tc>
      </w:tr>
      <w:tr w:rsidR="007F7064" w:rsidRPr="008410B0" w:rsidTr="001636B2">
        <w:trPr>
          <w:cnfStyle w:val="000000100000"/>
          <w:trHeight w:val="656"/>
          <w:jc w:val="center"/>
        </w:trPr>
        <w:tc>
          <w:tcPr>
            <w:cnfStyle w:val="001000000000"/>
            <w:tcW w:w="3732" w:type="dxa"/>
            <w:vAlign w:val="center"/>
          </w:tcPr>
          <w:p w:rsidR="008410B0" w:rsidRDefault="008410B0" w:rsidP="008410B0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064" w:rsidRPr="008410B0" w:rsidRDefault="007F7064" w:rsidP="008410B0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410B0">
              <w:rPr>
                <w:rFonts w:asciiTheme="majorBidi" w:hAnsiTheme="majorBidi" w:cstheme="majorBidi"/>
                <w:sz w:val="24"/>
                <w:szCs w:val="24"/>
              </w:rPr>
              <w:t>Single Server</w:t>
            </w:r>
          </w:p>
        </w:tc>
        <w:tc>
          <w:tcPr>
            <w:tcW w:w="236" w:type="dxa"/>
            <w:vAlign w:val="center"/>
          </w:tcPr>
          <w:p w:rsidR="007F7064" w:rsidRPr="008410B0" w:rsidRDefault="007F7064" w:rsidP="008410B0">
            <w:pPr>
              <w:spacing w:before="100" w:beforeAutospacing="1" w:after="100" w:afterAutospacing="1" w:line="360" w:lineRule="auto"/>
              <w:jc w:val="both"/>
              <w:cnfStyle w:val="00000010000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059" w:type="dxa"/>
            <w:vAlign w:val="center"/>
          </w:tcPr>
          <w:p w:rsidR="007F7064" w:rsidRPr="008410B0" w:rsidRDefault="008F6D25" w:rsidP="00512E67">
            <w:pPr>
              <w:spacing w:before="100" w:beforeAutospacing="1" w:after="100" w:afterAutospacing="1" w:line="360" w:lineRule="auto"/>
              <w:ind w:firstLine="172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979" w:type="dxa"/>
            <w:vAlign w:val="center"/>
          </w:tcPr>
          <w:p w:rsidR="007F7064" w:rsidRPr="008410B0" w:rsidRDefault="00F24150" w:rsidP="00F24150">
            <w:pPr>
              <w:spacing w:before="100" w:beforeAutospacing="1" w:after="100" w:afterAutospacing="1" w:line="360" w:lineRule="auto"/>
              <w:ind w:firstLine="172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  <w:r w:rsidR="008410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  <w:r w:rsidR="007F7064" w:rsidRPr="008410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00</w:t>
            </w:r>
          </w:p>
        </w:tc>
      </w:tr>
      <w:tr w:rsidR="007F7064" w:rsidRPr="008410B0" w:rsidTr="001636B2">
        <w:trPr>
          <w:trHeight w:val="656"/>
          <w:jc w:val="center"/>
        </w:trPr>
        <w:tc>
          <w:tcPr>
            <w:cnfStyle w:val="001000000000"/>
            <w:tcW w:w="3732" w:type="dxa"/>
            <w:vAlign w:val="center"/>
          </w:tcPr>
          <w:p w:rsidR="008410B0" w:rsidRDefault="008410B0" w:rsidP="008410B0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064" w:rsidRPr="008410B0" w:rsidRDefault="007F7064" w:rsidP="008410B0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410B0">
              <w:rPr>
                <w:rFonts w:asciiTheme="majorBidi" w:hAnsiTheme="majorBidi" w:cstheme="majorBidi"/>
                <w:sz w:val="24"/>
                <w:szCs w:val="24"/>
              </w:rPr>
              <w:t>Multi Server</w:t>
            </w:r>
          </w:p>
        </w:tc>
        <w:tc>
          <w:tcPr>
            <w:tcW w:w="236" w:type="dxa"/>
            <w:vAlign w:val="center"/>
          </w:tcPr>
          <w:p w:rsidR="007F7064" w:rsidRPr="008410B0" w:rsidRDefault="007F7064" w:rsidP="008410B0">
            <w:pPr>
              <w:spacing w:before="100" w:beforeAutospacing="1" w:after="100" w:afterAutospacing="1" w:line="360" w:lineRule="auto"/>
              <w:jc w:val="both"/>
              <w:cnfStyle w:val="00000000000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059" w:type="dxa"/>
            <w:vAlign w:val="center"/>
          </w:tcPr>
          <w:p w:rsidR="007F7064" w:rsidRPr="008410B0" w:rsidRDefault="008F6D25" w:rsidP="00512E67">
            <w:pPr>
              <w:spacing w:before="100" w:beforeAutospacing="1" w:after="100" w:afterAutospacing="1" w:line="360" w:lineRule="auto"/>
              <w:ind w:firstLine="172"/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979" w:type="dxa"/>
            <w:vAlign w:val="center"/>
          </w:tcPr>
          <w:p w:rsidR="007F7064" w:rsidRPr="008410B0" w:rsidRDefault="00EB28F6" w:rsidP="00F24150">
            <w:pPr>
              <w:spacing w:before="100" w:beforeAutospacing="1" w:after="100" w:afterAutospacing="1" w:line="360" w:lineRule="auto"/>
              <w:ind w:firstLine="172"/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  <w:r w:rsidR="008410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  <w:r w:rsidR="00F241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  <w:r w:rsidR="007F7064" w:rsidRPr="008410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00</w:t>
            </w:r>
          </w:p>
        </w:tc>
      </w:tr>
    </w:tbl>
    <w:p w:rsidR="00512E67" w:rsidRPr="00F24150" w:rsidRDefault="00512E67" w:rsidP="00F24150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24150">
        <w:rPr>
          <w:rFonts w:asciiTheme="majorBidi" w:hAnsiTheme="majorBidi" w:cstheme="majorBidi"/>
          <w:b/>
          <w:bCs/>
          <w:sz w:val="28"/>
          <w:szCs w:val="28"/>
          <w:u w:val="single"/>
        </w:rPr>
        <w:t>NB :</w:t>
      </w:r>
    </w:p>
    <w:p w:rsidR="00F24150" w:rsidRPr="00F24150" w:rsidRDefault="002D49B2" w:rsidP="00F24150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-</w:t>
      </w:r>
      <w:r w:rsidR="00F24150" w:rsidRPr="00F2415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1 an de référencement inclus </w:t>
      </w:r>
    </w:p>
    <w:p w:rsidR="00F24150" w:rsidRPr="00F24150" w:rsidRDefault="002D49B2" w:rsidP="00F24150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-</w:t>
      </w:r>
      <w:r w:rsidR="00F24150" w:rsidRPr="00F2415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Un contrat de maintenance du site durant une année coute 70 DT </w:t>
      </w:r>
    </w:p>
    <w:p w:rsidR="008410B0" w:rsidRPr="00F24150" w:rsidRDefault="002D49B2" w:rsidP="00F24150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-</w:t>
      </w:r>
      <w:r w:rsidR="008410B0" w:rsidRPr="00F2415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L’achat des serveurs n’est pas inclut dans l’offre </w:t>
      </w:r>
    </w:p>
    <w:p w:rsidR="0042125C" w:rsidRPr="00F24150" w:rsidRDefault="002D49B2" w:rsidP="00F24150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-</w:t>
      </w:r>
      <w:r w:rsidR="008410B0" w:rsidRPr="00F2415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Le support de la </w:t>
      </w:r>
      <w:r w:rsidR="00512E67" w:rsidRPr="00F24150">
        <w:rPr>
          <w:rFonts w:asciiTheme="majorBidi" w:hAnsiTheme="majorBidi" w:cstheme="majorBidi"/>
          <w:b/>
          <w:bCs/>
          <w:sz w:val="28"/>
          <w:szCs w:val="28"/>
          <w:u w:val="single"/>
        </w:rPr>
        <w:t>plateforme</w:t>
      </w:r>
      <w:r w:rsidR="008410B0" w:rsidRPr="00F2415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est un contrat à discuter à part </w:t>
      </w:r>
    </w:p>
    <w:sectPr w:rsidR="0042125C" w:rsidRPr="00F24150" w:rsidSect="007E0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3438"/>
    <w:multiLevelType w:val="hybridMultilevel"/>
    <w:tmpl w:val="FBC2ED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D5225"/>
    <w:multiLevelType w:val="hybridMultilevel"/>
    <w:tmpl w:val="7B34E6FA"/>
    <w:lvl w:ilvl="0" w:tplc="040C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B24EDCEE"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9EC2EC2"/>
    <w:multiLevelType w:val="hybridMultilevel"/>
    <w:tmpl w:val="EDEE8D4E"/>
    <w:lvl w:ilvl="0" w:tplc="CBB4651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A6E2A85"/>
    <w:multiLevelType w:val="hybridMultilevel"/>
    <w:tmpl w:val="2D8E033E"/>
    <w:lvl w:ilvl="0" w:tplc="A02A18C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FB10D8B"/>
    <w:multiLevelType w:val="hybridMultilevel"/>
    <w:tmpl w:val="6B4CA132"/>
    <w:lvl w:ilvl="0" w:tplc="040C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6C643CD"/>
    <w:multiLevelType w:val="hybridMultilevel"/>
    <w:tmpl w:val="96060D12"/>
    <w:lvl w:ilvl="0" w:tplc="040C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39DA21D0"/>
    <w:multiLevelType w:val="hybridMultilevel"/>
    <w:tmpl w:val="E724E27E"/>
    <w:lvl w:ilvl="0" w:tplc="040C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D9022F6"/>
    <w:multiLevelType w:val="hybridMultilevel"/>
    <w:tmpl w:val="E6EA36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6411A"/>
    <w:multiLevelType w:val="hybridMultilevel"/>
    <w:tmpl w:val="76F64CE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08D"/>
    <w:rsid w:val="00093098"/>
    <w:rsid w:val="000C5E0F"/>
    <w:rsid w:val="001636B2"/>
    <w:rsid w:val="002D49B2"/>
    <w:rsid w:val="003746D8"/>
    <w:rsid w:val="003C53D9"/>
    <w:rsid w:val="00512E67"/>
    <w:rsid w:val="00541D20"/>
    <w:rsid w:val="007862BB"/>
    <w:rsid w:val="007E0B0B"/>
    <w:rsid w:val="007F7064"/>
    <w:rsid w:val="008410B0"/>
    <w:rsid w:val="008F6D25"/>
    <w:rsid w:val="0090408D"/>
    <w:rsid w:val="009166B7"/>
    <w:rsid w:val="00A2480B"/>
    <w:rsid w:val="00A430E8"/>
    <w:rsid w:val="00AD712E"/>
    <w:rsid w:val="00BB28FE"/>
    <w:rsid w:val="00D11273"/>
    <w:rsid w:val="00D57D2F"/>
    <w:rsid w:val="00E652F3"/>
    <w:rsid w:val="00E65B09"/>
    <w:rsid w:val="00EB28F6"/>
    <w:rsid w:val="00F01F5D"/>
    <w:rsid w:val="00F24150"/>
    <w:rsid w:val="00F40F44"/>
    <w:rsid w:val="00F67419"/>
    <w:rsid w:val="00FD6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0408D"/>
  </w:style>
  <w:style w:type="table" w:styleId="Grilledutableau">
    <w:name w:val="Table Grid"/>
    <w:basedOn w:val="TableauNormal"/>
    <w:uiPriority w:val="39"/>
    <w:rsid w:val="00916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10B0"/>
    <w:pPr>
      <w:ind w:left="720"/>
      <w:contextualSpacing/>
    </w:pPr>
  </w:style>
  <w:style w:type="table" w:customStyle="1" w:styleId="GridTable4Accent2">
    <w:name w:val="Grid Table 4 Accent 2"/>
    <w:basedOn w:val="TableauNormal"/>
    <w:uiPriority w:val="49"/>
    <w:rsid w:val="00841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0408D"/>
  </w:style>
  <w:style w:type="table" w:styleId="Grilledutableau">
    <w:name w:val="Table Grid"/>
    <w:basedOn w:val="TableauNormal"/>
    <w:uiPriority w:val="39"/>
    <w:rsid w:val="00916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410B0"/>
    <w:pPr>
      <w:ind w:left="720"/>
      <w:contextualSpacing/>
    </w:pPr>
  </w:style>
  <w:style w:type="table" w:customStyle="1" w:styleId="GridTable4Accent2">
    <w:name w:val="Grid Table 4 Accent 2"/>
    <w:basedOn w:val="TableauNormal"/>
    <w:uiPriority w:val="49"/>
    <w:rsid w:val="008410B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hp</cp:lastModifiedBy>
  <cp:revision>11</cp:revision>
  <dcterms:created xsi:type="dcterms:W3CDTF">2017-02-01T07:39:00Z</dcterms:created>
  <dcterms:modified xsi:type="dcterms:W3CDTF">2017-02-20T09:25:00Z</dcterms:modified>
</cp:coreProperties>
</file>