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C8126">
      <w:pPr>
        <w:spacing w:before="2400"/>
        <w:jc w:val="center"/>
      </w:pPr>
      <w:r>
        <w:rPr>
          <w:b/>
          <w:bCs/>
          <w:color w:val="2563EB"/>
          <w:sz w:val="22"/>
          <w:szCs w:val="22"/>
        </w:rPr>
        <w:t>EXECUTIVE ANALYTICS</w:t>
      </w:r>
    </w:p>
    <w:p w14:paraId="706B59A5">
      <w:pPr>
        <w:spacing w:before="200"/>
        <w:jc w:val="center"/>
      </w:pPr>
      <w:r>
        <w:rPr>
          <w:b/>
          <w:bCs/>
          <w:color w:val="1F2937"/>
          <w:sz w:val="56"/>
          <w:szCs w:val="56"/>
        </w:rPr>
        <w:t>Sales Performance Analytics</w:t>
      </w:r>
    </w:p>
    <w:p w14:paraId="06EB793D">
      <w:pPr>
        <w:spacing w:before="100" w:after="100"/>
        <w:jc w:val="center"/>
      </w:pPr>
      <w:r>
        <w:rPr>
          <w:color w:val="374151"/>
          <w:sz w:val="30"/>
          <w:szCs w:val="30"/>
        </w:rPr>
        <w:t>End-to-End Data Analytics Project Report</w:t>
      </w:r>
    </w:p>
    <w:p w14:paraId="78B465E9">
      <w:pPr>
        <w:spacing w:before="60"/>
        <w:jc w:val="center"/>
      </w:pPr>
      <w:r>
        <w:rPr>
          <w:color w:val="6B7280"/>
          <w:sz w:val="20"/>
          <w:szCs w:val="20"/>
        </w:rPr>
        <w:t>Raw Data → Excel Cleaning → SQL Analysis → Python (Pandas) → Power BI → Business Insights</w:t>
      </w:r>
    </w:p>
    <w:p w14:paraId="33775AE9">
      <w:pPr>
        <w:spacing w:before="900"/>
        <w:jc w:val="center"/>
      </w:pPr>
      <w:r>
        <w:rPr>
          <w:color w:val="374151"/>
          <w:sz w:val="20"/>
          <w:szCs w:val="20"/>
        </w:rPr>
        <w:t>Prepared for: Business Stakeholder Review</w:t>
      </w:r>
    </w:p>
    <w:p w14:paraId="5B6150AF">
      <w:pPr>
        <w:spacing w:before="60"/>
        <w:jc w:val="center"/>
      </w:pPr>
      <w:r>
        <w:rPr>
          <w:color w:val="374151"/>
          <w:sz w:val="20"/>
          <w:szCs w:val="20"/>
        </w:rPr>
        <w:t>Dataset: 5,000 transactional sales orders • 989 unique customers • 4 regions • 4 categories</w:t>
      </w:r>
    </w:p>
    <w:p w14:paraId="0EFAC88D">
      <w:pPr>
        <w:spacing w:before="60"/>
        <w:jc w:val="center"/>
      </w:pPr>
      <w:r>
        <w:rPr>
          <w:color w:val="6B7280"/>
          <w:sz w:val="18"/>
          <w:szCs w:val="18"/>
        </w:rPr>
        <w:t>Prepared by: Data Analytics Consulting Review</w:t>
      </w:r>
    </w:p>
    <w:p w14:paraId="5A69B20C">
      <w:pPr>
        <w:spacing w:before="3200"/>
        <w:jc w:val="center"/>
      </w:pPr>
      <w:r>
        <w:rPr>
          <w:i/>
          <w:iCs/>
          <w:color w:val="6B7280"/>
          <w:sz w:val="16"/>
          <w:szCs w:val="16"/>
        </w:rPr>
        <w:t>Confidential — For Internal / Portfolio Use</w:t>
      </w:r>
    </w:p>
    <w:p w14:paraId="7D756F90">
      <w:pPr>
        <w:sectPr>
          <w:pgSz w:w="12240" w:h="15840"/>
          <w:pgMar w:top="1440" w:right="1440" w:bottom="1440" w:left="1440" w:header="708" w:footer="708" w:gutter="0"/>
          <w:cols w:space="720" w:num="1"/>
          <w:docGrid w:linePitch="360" w:charSpace="0"/>
        </w:sectPr>
      </w:pPr>
    </w:p>
    <w:p w14:paraId="7D6C6B54">
      <w:pPr>
        <w:pStyle w:val="2"/>
      </w:pPr>
      <w:r>
        <w:rPr>
          <w:b/>
          <w:bCs/>
          <w:color w:val="1F2937"/>
        </w:rPr>
        <w:t>Table of Contents</w:t>
      </w:r>
      <w:bookmarkStart w:id="0" w:name="_GoBack"/>
      <w:bookmarkEnd w:id="0"/>
    </w:p>
    <w:sdt>
      <w:sdtPr>
        <w:alias w:val="Table of Contents"/>
        <w:id w:val="147480210"/>
      </w:sdtPr>
      <w:sdtContent>
        <w:p w14:paraId="3E0153DB">
          <w:r>
            <w:fldChar w:fldCharType="begin"/>
          </w:r>
          <w:r>
            <w:instrText xml:space="preserve">TOC \h \o "1-2"</w:instrText>
          </w:r>
          <w:r>
            <w:fldChar w:fldCharType="separate"/>
          </w:r>
        </w:p>
        <w:p w14:paraId="5A5089E9">
          <w:r>
            <w:fldChar w:fldCharType="end"/>
          </w:r>
        </w:p>
      </w:sdtContent>
    </w:sdt>
    <w:p w14:paraId="05554856">
      <w:pPr>
        <w:sectPr>
          <w:pgSz w:w="12240" w:h="15840"/>
          <w:pgMar w:top="1440" w:right="1440" w:bottom="1440" w:left="1440" w:header="708" w:footer="708" w:gutter="0"/>
          <w:cols w:space="720" w:num="1"/>
          <w:docGrid w:linePitch="360" w:charSpace="0"/>
        </w:sectPr>
      </w:pPr>
    </w:p>
    <w:p w14:paraId="270EB4AD">
      <w:pPr>
        <w:pStyle w:val="2"/>
        <w:pBdr>
          <w:bottom w:val="single" w:color="2563EB" w:sz="6" w:space="4"/>
        </w:pBdr>
        <w:spacing w:before="480" w:after="200"/>
      </w:pPr>
      <w:r>
        <w:rPr>
          <w:b/>
          <w:bCs/>
          <w:color w:val="1F2937"/>
          <w:sz w:val="30"/>
          <w:szCs w:val="30"/>
        </w:rPr>
        <w:t>1. Executive Summary</w:t>
      </w:r>
    </w:p>
    <w:p w14:paraId="7055067C">
      <w:pPr>
        <w:spacing w:after="160" w:line="276" w:lineRule="auto"/>
      </w:pPr>
      <w:r>
        <w:rPr>
          <w:color w:val="1F2937"/>
          <w:sz w:val="21"/>
          <w:szCs w:val="21"/>
        </w:rPr>
        <w:t>This report documents an end-to-end sales analytics project built on a 5,000-order transactional dataset spanning January 2022 to September 2035. The workflow moves through five stages — raw data intake, Excel-based preparation, SQL querying, Python/Pandas analysis, and Power BI dashboarding — and this document consolidates the findings from all five into a single, cross-checked narrative for a business audience.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7"/>
        <w:gridCol w:w="2337"/>
        <w:gridCol w:w="2338"/>
        <w:gridCol w:w="2338"/>
      </w:tblGrid>
      <w:tr w14:paraId="5CA2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tcBorders>
              <w:top w:val="single" w:color="E2E8F0" w:sz="4" w:space="0"/>
              <w:left w:val="single" w:color="2563EB" w:sz="16" w:space="0"/>
              <w:bottom w:val="single" w:color="E2E8F0" w:sz="4" w:space="0"/>
              <w:right w:val="single" w:color="E2E8F0" w:sz="4" w:space="0"/>
            </w:tcBorders>
            <w:shd w:val="clear" w:color="auto" w:fill="F8FAFC"/>
            <w:tcMar>
              <w:top w:w="160" w:type="dxa"/>
              <w:left w:w="140" w:type="dxa"/>
              <w:bottom w:w="160" w:type="dxa"/>
              <w:right w:w="140" w:type="dxa"/>
            </w:tcMar>
          </w:tcPr>
          <w:p w14:paraId="4E75A49B">
            <w:r>
              <w:rPr>
                <w:b/>
                <w:bCs/>
                <w:color w:val="6B7280"/>
                <w:sz w:val="15"/>
                <w:szCs w:val="15"/>
              </w:rPr>
              <w:t>NET SALES</w:t>
            </w:r>
          </w:p>
          <w:p w14:paraId="068B5540">
            <w:pPr>
              <w:spacing w:before="40"/>
            </w:pPr>
            <w:r>
              <w:rPr>
                <w:b/>
                <w:bCs/>
                <w:color w:val="1F2937"/>
                <w:sz w:val="28"/>
                <w:szCs w:val="28"/>
              </w:rPr>
              <w:t>₹5.11M</w:t>
            </w:r>
          </w:p>
          <w:p w14:paraId="2A376F2D">
            <w:r>
              <w:rPr>
                <w:color w:val="6B7280"/>
                <w:sz w:val="15"/>
                <w:szCs w:val="15"/>
              </w:rPr>
              <w:t>After discount</w:t>
            </w:r>
          </w:p>
        </w:tc>
        <w:tc>
          <w:tcPr>
            <w:tcW w:w="2337" w:type="dxa"/>
            <w:tcBorders>
              <w:top w:val="single" w:color="E2E8F0" w:sz="4" w:space="0"/>
              <w:left w:val="single" w:color="2563EB" w:sz="16" w:space="0"/>
              <w:bottom w:val="single" w:color="E2E8F0" w:sz="4" w:space="0"/>
              <w:right w:val="single" w:color="E2E8F0" w:sz="4" w:space="0"/>
            </w:tcBorders>
            <w:shd w:val="clear" w:color="auto" w:fill="F8FAFC"/>
            <w:tcMar>
              <w:top w:w="160" w:type="dxa"/>
              <w:left w:w="140" w:type="dxa"/>
              <w:bottom w:w="160" w:type="dxa"/>
              <w:right w:w="140" w:type="dxa"/>
            </w:tcMar>
          </w:tcPr>
          <w:p w14:paraId="65E22F72">
            <w:r>
              <w:rPr>
                <w:b/>
                <w:bCs/>
                <w:color w:val="6B7280"/>
                <w:sz w:val="15"/>
                <w:szCs w:val="15"/>
              </w:rPr>
              <w:t>TOTAL ORDERS</w:t>
            </w:r>
          </w:p>
          <w:p w14:paraId="36C02BCE">
            <w:pPr>
              <w:spacing w:before="40"/>
            </w:pPr>
            <w:r>
              <w:rPr>
                <w:b/>
                <w:bCs/>
                <w:color w:val="1F2937"/>
                <w:sz w:val="28"/>
                <w:szCs w:val="28"/>
              </w:rPr>
              <w:t>5,000</w:t>
            </w:r>
          </w:p>
          <w:p w14:paraId="0DA6F802">
            <w:r>
              <w:rPr>
                <w:color w:val="6B7280"/>
                <w:sz w:val="15"/>
                <w:szCs w:val="15"/>
              </w:rPr>
              <w:t>One order per record</w:t>
            </w:r>
          </w:p>
        </w:tc>
        <w:tc>
          <w:tcPr>
            <w:tcW w:w="2337" w:type="dxa"/>
            <w:tcBorders>
              <w:top w:val="single" w:color="E2E8F0" w:sz="4" w:space="0"/>
              <w:left w:val="single" w:color="2563EB" w:sz="16" w:space="0"/>
              <w:bottom w:val="single" w:color="E2E8F0" w:sz="4" w:space="0"/>
              <w:right w:val="single" w:color="E2E8F0" w:sz="4" w:space="0"/>
            </w:tcBorders>
            <w:shd w:val="clear" w:color="auto" w:fill="F8FAFC"/>
            <w:tcMar>
              <w:top w:w="160" w:type="dxa"/>
              <w:left w:w="140" w:type="dxa"/>
              <w:bottom w:w="160" w:type="dxa"/>
              <w:right w:w="140" w:type="dxa"/>
            </w:tcMar>
          </w:tcPr>
          <w:p w14:paraId="48A9CA78">
            <w:r>
              <w:rPr>
                <w:b/>
                <w:bCs/>
                <w:color w:val="6B7280"/>
                <w:sz w:val="15"/>
                <w:szCs w:val="15"/>
              </w:rPr>
              <w:t>AVG ORDER VALUE</w:t>
            </w:r>
          </w:p>
          <w:p w14:paraId="4180167C">
            <w:pPr>
              <w:spacing w:before="40"/>
            </w:pPr>
            <w:r>
              <w:rPr>
                <w:b/>
                <w:bCs/>
                <w:color w:val="1F2937"/>
                <w:sz w:val="28"/>
                <w:szCs w:val="28"/>
              </w:rPr>
              <w:t>₹1,022</w:t>
            </w:r>
          </w:p>
          <w:p w14:paraId="62236A7B">
            <w:r>
              <w:rPr>
                <w:color w:val="6B7280"/>
                <w:sz w:val="15"/>
                <w:szCs w:val="15"/>
              </w:rPr>
              <w:t>Net sales / order</w:t>
            </w:r>
          </w:p>
        </w:tc>
        <w:tc>
          <w:tcPr>
            <w:tcW w:w="2337" w:type="dxa"/>
            <w:tcBorders>
              <w:top w:val="single" w:color="E2E8F0" w:sz="4" w:space="0"/>
              <w:left w:val="single" w:color="2563EB" w:sz="16" w:space="0"/>
              <w:bottom w:val="single" w:color="E2E8F0" w:sz="4" w:space="0"/>
              <w:right w:val="single" w:color="E2E8F0" w:sz="4" w:space="0"/>
            </w:tcBorders>
            <w:shd w:val="clear" w:color="auto" w:fill="F8FAFC"/>
            <w:tcMar>
              <w:top w:w="160" w:type="dxa"/>
              <w:left w:w="140" w:type="dxa"/>
              <w:bottom w:w="160" w:type="dxa"/>
              <w:right w:w="140" w:type="dxa"/>
            </w:tcMar>
          </w:tcPr>
          <w:p w14:paraId="09353927">
            <w:r>
              <w:rPr>
                <w:b/>
                <w:bCs/>
                <w:color w:val="6B7280"/>
                <w:sz w:val="15"/>
                <w:szCs w:val="15"/>
              </w:rPr>
              <w:t>UNIQUE CUSTOMERS</w:t>
            </w:r>
          </w:p>
          <w:p w14:paraId="604545C3">
            <w:pPr>
              <w:spacing w:before="40"/>
            </w:pPr>
            <w:r>
              <w:rPr>
                <w:b/>
                <w:bCs/>
                <w:color w:val="1F2937"/>
                <w:sz w:val="28"/>
                <w:szCs w:val="28"/>
              </w:rPr>
              <w:t>989</w:t>
            </w:r>
          </w:p>
          <w:p w14:paraId="577A993B">
            <w:r>
              <w:rPr>
                <w:color w:val="6B7280"/>
                <w:sz w:val="15"/>
                <w:szCs w:val="15"/>
              </w:rPr>
              <w:t>96% placed &gt;1 order</w:t>
            </w:r>
          </w:p>
        </w:tc>
      </w:tr>
      <w:tr w14:paraId="6852A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tcBorders>
              <w:top w:val="single" w:color="E2E8F0" w:sz="4" w:space="0"/>
              <w:left w:val="single" w:color="2563EB" w:sz="16" w:space="0"/>
              <w:bottom w:val="single" w:color="E2E8F0" w:sz="4" w:space="0"/>
              <w:right w:val="single" w:color="E2E8F0" w:sz="4" w:space="0"/>
            </w:tcBorders>
            <w:shd w:val="clear" w:color="auto" w:fill="F8FAFC"/>
            <w:tcMar>
              <w:top w:w="160" w:type="dxa"/>
              <w:left w:w="140" w:type="dxa"/>
              <w:bottom w:w="160" w:type="dxa"/>
              <w:right w:w="140" w:type="dxa"/>
            </w:tcMar>
          </w:tcPr>
          <w:p w14:paraId="75FB4A90">
            <w:r>
              <w:rPr>
                <w:b/>
                <w:bCs/>
                <w:color w:val="6B7280"/>
                <w:sz w:val="15"/>
                <w:szCs w:val="15"/>
              </w:rPr>
              <w:t>AVG DISCOUNT</w:t>
            </w:r>
          </w:p>
          <w:p w14:paraId="0E5E2D57">
            <w:pPr>
              <w:spacing w:before="40"/>
            </w:pPr>
            <w:r>
              <w:rPr>
                <w:b/>
                <w:bCs/>
                <w:color w:val="1F2937"/>
                <w:sz w:val="28"/>
                <w:szCs w:val="28"/>
              </w:rPr>
              <w:t>18.0%</w:t>
            </w:r>
          </w:p>
          <w:p w14:paraId="1CA1BF2D">
            <w:r>
              <w:rPr>
                <w:color w:val="6B7280"/>
                <w:sz w:val="15"/>
                <w:szCs w:val="15"/>
              </w:rPr>
              <w:t>Weighted by orders</w:t>
            </w:r>
          </w:p>
        </w:tc>
        <w:tc>
          <w:tcPr>
            <w:tcW w:w="2337" w:type="dxa"/>
            <w:tcBorders>
              <w:top w:val="single" w:color="E2E8F0" w:sz="4" w:space="0"/>
              <w:left w:val="single" w:color="2563EB" w:sz="16" w:space="0"/>
              <w:bottom w:val="single" w:color="E2E8F0" w:sz="4" w:space="0"/>
              <w:right w:val="single" w:color="E2E8F0" w:sz="4" w:space="0"/>
            </w:tcBorders>
            <w:shd w:val="clear" w:color="auto" w:fill="F8FAFC"/>
            <w:tcMar>
              <w:top w:w="160" w:type="dxa"/>
              <w:left w:w="140" w:type="dxa"/>
              <w:bottom w:w="160" w:type="dxa"/>
              <w:right w:w="140" w:type="dxa"/>
            </w:tcMar>
          </w:tcPr>
          <w:p w14:paraId="123F3B5F">
            <w:r>
              <w:rPr>
                <w:b/>
                <w:bCs/>
                <w:color w:val="6B7280"/>
                <w:sz w:val="15"/>
                <w:szCs w:val="15"/>
              </w:rPr>
              <w:t>AVG DELIVERY</w:t>
            </w:r>
          </w:p>
          <w:p w14:paraId="34CDF8B0">
            <w:pPr>
              <w:spacing w:before="40"/>
            </w:pPr>
            <w:r>
              <w:rPr>
                <w:b/>
                <w:bCs/>
                <w:color w:val="1F2937"/>
                <w:sz w:val="28"/>
                <w:szCs w:val="28"/>
              </w:rPr>
              <w:t>6.12 days</w:t>
            </w:r>
          </w:p>
          <w:p w14:paraId="0379E89E">
            <w:r>
              <w:rPr>
                <w:color w:val="6B7280"/>
                <w:sz w:val="15"/>
                <w:szCs w:val="15"/>
              </w:rPr>
              <w:t>Across all regions</w:t>
            </w:r>
          </w:p>
        </w:tc>
        <w:tc>
          <w:tcPr>
            <w:tcW w:w="2337" w:type="dxa"/>
            <w:tcBorders>
              <w:top w:val="single" w:color="E2E8F0" w:sz="4" w:space="0"/>
              <w:left w:val="single" w:color="2563EB" w:sz="16" w:space="0"/>
              <w:bottom w:val="single" w:color="E2E8F0" w:sz="4" w:space="0"/>
              <w:right w:val="single" w:color="E2E8F0" w:sz="4" w:space="0"/>
            </w:tcBorders>
            <w:shd w:val="clear" w:color="auto" w:fill="F8FAFC"/>
            <w:tcMar>
              <w:top w:w="160" w:type="dxa"/>
              <w:left w:w="140" w:type="dxa"/>
              <w:bottom w:w="160" w:type="dxa"/>
              <w:right w:w="140" w:type="dxa"/>
            </w:tcMar>
          </w:tcPr>
          <w:p w14:paraId="27C60412">
            <w:r>
              <w:rPr>
                <w:b/>
                <w:bCs/>
                <w:color w:val="6B7280"/>
                <w:sz w:val="15"/>
                <w:szCs w:val="15"/>
              </w:rPr>
              <w:t>TOP CATEGORY</w:t>
            </w:r>
          </w:p>
          <w:p w14:paraId="35F50279">
            <w:pPr>
              <w:spacing w:before="40"/>
            </w:pPr>
            <w:r>
              <w:rPr>
                <w:b/>
                <w:bCs/>
                <w:color w:val="1F2937"/>
                <w:sz w:val="28"/>
                <w:szCs w:val="28"/>
              </w:rPr>
              <w:t>Electronics</w:t>
            </w:r>
          </w:p>
          <w:p w14:paraId="6927BF54">
            <w:r>
              <w:rPr>
                <w:color w:val="6B7280"/>
                <w:sz w:val="15"/>
                <w:szCs w:val="15"/>
              </w:rPr>
              <w:t>₹1.83M net sales</w:t>
            </w:r>
          </w:p>
        </w:tc>
        <w:tc>
          <w:tcPr>
            <w:tcW w:w="2337" w:type="dxa"/>
            <w:tcBorders>
              <w:top w:val="single" w:color="E2E8F0" w:sz="4" w:space="0"/>
              <w:left w:val="single" w:color="2563EB" w:sz="16" w:space="0"/>
              <w:bottom w:val="single" w:color="E2E8F0" w:sz="4" w:space="0"/>
              <w:right w:val="single" w:color="E2E8F0" w:sz="4" w:space="0"/>
            </w:tcBorders>
            <w:shd w:val="clear" w:color="auto" w:fill="F8FAFC"/>
            <w:tcMar>
              <w:top w:w="160" w:type="dxa"/>
              <w:left w:w="140" w:type="dxa"/>
              <w:bottom w:w="160" w:type="dxa"/>
              <w:right w:w="140" w:type="dxa"/>
            </w:tcMar>
          </w:tcPr>
          <w:p w14:paraId="189E8609">
            <w:r>
              <w:rPr>
                <w:b/>
                <w:bCs/>
                <w:color w:val="6B7280"/>
                <w:sz w:val="15"/>
                <w:szCs w:val="15"/>
              </w:rPr>
              <w:t>TOP REGION</w:t>
            </w:r>
          </w:p>
          <w:p w14:paraId="14107DD1">
            <w:pPr>
              <w:spacing w:before="40"/>
            </w:pPr>
            <w:r>
              <w:rPr>
                <w:b/>
                <w:bCs/>
                <w:color w:val="1F2937"/>
                <w:sz w:val="28"/>
                <w:szCs w:val="28"/>
              </w:rPr>
              <w:t>West</w:t>
            </w:r>
          </w:p>
          <w:p w14:paraId="484D004D">
            <w:r>
              <w:rPr>
                <w:color w:val="6B7280"/>
                <w:sz w:val="15"/>
                <w:szCs w:val="15"/>
              </w:rPr>
              <w:t>₹1.35M net sales</w:t>
            </w:r>
          </w:p>
        </w:tc>
      </w:tr>
    </w:tbl>
    <w:p w14:paraId="30326FE5">
      <w:pPr>
        <w:spacing w:after="160" w:line="276" w:lineRule="auto"/>
      </w:pPr>
      <w:r>
        <w:rPr>
          <w:color w:val="1F2937"/>
          <w:sz w:val="21"/>
          <w:szCs w:val="21"/>
        </w:rPr>
        <w:t>Analytical approach: raw order-level data (order, customer, product, region, pricing, discount, delivery, payment) was validated for completeness and consistency, enriched with a calculated net-sales field in Excel, queried in SQL for aggregate business KPIs, processed further in Python for data-quality checks and feature engineering (gross sales, discount amount, year/month breakdowns), and finally visualized in a five-page Power BI dashboard suite covering executive KPIs, product/revenue economics, region/payment mix, operations/discounting, and data-quality detail.</w:t>
      </w:r>
    </w:p>
    <w:p w14:paraId="687B0E52">
      <w:pPr>
        <w:spacing w:after="160" w:line="276" w:lineRule="auto"/>
      </w:pPr>
      <w:r>
        <w:rPr>
          <w:color w:val="1F2937"/>
          <w:sz w:val="21"/>
          <w:szCs w:val="21"/>
        </w:rPr>
        <w:t>Most important findings:</w:t>
      </w:r>
    </w:p>
    <w:p w14:paraId="6F8D9C47">
      <w:pPr>
        <w:pStyle w:val="16"/>
        <w:numPr>
          <w:ilvl w:val="0"/>
          <w:numId w:val="1"/>
        </w:numPr>
        <w:spacing w:after="90"/>
      </w:pPr>
      <w:r>
        <w:rPr>
          <w:sz w:val="21"/>
          <w:szCs w:val="21"/>
        </w:rPr>
        <w:t>Electronics and the West region are the strongest performers, but the gap between the best and weakest category/region is narrow — no single segment dominates the business.</w:t>
      </w:r>
    </w:p>
    <w:p w14:paraId="3259D758">
      <w:pPr>
        <w:pStyle w:val="16"/>
        <w:numPr>
          <w:ilvl w:val="0"/>
          <w:numId w:val="1"/>
        </w:numPr>
        <w:spacing w:after="90"/>
      </w:pPr>
      <w:r>
        <w:rPr>
          <w:sz w:val="21"/>
          <w:szCs w:val="21"/>
        </w:rPr>
        <w:t>Sales are essentially flat over the 14.7-year data window (correlation between time and monthly net sales ≈ 0.004) — there is no measurable long-term growth or decline trend in this dataset.</w:t>
      </w:r>
    </w:p>
    <w:p w14:paraId="4DBFCC7E">
      <w:pPr>
        <w:pStyle w:val="16"/>
        <w:numPr>
          <w:ilvl w:val="0"/>
          <w:numId w:val="1"/>
        </w:numPr>
        <w:spacing w:after="90"/>
      </w:pPr>
      <w:r>
        <w:rPr>
          <w:sz w:val="21"/>
          <w:szCs w:val="21"/>
        </w:rPr>
        <w:t>Deeper discounting is mildly associated with lower, not higher, net sales per order (correlation ≈ −0.14), and the 30%+ discount band produces the lowest net sales of any band — discounting does not appear to be an effective revenue lever here.</w:t>
      </w:r>
    </w:p>
    <w:p w14:paraId="3393BEC4">
      <w:pPr>
        <w:spacing w:after="160" w:line="276" w:lineRule="auto"/>
      </w:pPr>
      <w:r>
        <w:rPr>
          <w:color w:val="1F2937"/>
          <w:sz w:val="21"/>
          <w:szCs w:val="21"/>
        </w:rPr>
        <w:t>Key recommendations: standardize the net-sales formula across all tools before further reporting, treat Home and Beauty as improvement-focus categories rather than underperformers in a growing business, investigate delivery-time consistency at the regional level even though the current gap is small, and re-evaluate the value of discounts above 20–30% given their weaker association with sales.</w:t>
      </w:r>
    </w:p>
    <w:p w14:paraId="6626A5BF">
      <w:pPr>
        <w:pStyle w:val="2"/>
        <w:pBdr>
          <w:bottom w:val="single" w:color="2563EB" w:sz="6" w:space="4"/>
        </w:pBdr>
        <w:spacing w:before="480" w:after="200"/>
      </w:pPr>
      <w:r>
        <w:rPr>
          <w:b/>
          <w:bCs/>
          <w:color w:val="1F2937"/>
          <w:sz w:val="30"/>
          <w:szCs w:val="30"/>
        </w:rPr>
        <w:t>2. Business Problem / Business Objective</w:t>
      </w:r>
    </w:p>
    <w:p w14:paraId="692B890E">
      <w:pPr>
        <w:spacing w:after="160" w:line="276" w:lineRule="auto"/>
      </w:pPr>
      <w:r>
        <w:rPr>
          <w:color w:val="1F2937"/>
          <w:sz w:val="21"/>
          <w:szCs w:val="21"/>
        </w:rPr>
        <w:t>A multi-category retail business generates order-level transaction data across regions, product categories, and payment channels but lacks a consolidated, trustworthy view of performance. Decisions on where to focus marketing spend, which categories to prioritize, how much discounting is sustainable, and where delivery operations need attention are currently made without a single source of truth that has been validated end-to-end from raw data to dashboard.</w:t>
      </w:r>
    </w:p>
    <w:p w14:paraId="0844FE54">
      <w:pPr>
        <w:spacing w:after="160" w:line="276" w:lineRule="auto"/>
      </w:pPr>
      <w:r>
        <w:rPr>
          <w:color w:val="1F2937"/>
          <w:sz w:val="21"/>
          <w:szCs w:val="21"/>
        </w:rPr>
        <w:t>This project addresses that gap. It answers the following business questions:</w:t>
      </w:r>
    </w:p>
    <w:p w14:paraId="4893FC0C">
      <w:pPr>
        <w:pStyle w:val="16"/>
        <w:numPr>
          <w:ilvl w:val="0"/>
          <w:numId w:val="1"/>
        </w:numPr>
        <w:spacing w:after="90"/>
      </w:pPr>
      <w:r>
        <w:rPr>
          <w:sz w:val="21"/>
          <w:szCs w:val="21"/>
        </w:rPr>
        <w:t>How much revenue is the business generating, and how is it trending over time?</w:t>
      </w:r>
    </w:p>
    <w:p w14:paraId="6781F503">
      <w:pPr>
        <w:pStyle w:val="16"/>
        <w:numPr>
          <w:ilvl w:val="0"/>
          <w:numId w:val="1"/>
        </w:numPr>
        <w:spacing w:after="90"/>
      </w:pPr>
      <w:r>
        <w:rPr>
          <w:sz w:val="21"/>
          <w:szCs w:val="21"/>
        </w:rPr>
        <w:t>Which product categories, regions, and payment methods contribute most to sales?</w:t>
      </w:r>
    </w:p>
    <w:p w14:paraId="78392575">
      <w:pPr>
        <w:pStyle w:val="16"/>
        <w:numPr>
          <w:ilvl w:val="0"/>
          <w:numId w:val="1"/>
        </w:numPr>
        <w:spacing w:after="90"/>
      </w:pPr>
      <w:r>
        <w:rPr>
          <w:sz w:val="21"/>
          <w:szCs w:val="21"/>
        </w:rPr>
        <w:t>Are discounts helping or hurting overall sales performance?</w:t>
      </w:r>
    </w:p>
    <w:p w14:paraId="12E2CE6B">
      <w:pPr>
        <w:pStyle w:val="16"/>
        <w:numPr>
          <w:ilvl w:val="0"/>
          <w:numId w:val="1"/>
        </w:numPr>
        <w:spacing w:after="90"/>
      </w:pPr>
      <w:r>
        <w:rPr>
          <w:sz w:val="21"/>
          <w:szCs w:val="21"/>
        </w:rPr>
        <w:t>Is delivery performance consistent across regions, and where are the operational gaps?</w:t>
      </w:r>
    </w:p>
    <w:p w14:paraId="6494E2A4">
      <w:pPr>
        <w:pStyle w:val="16"/>
        <w:numPr>
          <w:ilvl w:val="0"/>
          <w:numId w:val="1"/>
        </w:numPr>
        <w:spacing w:after="90"/>
      </w:pPr>
      <w:r>
        <w:rPr>
          <w:sz w:val="21"/>
          <w:szCs w:val="21"/>
        </w:rPr>
        <w:t>Which customers contribute disproportionately to revenue, and how concentrated is that contribution?</w:t>
      </w:r>
    </w:p>
    <w:p w14:paraId="3F2FD88F">
      <w:pPr>
        <w:spacing w:after="160" w:line="276" w:lineRule="auto"/>
      </w:pPr>
      <w:r>
        <w:rPr>
          <w:color w:val="1F2937"/>
          <w:sz w:val="21"/>
          <w:szCs w:val="21"/>
        </w:rPr>
        <w:t>The analysis is designed to support decisions on category investment, regional resource allocation, discount policy, and delivery/operations improvement — not to replace financial reporting, which would require cost and margin data not present in this dataset (see Section 17, Limitations).</w:t>
      </w:r>
    </w:p>
    <w:p w14:paraId="44402159">
      <w:pPr>
        <w:pStyle w:val="2"/>
        <w:pBdr>
          <w:bottom w:val="single" w:color="2563EB" w:sz="6" w:space="4"/>
        </w:pBdr>
        <w:spacing w:before="480" w:after="200"/>
      </w:pPr>
      <w:r>
        <w:rPr>
          <w:b/>
          <w:bCs/>
          <w:color w:val="1F2937"/>
          <w:sz w:val="30"/>
          <w:szCs w:val="30"/>
        </w:rPr>
        <w:t>3. Dataset Overview</w:t>
      </w:r>
    </w:p>
    <w:p w14:paraId="470F9386">
      <w:pPr>
        <w:spacing w:after="160" w:line="276" w:lineRule="auto"/>
      </w:pPr>
      <w:r>
        <w:rPr>
          <w:color w:val="1F2937"/>
          <w:sz w:val="21"/>
          <w:szCs w:val="21"/>
        </w:rPr>
        <w:t>The dataset is a single transactional fact table: one row per sales order. It contains no separate dimension tables (no customer master, product master, or calendar table) — all descriptive attributes are flattened onto the order record.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750"/>
      </w:tblGrid>
      <w:tr w14:paraId="00F52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600" w:type="dxa"/>
            <w:shd w:val="clear" w:color="auto" w:fill="1F2937"/>
            <w:tcMar>
              <w:top w:w="80" w:type="dxa"/>
              <w:left w:w="120" w:type="dxa"/>
              <w:bottom w:w="80" w:type="dxa"/>
              <w:right w:w="120" w:type="dxa"/>
            </w:tcMar>
            <w:vAlign w:val="center"/>
          </w:tcPr>
          <w:p w14:paraId="2D512AC0">
            <w:pPr>
              <w:jc w:val="left"/>
            </w:pPr>
            <w:r>
              <w:rPr>
                <w:b/>
                <w:bCs/>
                <w:color w:val="FFFFFF"/>
                <w:sz w:val="20"/>
                <w:szCs w:val="20"/>
              </w:rPr>
              <w:t>Property</w:t>
            </w:r>
          </w:p>
        </w:tc>
        <w:tc>
          <w:tcPr>
            <w:tcW w:w="4750" w:type="dxa"/>
            <w:shd w:val="clear" w:color="auto" w:fill="1F2937"/>
            <w:tcMar>
              <w:top w:w="80" w:type="dxa"/>
              <w:left w:w="120" w:type="dxa"/>
              <w:bottom w:w="80" w:type="dxa"/>
              <w:right w:w="120" w:type="dxa"/>
            </w:tcMar>
            <w:vAlign w:val="center"/>
          </w:tcPr>
          <w:p w14:paraId="76EE1B2A">
            <w:pPr>
              <w:jc w:val="left"/>
            </w:pPr>
            <w:r>
              <w:rPr>
                <w:b/>
                <w:bCs/>
                <w:color w:val="FFFFFF"/>
                <w:sz w:val="20"/>
                <w:szCs w:val="20"/>
              </w:rPr>
              <w:t>Value</w:t>
            </w:r>
          </w:p>
        </w:tc>
      </w:tr>
      <w:tr w14:paraId="6EE5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EFF3FB"/>
            <w:tcMar>
              <w:top w:w="80" w:type="dxa"/>
              <w:left w:w="120" w:type="dxa"/>
              <w:bottom w:w="80" w:type="dxa"/>
              <w:right w:w="120" w:type="dxa"/>
            </w:tcMar>
            <w:vAlign w:val="center"/>
          </w:tcPr>
          <w:p w14:paraId="7C0C1D02">
            <w:pPr>
              <w:jc w:val="left"/>
            </w:pPr>
            <w:r>
              <w:rPr>
                <w:b w:val="0"/>
                <w:bCs w:val="0"/>
                <w:color w:val="1F2937"/>
                <w:sz w:val="20"/>
                <w:szCs w:val="20"/>
              </w:rPr>
              <w:t>Records (raw)</w:t>
            </w:r>
          </w:p>
        </w:tc>
        <w:tc>
          <w:tcPr>
            <w:tcW w:w="4750" w:type="dxa"/>
            <w:shd w:val="clear" w:color="auto" w:fill="EFF3FB"/>
            <w:tcMar>
              <w:top w:w="80" w:type="dxa"/>
              <w:left w:w="120" w:type="dxa"/>
              <w:bottom w:w="80" w:type="dxa"/>
              <w:right w:w="120" w:type="dxa"/>
            </w:tcMar>
            <w:vAlign w:val="center"/>
          </w:tcPr>
          <w:p w14:paraId="292BAA80">
            <w:pPr>
              <w:jc w:val="left"/>
            </w:pPr>
            <w:r>
              <w:rPr>
                <w:b w:val="0"/>
                <w:bCs w:val="0"/>
                <w:color w:val="1F2937"/>
                <w:sz w:val="20"/>
                <w:szCs w:val="20"/>
              </w:rPr>
              <w:t>5,000 orders</w:t>
            </w:r>
          </w:p>
        </w:tc>
      </w:tr>
      <w:tr w14:paraId="2D94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FFFFFF"/>
            <w:tcMar>
              <w:top w:w="80" w:type="dxa"/>
              <w:left w:w="120" w:type="dxa"/>
              <w:bottom w:w="80" w:type="dxa"/>
              <w:right w:w="120" w:type="dxa"/>
            </w:tcMar>
            <w:vAlign w:val="center"/>
          </w:tcPr>
          <w:p w14:paraId="127EBC36">
            <w:pPr>
              <w:jc w:val="left"/>
            </w:pPr>
            <w:r>
              <w:rPr>
                <w:b w:val="0"/>
                <w:bCs w:val="0"/>
                <w:color w:val="1F2937"/>
                <w:sz w:val="20"/>
                <w:szCs w:val="20"/>
              </w:rPr>
              <w:t>Records (final, Python output)</w:t>
            </w:r>
          </w:p>
        </w:tc>
        <w:tc>
          <w:tcPr>
            <w:tcW w:w="4750" w:type="dxa"/>
            <w:shd w:val="clear" w:color="auto" w:fill="FFFFFF"/>
            <w:tcMar>
              <w:top w:w="80" w:type="dxa"/>
              <w:left w:w="120" w:type="dxa"/>
              <w:bottom w:w="80" w:type="dxa"/>
              <w:right w:w="120" w:type="dxa"/>
            </w:tcMar>
            <w:vAlign w:val="center"/>
          </w:tcPr>
          <w:p w14:paraId="2F05A866">
            <w:pPr>
              <w:jc w:val="left"/>
            </w:pPr>
            <w:r>
              <w:rPr>
                <w:b w:val="0"/>
                <w:bCs w:val="0"/>
                <w:color w:val="1F2937"/>
                <w:sz w:val="20"/>
                <w:szCs w:val="20"/>
              </w:rPr>
              <w:t>5,000 orders — no rows lost across the pipeline</w:t>
            </w:r>
          </w:p>
        </w:tc>
      </w:tr>
      <w:tr w14:paraId="5A5EF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EFF3FB"/>
            <w:tcMar>
              <w:top w:w="80" w:type="dxa"/>
              <w:left w:w="120" w:type="dxa"/>
              <w:bottom w:w="80" w:type="dxa"/>
              <w:right w:w="120" w:type="dxa"/>
            </w:tcMar>
            <w:vAlign w:val="center"/>
          </w:tcPr>
          <w:p w14:paraId="4FE834AB">
            <w:pPr>
              <w:jc w:val="left"/>
            </w:pPr>
            <w:r>
              <w:rPr>
                <w:b w:val="0"/>
                <w:bCs w:val="0"/>
                <w:color w:val="1F2937"/>
                <w:sz w:val="20"/>
                <w:szCs w:val="20"/>
              </w:rPr>
              <w:t>Columns (raw)</w:t>
            </w:r>
          </w:p>
        </w:tc>
        <w:tc>
          <w:tcPr>
            <w:tcW w:w="4750" w:type="dxa"/>
            <w:shd w:val="clear" w:color="auto" w:fill="EFF3FB"/>
            <w:tcMar>
              <w:top w:w="80" w:type="dxa"/>
              <w:left w:w="120" w:type="dxa"/>
              <w:bottom w:w="80" w:type="dxa"/>
              <w:right w:w="120" w:type="dxa"/>
            </w:tcMar>
            <w:vAlign w:val="center"/>
          </w:tcPr>
          <w:p w14:paraId="14514431">
            <w:pPr>
              <w:jc w:val="left"/>
            </w:pPr>
            <w:r>
              <w:rPr>
                <w:b w:val="0"/>
                <w:bCs w:val="0"/>
                <w:color w:val="1F2937"/>
                <w:sz w:val="20"/>
                <w:szCs w:val="20"/>
              </w:rPr>
              <w:t>10</w:t>
            </w:r>
          </w:p>
        </w:tc>
      </w:tr>
      <w:tr w14:paraId="6A40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FFFFFF"/>
            <w:tcMar>
              <w:top w:w="80" w:type="dxa"/>
              <w:left w:w="120" w:type="dxa"/>
              <w:bottom w:w="80" w:type="dxa"/>
              <w:right w:w="120" w:type="dxa"/>
            </w:tcMar>
            <w:vAlign w:val="center"/>
          </w:tcPr>
          <w:p w14:paraId="78908596">
            <w:pPr>
              <w:jc w:val="left"/>
            </w:pPr>
            <w:r>
              <w:rPr>
                <w:b w:val="0"/>
                <w:bCs w:val="0"/>
                <w:color w:val="1F2937"/>
                <w:sz w:val="20"/>
                <w:szCs w:val="20"/>
              </w:rPr>
              <w:t>Columns (final, Python output)</w:t>
            </w:r>
          </w:p>
        </w:tc>
        <w:tc>
          <w:tcPr>
            <w:tcW w:w="4750" w:type="dxa"/>
            <w:shd w:val="clear" w:color="auto" w:fill="FFFFFF"/>
            <w:tcMar>
              <w:top w:w="80" w:type="dxa"/>
              <w:left w:w="120" w:type="dxa"/>
              <w:bottom w:w="80" w:type="dxa"/>
              <w:right w:w="120" w:type="dxa"/>
            </w:tcMar>
            <w:vAlign w:val="center"/>
          </w:tcPr>
          <w:p w14:paraId="7F8566EF">
            <w:pPr>
              <w:jc w:val="left"/>
            </w:pPr>
            <w:r>
              <w:rPr>
                <w:b w:val="0"/>
                <w:bCs w:val="0"/>
                <w:color w:val="1F2937"/>
                <w:sz w:val="20"/>
                <w:szCs w:val="20"/>
              </w:rPr>
              <w:t>16 (after adding sales_amount, gross_sales, discount_amount, year, month, month_name)</w:t>
            </w:r>
          </w:p>
        </w:tc>
      </w:tr>
      <w:tr w14:paraId="4DB0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EFF3FB"/>
            <w:tcMar>
              <w:top w:w="80" w:type="dxa"/>
              <w:left w:w="120" w:type="dxa"/>
              <w:bottom w:w="80" w:type="dxa"/>
              <w:right w:w="120" w:type="dxa"/>
            </w:tcMar>
            <w:vAlign w:val="center"/>
          </w:tcPr>
          <w:p w14:paraId="1869F509">
            <w:pPr>
              <w:jc w:val="left"/>
            </w:pPr>
            <w:r>
              <w:rPr>
                <w:b w:val="0"/>
                <w:bCs w:val="0"/>
                <w:color w:val="1F2937"/>
                <w:sz w:val="20"/>
                <w:szCs w:val="20"/>
              </w:rPr>
              <w:t>Date range</w:t>
            </w:r>
          </w:p>
        </w:tc>
        <w:tc>
          <w:tcPr>
            <w:tcW w:w="4750" w:type="dxa"/>
            <w:shd w:val="clear" w:color="auto" w:fill="EFF3FB"/>
            <w:tcMar>
              <w:top w:w="80" w:type="dxa"/>
              <w:left w:w="120" w:type="dxa"/>
              <w:bottom w:w="80" w:type="dxa"/>
              <w:right w:w="120" w:type="dxa"/>
            </w:tcMar>
            <w:vAlign w:val="center"/>
          </w:tcPr>
          <w:p w14:paraId="3CCF13FB">
            <w:pPr>
              <w:jc w:val="left"/>
            </w:pPr>
            <w:r>
              <w:rPr>
                <w:b w:val="0"/>
                <w:bCs w:val="0"/>
                <w:color w:val="1F2937"/>
                <w:sz w:val="20"/>
                <w:szCs w:val="20"/>
              </w:rPr>
              <w:t>01 Jan 2022 – 09 Sep 2035 (5,000 calendar days; exactly one order per day)</w:t>
            </w:r>
          </w:p>
        </w:tc>
      </w:tr>
      <w:tr w14:paraId="6E82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FFFFFF"/>
            <w:tcMar>
              <w:top w:w="80" w:type="dxa"/>
              <w:left w:w="120" w:type="dxa"/>
              <w:bottom w:w="80" w:type="dxa"/>
              <w:right w:w="120" w:type="dxa"/>
            </w:tcMar>
            <w:vAlign w:val="center"/>
          </w:tcPr>
          <w:p w14:paraId="5D763994">
            <w:pPr>
              <w:jc w:val="left"/>
            </w:pPr>
            <w:r>
              <w:rPr>
                <w:b w:val="0"/>
                <w:bCs w:val="0"/>
                <w:color w:val="1F2937"/>
                <w:sz w:val="20"/>
                <w:szCs w:val="20"/>
              </w:rPr>
              <w:t>Data granularity</w:t>
            </w:r>
          </w:p>
        </w:tc>
        <w:tc>
          <w:tcPr>
            <w:tcW w:w="4750" w:type="dxa"/>
            <w:shd w:val="clear" w:color="auto" w:fill="FFFFFF"/>
            <w:tcMar>
              <w:top w:w="80" w:type="dxa"/>
              <w:left w:w="120" w:type="dxa"/>
              <w:bottom w:w="80" w:type="dxa"/>
              <w:right w:w="120" w:type="dxa"/>
            </w:tcMar>
            <w:vAlign w:val="center"/>
          </w:tcPr>
          <w:p w14:paraId="7F419562">
            <w:pPr>
              <w:jc w:val="left"/>
            </w:pPr>
            <w:r>
              <w:rPr>
                <w:b w:val="0"/>
                <w:bCs w:val="0"/>
                <w:color w:val="1F2937"/>
                <w:sz w:val="20"/>
                <w:szCs w:val="20"/>
              </w:rPr>
              <w:t>One row = one order (order-level, not line-item level)</w:t>
            </w:r>
          </w:p>
        </w:tc>
      </w:tr>
      <w:tr w14:paraId="5B7D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EFF3FB"/>
            <w:tcMar>
              <w:top w:w="80" w:type="dxa"/>
              <w:left w:w="120" w:type="dxa"/>
              <w:bottom w:w="80" w:type="dxa"/>
              <w:right w:w="120" w:type="dxa"/>
            </w:tcMar>
            <w:vAlign w:val="center"/>
          </w:tcPr>
          <w:p w14:paraId="5ECB4DE6">
            <w:pPr>
              <w:jc w:val="left"/>
            </w:pPr>
            <w:r>
              <w:rPr>
                <w:b w:val="0"/>
                <w:bCs w:val="0"/>
                <w:color w:val="1F2937"/>
                <w:sz w:val="20"/>
                <w:szCs w:val="20"/>
              </w:rPr>
              <w:t>Unique customers</w:t>
            </w:r>
          </w:p>
        </w:tc>
        <w:tc>
          <w:tcPr>
            <w:tcW w:w="4750" w:type="dxa"/>
            <w:shd w:val="clear" w:color="auto" w:fill="EFF3FB"/>
            <w:tcMar>
              <w:top w:w="80" w:type="dxa"/>
              <w:left w:w="120" w:type="dxa"/>
              <w:bottom w:w="80" w:type="dxa"/>
              <w:right w:w="120" w:type="dxa"/>
            </w:tcMar>
            <w:vAlign w:val="center"/>
          </w:tcPr>
          <w:p w14:paraId="611FA71E">
            <w:pPr>
              <w:jc w:val="left"/>
            </w:pPr>
            <w:r>
              <w:rPr>
                <w:b w:val="0"/>
                <w:bCs w:val="0"/>
                <w:color w:val="1F2937"/>
                <w:sz w:val="20"/>
                <w:szCs w:val="20"/>
              </w:rPr>
              <w:t>989</w:t>
            </w:r>
          </w:p>
        </w:tc>
      </w:tr>
      <w:tr w14:paraId="7816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FFFFFF"/>
            <w:tcMar>
              <w:top w:w="80" w:type="dxa"/>
              <w:left w:w="120" w:type="dxa"/>
              <w:bottom w:w="80" w:type="dxa"/>
              <w:right w:w="120" w:type="dxa"/>
            </w:tcMar>
            <w:vAlign w:val="center"/>
          </w:tcPr>
          <w:p w14:paraId="23665C2F">
            <w:pPr>
              <w:jc w:val="left"/>
            </w:pPr>
            <w:r>
              <w:rPr>
                <w:b w:val="0"/>
                <w:bCs w:val="0"/>
                <w:color w:val="1F2937"/>
                <w:sz w:val="20"/>
                <w:szCs w:val="20"/>
              </w:rPr>
              <w:t>Unique orders</w:t>
            </w:r>
          </w:p>
        </w:tc>
        <w:tc>
          <w:tcPr>
            <w:tcW w:w="4750" w:type="dxa"/>
            <w:shd w:val="clear" w:color="auto" w:fill="FFFFFF"/>
            <w:tcMar>
              <w:top w:w="80" w:type="dxa"/>
              <w:left w:w="120" w:type="dxa"/>
              <w:bottom w:w="80" w:type="dxa"/>
              <w:right w:w="120" w:type="dxa"/>
            </w:tcMar>
            <w:vAlign w:val="center"/>
          </w:tcPr>
          <w:p w14:paraId="194B5CB1">
            <w:pPr>
              <w:jc w:val="left"/>
            </w:pPr>
            <w:r>
              <w:rPr>
                <w:b w:val="0"/>
                <w:bCs w:val="0"/>
                <w:color w:val="1F2937"/>
                <w:sz w:val="20"/>
                <w:szCs w:val="20"/>
              </w:rPr>
              <w:t>5,000 (no duplicate order IDs)</w:t>
            </w:r>
          </w:p>
        </w:tc>
      </w:tr>
    </w:tbl>
    <w:p w14:paraId="06890F78">
      <w:pPr>
        <w:pStyle w:val="3"/>
        <w:spacing w:before="300" w:after="120"/>
      </w:pPr>
      <w:r>
        <w:rPr>
          <w:b/>
          <w:bCs/>
          <w:color w:val="2563EB"/>
          <w:sz w:val="24"/>
          <w:szCs w:val="24"/>
        </w:rPr>
        <w:t>Column Structure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4150"/>
      </w:tblGrid>
      <w:tr w14:paraId="74585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00" w:type="dxa"/>
            <w:shd w:val="clear" w:color="auto" w:fill="1F2937"/>
            <w:tcMar>
              <w:top w:w="80" w:type="dxa"/>
              <w:left w:w="120" w:type="dxa"/>
              <w:bottom w:w="80" w:type="dxa"/>
              <w:right w:w="120" w:type="dxa"/>
            </w:tcMar>
            <w:vAlign w:val="center"/>
          </w:tcPr>
          <w:p w14:paraId="246A4D7F">
            <w:pPr>
              <w:jc w:val="left"/>
            </w:pPr>
            <w:r>
              <w:rPr>
                <w:b/>
                <w:bCs/>
                <w:color w:val="FFFFFF"/>
                <w:sz w:val="20"/>
                <w:szCs w:val="20"/>
              </w:rPr>
              <w:t>Column</w:t>
            </w:r>
          </w:p>
        </w:tc>
        <w:tc>
          <w:tcPr>
            <w:tcW w:w="2400" w:type="dxa"/>
            <w:shd w:val="clear" w:color="auto" w:fill="1F2937"/>
            <w:tcMar>
              <w:top w:w="80" w:type="dxa"/>
              <w:left w:w="120" w:type="dxa"/>
              <w:bottom w:w="80" w:type="dxa"/>
              <w:right w:w="120" w:type="dxa"/>
            </w:tcMar>
            <w:vAlign w:val="center"/>
          </w:tcPr>
          <w:p w14:paraId="1A7A1B0A">
            <w:pPr>
              <w:jc w:val="left"/>
            </w:pPr>
            <w:r>
              <w:rPr>
                <w:b/>
                <w:bCs/>
                <w:color w:val="FFFFFF"/>
                <w:sz w:val="20"/>
                <w:szCs w:val="20"/>
              </w:rPr>
              <w:t>Type</w:t>
            </w:r>
          </w:p>
        </w:tc>
        <w:tc>
          <w:tcPr>
            <w:tcW w:w="4150" w:type="dxa"/>
            <w:shd w:val="clear" w:color="auto" w:fill="1F2937"/>
            <w:tcMar>
              <w:top w:w="80" w:type="dxa"/>
              <w:left w:w="120" w:type="dxa"/>
              <w:bottom w:w="80" w:type="dxa"/>
              <w:right w:w="120" w:type="dxa"/>
            </w:tcMar>
            <w:vAlign w:val="center"/>
          </w:tcPr>
          <w:p w14:paraId="099837FC">
            <w:pPr>
              <w:jc w:val="left"/>
            </w:pPr>
            <w:r>
              <w:rPr>
                <w:b/>
                <w:bCs/>
                <w:color w:val="FFFFFF"/>
                <w:sz w:val="20"/>
                <w:szCs w:val="20"/>
              </w:rPr>
              <w:t>Role</w:t>
            </w:r>
          </w:p>
        </w:tc>
      </w:tr>
      <w:tr w14:paraId="0FE8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FF3FB"/>
            <w:tcMar>
              <w:top w:w="80" w:type="dxa"/>
              <w:left w:w="120" w:type="dxa"/>
              <w:bottom w:w="80" w:type="dxa"/>
              <w:right w:w="120" w:type="dxa"/>
            </w:tcMar>
            <w:vAlign w:val="center"/>
          </w:tcPr>
          <w:p w14:paraId="6FA26F87">
            <w:pPr>
              <w:jc w:val="left"/>
            </w:pPr>
            <w:r>
              <w:rPr>
                <w:b w:val="0"/>
                <w:bCs w:val="0"/>
                <w:color w:val="1F2937"/>
                <w:sz w:val="20"/>
                <w:szCs w:val="20"/>
              </w:rPr>
              <w:t>order_id</w:t>
            </w:r>
          </w:p>
        </w:tc>
        <w:tc>
          <w:tcPr>
            <w:tcW w:w="2400" w:type="dxa"/>
            <w:shd w:val="clear" w:color="auto" w:fill="EFF3FB"/>
            <w:tcMar>
              <w:top w:w="80" w:type="dxa"/>
              <w:left w:w="120" w:type="dxa"/>
              <w:bottom w:w="80" w:type="dxa"/>
              <w:right w:w="120" w:type="dxa"/>
            </w:tcMar>
            <w:vAlign w:val="center"/>
          </w:tcPr>
          <w:p w14:paraId="26707C52">
            <w:pPr>
              <w:jc w:val="left"/>
            </w:pPr>
            <w:r>
              <w:rPr>
                <w:b w:val="0"/>
                <w:bCs w:val="0"/>
                <w:color w:val="1F2937"/>
                <w:sz w:val="20"/>
                <w:szCs w:val="20"/>
              </w:rPr>
              <w:t>Integer</w:t>
            </w:r>
          </w:p>
        </w:tc>
        <w:tc>
          <w:tcPr>
            <w:tcW w:w="4150" w:type="dxa"/>
            <w:shd w:val="clear" w:color="auto" w:fill="EFF3FB"/>
            <w:tcMar>
              <w:top w:w="80" w:type="dxa"/>
              <w:left w:w="120" w:type="dxa"/>
              <w:bottom w:w="80" w:type="dxa"/>
              <w:right w:w="120" w:type="dxa"/>
            </w:tcMar>
            <w:vAlign w:val="center"/>
          </w:tcPr>
          <w:p w14:paraId="11A226B9">
            <w:pPr>
              <w:jc w:val="left"/>
            </w:pPr>
            <w:r>
              <w:rPr>
                <w:b w:val="0"/>
                <w:bCs w:val="0"/>
                <w:color w:val="1F2937"/>
                <w:sz w:val="20"/>
                <w:szCs w:val="20"/>
              </w:rPr>
              <w:t>Primary key — unique order identifier</w:t>
            </w:r>
          </w:p>
        </w:tc>
      </w:tr>
      <w:tr w14:paraId="3173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vAlign w:val="center"/>
          </w:tcPr>
          <w:p w14:paraId="2344938F">
            <w:pPr>
              <w:jc w:val="left"/>
            </w:pPr>
            <w:r>
              <w:rPr>
                <w:b w:val="0"/>
                <w:bCs w:val="0"/>
                <w:color w:val="1F2937"/>
                <w:sz w:val="20"/>
                <w:szCs w:val="20"/>
              </w:rPr>
              <w:t>order_date</w:t>
            </w:r>
          </w:p>
        </w:tc>
        <w:tc>
          <w:tcPr>
            <w:tcW w:w="2400" w:type="dxa"/>
            <w:shd w:val="clear" w:color="auto" w:fill="FFFFFF"/>
            <w:tcMar>
              <w:top w:w="80" w:type="dxa"/>
              <w:left w:w="120" w:type="dxa"/>
              <w:bottom w:w="80" w:type="dxa"/>
              <w:right w:w="120" w:type="dxa"/>
            </w:tcMar>
            <w:vAlign w:val="center"/>
          </w:tcPr>
          <w:p w14:paraId="3DC815E2">
            <w:pPr>
              <w:jc w:val="left"/>
            </w:pPr>
            <w:r>
              <w:rPr>
                <w:b w:val="0"/>
                <w:bCs w:val="0"/>
                <w:color w:val="1F2937"/>
                <w:sz w:val="20"/>
                <w:szCs w:val="20"/>
              </w:rPr>
              <w:t>Date</w:t>
            </w:r>
          </w:p>
        </w:tc>
        <w:tc>
          <w:tcPr>
            <w:tcW w:w="4150" w:type="dxa"/>
            <w:shd w:val="clear" w:color="auto" w:fill="FFFFFF"/>
            <w:tcMar>
              <w:top w:w="80" w:type="dxa"/>
              <w:left w:w="120" w:type="dxa"/>
              <w:bottom w:w="80" w:type="dxa"/>
              <w:right w:w="120" w:type="dxa"/>
            </w:tcMar>
            <w:vAlign w:val="center"/>
          </w:tcPr>
          <w:p w14:paraId="327A7A81">
            <w:pPr>
              <w:jc w:val="left"/>
            </w:pPr>
            <w:r>
              <w:rPr>
                <w:b w:val="0"/>
                <w:bCs w:val="0"/>
                <w:color w:val="1F2937"/>
                <w:sz w:val="20"/>
                <w:szCs w:val="20"/>
              </w:rPr>
              <w:t>Transaction date</w:t>
            </w:r>
          </w:p>
        </w:tc>
      </w:tr>
      <w:tr w14:paraId="52643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FF3FB"/>
            <w:tcMar>
              <w:top w:w="80" w:type="dxa"/>
              <w:left w:w="120" w:type="dxa"/>
              <w:bottom w:w="80" w:type="dxa"/>
              <w:right w:w="120" w:type="dxa"/>
            </w:tcMar>
            <w:vAlign w:val="center"/>
          </w:tcPr>
          <w:p w14:paraId="31D68C77">
            <w:pPr>
              <w:jc w:val="left"/>
            </w:pPr>
            <w:r>
              <w:rPr>
                <w:b w:val="0"/>
                <w:bCs w:val="0"/>
                <w:color w:val="1F2937"/>
                <w:sz w:val="20"/>
                <w:szCs w:val="20"/>
              </w:rPr>
              <w:t>customer_id</w:t>
            </w:r>
          </w:p>
        </w:tc>
        <w:tc>
          <w:tcPr>
            <w:tcW w:w="2400" w:type="dxa"/>
            <w:shd w:val="clear" w:color="auto" w:fill="EFF3FB"/>
            <w:tcMar>
              <w:top w:w="80" w:type="dxa"/>
              <w:left w:w="120" w:type="dxa"/>
              <w:bottom w:w="80" w:type="dxa"/>
              <w:right w:w="120" w:type="dxa"/>
            </w:tcMar>
            <w:vAlign w:val="center"/>
          </w:tcPr>
          <w:p w14:paraId="7D563AF7">
            <w:pPr>
              <w:jc w:val="left"/>
            </w:pPr>
            <w:r>
              <w:rPr>
                <w:b w:val="0"/>
                <w:bCs w:val="0"/>
                <w:color w:val="1F2937"/>
                <w:sz w:val="20"/>
                <w:szCs w:val="20"/>
              </w:rPr>
              <w:t>Integer</w:t>
            </w:r>
          </w:p>
        </w:tc>
        <w:tc>
          <w:tcPr>
            <w:tcW w:w="4150" w:type="dxa"/>
            <w:shd w:val="clear" w:color="auto" w:fill="EFF3FB"/>
            <w:tcMar>
              <w:top w:w="80" w:type="dxa"/>
              <w:left w:w="120" w:type="dxa"/>
              <w:bottom w:w="80" w:type="dxa"/>
              <w:right w:w="120" w:type="dxa"/>
            </w:tcMar>
            <w:vAlign w:val="center"/>
          </w:tcPr>
          <w:p w14:paraId="4332AE70">
            <w:pPr>
              <w:jc w:val="left"/>
            </w:pPr>
            <w:r>
              <w:rPr>
                <w:b w:val="0"/>
                <w:bCs w:val="0"/>
                <w:color w:val="1F2937"/>
                <w:sz w:val="20"/>
                <w:szCs w:val="20"/>
              </w:rPr>
              <w:t>Customer identifier (no name/demographic data)</w:t>
            </w:r>
          </w:p>
        </w:tc>
      </w:tr>
      <w:tr w14:paraId="0B43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vAlign w:val="center"/>
          </w:tcPr>
          <w:p w14:paraId="42694985">
            <w:pPr>
              <w:jc w:val="left"/>
            </w:pPr>
            <w:r>
              <w:rPr>
                <w:b w:val="0"/>
                <w:bCs w:val="0"/>
                <w:color w:val="1F2937"/>
                <w:sz w:val="20"/>
                <w:szCs w:val="20"/>
              </w:rPr>
              <w:t>product_category</w:t>
            </w:r>
          </w:p>
        </w:tc>
        <w:tc>
          <w:tcPr>
            <w:tcW w:w="2400" w:type="dxa"/>
            <w:shd w:val="clear" w:color="auto" w:fill="FFFFFF"/>
            <w:tcMar>
              <w:top w:w="80" w:type="dxa"/>
              <w:left w:w="120" w:type="dxa"/>
              <w:bottom w:w="80" w:type="dxa"/>
              <w:right w:w="120" w:type="dxa"/>
            </w:tcMar>
            <w:vAlign w:val="center"/>
          </w:tcPr>
          <w:p w14:paraId="21A3166D">
            <w:pPr>
              <w:jc w:val="left"/>
            </w:pPr>
            <w:r>
              <w:rPr>
                <w:b w:val="0"/>
                <w:bCs w:val="0"/>
                <w:color w:val="1F2937"/>
                <w:sz w:val="20"/>
                <w:szCs w:val="20"/>
              </w:rPr>
              <w:t>Categorical (4 values)</w:t>
            </w:r>
          </w:p>
        </w:tc>
        <w:tc>
          <w:tcPr>
            <w:tcW w:w="4150" w:type="dxa"/>
            <w:shd w:val="clear" w:color="auto" w:fill="FFFFFF"/>
            <w:tcMar>
              <w:top w:w="80" w:type="dxa"/>
              <w:left w:w="120" w:type="dxa"/>
              <w:bottom w:w="80" w:type="dxa"/>
              <w:right w:w="120" w:type="dxa"/>
            </w:tcMar>
            <w:vAlign w:val="center"/>
          </w:tcPr>
          <w:p w14:paraId="7B6BE26A">
            <w:pPr>
              <w:jc w:val="left"/>
            </w:pPr>
            <w:r>
              <w:rPr>
                <w:b w:val="0"/>
                <w:bCs w:val="0"/>
                <w:color w:val="1F2937"/>
                <w:sz w:val="20"/>
                <w:szCs w:val="20"/>
              </w:rPr>
              <w:t>Electronics, Clothing, Home, Beauty</w:t>
            </w:r>
          </w:p>
        </w:tc>
      </w:tr>
      <w:tr w14:paraId="44EC3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FF3FB"/>
            <w:tcMar>
              <w:top w:w="80" w:type="dxa"/>
              <w:left w:w="120" w:type="dxa"/>
              <w:bottom w:w="80" w:type="dxa"/>
              <w:right w:w="120" w:type="dxa"/>
            </w:tcMar>
            <w:vAlign w:val="center"/>
          </w:tcPr>
          <w:p w14:paraId="70281DBC">
            <w:pPr>
              <w:jc w:val="left"/>
            </w:pPr>
            <w:r>
              <w:rPr>
                <w:b w:val="0"/>
                <w:bCs w:val="0"/>
                <w:color w:val="1F2937"/>
                <w:sz w:val="20"/>
                <w:szCs w:val="20"/>
              </w:rPr>
              <w:t>region</w:t>
            </w:r>
          </w:p>
        </w:tc>
        <w:tc>
          <w:tcPr>
            <w:tcW w:w="2400" w:type="dxa"/>
            <w:shd w:val="clear" w:color="auto" w:fill="EFF3FB"/>
            <w:tcMar>
              <w:top w:w="80" w:type="dxa"/>
              <w:left w:w="120" w:type="dxa"/>
              <w:bottom w:w="80" w:type="dxa"/>
              <w:right w:w="120" w:type="dxa"/>
            </w:tcMar>
            <w:vAlign w:val="center"/>
          </w:tcPr>
          <w:p w14:paraId="0C6945DD">
            <w:pPr>
              <w:jc w:val="left"/>
            </w:pPr>
            <w:r>
              <w:rPr>
                <w:b w:val="0"/>
                <w:bCs w:val="0"/>
                <w:color w:val="1F2937"/>
                <w:sz w:val="20"/>
                <w:szCs w:val="20"/>
              </w:rPr>
              <w:t>Categorical (4 values)</w:t>
            </w:r>
          </w:p>
        </w:tc>
        <w:tc>
          <w:tcPr>
            <w:tcW w:w="4150" w:type="dxa"/>
            <w:shd w:val="clear" w:color="auto" w:fill="EFF3FB"/>
            <w:tcMar>
              <w:top w:w="80" w:type="dxa"/>
              <w:left w:w="120" w:type="dxa"/>
              <w:bottom w:w="80" w:type="dxa"/>
              <w:right w:w="120" w:type="dxa"/>
            </w:tcMar>
            <w:vAlign w:val="center"/>
          </w:tcPr>
          <w:p w14:paraId="526E1B4D">
            <w:pPr>
              <w:jc w:val="left"/>
            </w:pPr>
            <w:r>
              <w:rPr>
                <w:b w:val="0"/>
                <w:bCs w:val="0"/>
                <w:color w:val="1F2937"/>
                <w:sz w:val="20"/>
                <w:szCs w:val="20"/>
              </w:rPr>
              <w:t>North, South, East, West</w:t>
            </w:r>
          </w:p>
        </w:tc>
      </w:tr>
      <w:tr w14:paraId="1C4C2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vAlign w:val="center"/>
          </w:tcPr>
          <w:p w14:paraId="5364FB4A">
            <w:pPr>
              <w:jc w:val="left"/>
            </w:pPr>
            <w:r>
              <w:rPr>
                <w:b w:val="0"/>
                <w:bCs w:val="0"/>
                <w:color w:val="1F2937"/>
                <w:sz w:val="20"/>
                <w:szCs w:val="20"/>
              </w:rPr>
              <w:t>quantity</w:t>
            </w:r>
          </w:p>
        </w:tc>
        <w:tc>
          <w:tcPr>
            <w:tcW w:w="2400" w:type="dxa"/>
            <w:shd w:val="clear" w:color="auto" w:fill="FFFFFF"/>
            <w:tcMar>
              <w:top w:w="80" w:type="dxa"/>
              <w:left w:w="120" w:type="dxa"/>
              <w:bottom w:w="80" w:type="dxa"/>
              <w:right w:w="120" w:type="dxa"/>
            </w:tcMar>
            <w:vAlign w:val="center"/>
          </w:tcPr>
          <w:p w14:paraId="2914E39F">
            <w:pPr>
              <w:jc w:val="left"/>
            </w:pPr>
            <w:r>
              <w:rPr>
                <w:b w:val="0"/>
                <w:bCs w:val="0"/>
                <w:color w:val="1F2937"/>
                <w:sz w:val="20"/>
                <w:szCs w:val="20"/>
              </w:rPr>
              <w:t>Integer</w:t>
            </w:r>
          </w:p>
        </w:tc>
        <w:tc>
          <w:tcPr>
            <w:tcW w:w="4150" w:type="dxa"/>
            <w:shd w:val="clear" w:color="auto" w:fill="FFFFFF"/>
            <w:tcMar>
              <w:top w:w="80" w:type="dxa"/>
              <w:left w:w="120" w:type="dxa"/>
              <w:bottom w:w="80" w:type="dxa"/>
              <w:right w:w="120" w:type="dxa"/>
            </w:tcMar>
            <w:vAlign w:val="center"/>
          </w:tcPr>
          <w:p w14:paraId="11BF1150">
            <w:pPr>
              <w:jc w:val="left"/>
            </w:pPr>
            <w:r>
              <w:rPr>
                <w:b w:val="0"/>
                <w:bCs w:val="0"/>
                <w:color w:val="1F2937"/>
                <w:sz w:val="20"/>
                <w:szCs w:val="20"/>
              </w:rPr>
              <w:t>Units ordered (range 1–7)</w:t>
            </w:r>
          </w:p>
        </w:tc>
      </w:tr>
      <w:tr w14:paraId="37EB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FF3FB"/>
            <w:tcMar>
              <w:top w:w="80" w:type="dxa"/>
              <w:left w:w="120" w:type="dxa"/>
              <w:bottom w:w="80" w:type="dxa"/>
              <w:right w:w="120" w:type="dxa"/>
            </w:tcMar>
            <w:vAlign w:val="center"/>
          </w:tcPr>
          <w:p w14:paraId="1D7DAC4F">
            <w:pPr>
              <w:jc w:val="left"/>
            </w:pPr>
            <w:r>
              <w:rPr>
                <w:b w:val="0"/>
                <w:bCs w:val="0"/>
                <w:color w:val="1F2937"/>
                <w:sz w:val="20"/>
                <w:szCs w:val="20"/>
              </w:rPr>
              <w:t>unit_price</w:t>
            </w:r>
          </w:p>
        </w:tc>
        <w:tc>
          <w:tcPr>
            <w:tcW w:w="2400" w:type="dxa"/>
            <w:shd w:val="clear" w:color="auto" w:fill="EFF3FB"/>
            <w:tcMar>
              <w:top w:w="80" w:type="dxa"/>
              <w:left w:w="120" w:type="dxa"/>
              <w:bottom w:w="80" w:type="dxa"/>
              <w:right w:w="120" w:type="dxa"/>
            </w:tcMar>
            <w:vAlign w:val="center"/>
          </w:tcPr>
          <w:p w14:paraId="619F3D99">
            <w:pPr>
              <w:jc w:val="left"/>
            </w:pPr>
            <w:r>
              <w:rPr>
                <w:b w:val="0"/>
                <w:bCs w:val="0"/>
                <w:color w:val="1F2937"/>
                <w:sz w:val="20"/>
                <w:szCs w:val="20"/>
              </w:rPr>
              <w:t>Numeric</w:t>
            </w:r>
          </w:p>
        </w:tc>
        <w:tc>
          <w:tcPr>
            <w:tcW w:w="4150" w:type="dxa"/>
            <w:shd w:val="clear" w:color="auto" w:fill="EFF3FB"/>
            <w:tcMar>
              <w:top w:w="80" w:type="dxa"/>
              <w:left w:w="120" w:type="dxa"/>
              <w:bottom w:w="80" w:type="dxa"/>
              <w:right w:w="120" w:type="dxa"/>
            </w:tcMar>
            <w:vAlign w:val="center"/>
          </w:tcPr>
          <w:p w14:paraId="2C17A991">
            <w:pPr>
              <w:jc w:val="left"/>
            </w:pPr>
            <w:r>
              <w:rPr>
                <w:b w:val="0"/>
                <w:bCs w:val="0"/>
                <w:color w:val="1F2937"/>
                <w:sz w:val="20"/>
                <w:szCs w:val="20"/>
              </w:rPr>
              <w:t>Price per unit, ₹15–₹600</w:t>
            </w:r>
          </w:p>
        </w:tc>
      </w:tr>
      <w:tr w14:paraId="7DE8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vAlign w:val="center"/>
          </w:tcPr>
          <w:p w14:paraId="6465C68D">
            <w:pPr>
              <w:jc w:val="left"/>
            </w:pPr>
            <w:r>
              <w:rPr>
                <w:b w:val="0"/>
                <w:bCs w:val="0"/>
                <w:color w:val="1F2937"/>
                <w:sz w:val="20"/>
                <w:szCs w:val="20"/>
              </w:rPr>
              <w:t>discount</w:t>
            </w:r>
          </w:p>
        </w:tc>
        <w:tc>
          <w:tcPr>
            <w:tcW w:w="2400" w:type="dxa"/>
            <w:shd w:val="clear" w:color="auto" w:fill="FFFFFF"/>
            <w:tcMar>
              <w:top w:w="80" w:type="dxa"/>
              <w:left w:w="120" w:type="dxa"/>
              <w:bottom w:w="80" w:type="dxa"/>
              <w:right w:w="120" w:type="dxa"/>
            </w:tcMar>
            <w:vAlign w:val="center"/>
          </w:tcPr>
          <w:p w14:paraId="1B475949">
            <w:pPr>
              <w:jc w:val="left"/>
            </w:pPr>
            <w:r>
              <w:rPr>
                <w:b w:val="0"/>
                <w:bCs w:val="0"/>
                <w:color w:val="1F2937"/>
                <w:sz w:val="20"/>
                <w:szCs w:val="20"/>
              </w:rPr>
              <w:t>Numeric (0–1)</w:t>
            </w:r>
          </w:p>
        </w:tc>
        <w:tc>
          <w:tcPr>
            <w:tcW w:w="4150" w:type="dxa"/>
            <w:shd w:val="clear" w:color="auto" w:fill="FFFFFF"/>
            <w:tcMar>
              <w:top w:w="80" w:type="dxa"/>
              <w:left w:w="120" w:type="dxa"/>
              <w:bottom w:w="80" w:type="dxa"/>
              <w:right w:w="120" w:type="dxa"/>
            </w:tcMar>
            <w:vAlign w:val="center"/>
          </w:tcPr>
          <w:p w14:paraId="2889205F">
            <w:pPr>
              <w:jc w:val="left"/>
            </w:pPr>
            <w:r>
              <w:rPr>
                <w:b w:val="0"/>
                <w:bCs w:val="0"/>
                <w:color w:val="1F2937"/>
                <w:sz w:val="20"/>
                <w:szCs w:val="20"/>
              </w:rPr>
              <w:t>Discount rate applied, 0%–35%</w:t>
            </w:r>
          </w:p>
        </w:tc>
      </w:tr>
      <w:tr w14:paraId="1E1C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FF3FB"/>
            <w:tcMar>
              <w:top w:w="80" w:type="dxa"/>
              <w:left w:w="120" w:type="dxa"/>
              <w:bottom w:w="80" w:type="dxa"/>
              <w:right w:w="120" w:type="dxa"/>
            </w:tcMar>
            <w:vAlign w:val="center"/>
          </w:tcPr>
          <w:p w14:paraId="53B9D49C">
            <w:pPr>
              <w:jc w:val="left"/>
            </w:pPr>
            <w:r>
              <w:rPr>
                <w:b w:val="0"/>
                <w:bCs w:val="0"/>
                <w:color w:val="1F2937"/>
                <w:sz w:val="20"/>
                <w:szCs w:val="20"/>
              </w:rPr>
              <w:t>payment_method</w:t>
            </w:r>
          </w:p>
        </w:tc>
        <w:tc>
          <w:tcPr>
            <w:tcW w:w="2400" w:type="dxa"/>
            <w:shd w:val="clear" w:color="auto" w:fill="EFF3FB"/>
            <w:tcMar>
              <w:top w:w="80" w:type="dxa"/>
              <w:left w:w="120" w:type="dxa"/>
              <w:bottom w:w="80" w:type="dxa"/>
              <w:right w:w="120" w:type="dxa"/>
            </w:tcMar>
            <w:vAlign w:val="center"/>
          </w:tcPr>
          <w:p w14:paraId="79A30A35">
            <w:pPr>
              <w:jc w:val="left"/>
            </w:pPr>
            <w:r>
              <w:rPr>
                <w:b w:val="0"/>
                <w:bCs w:val="0"/>
                <w:color w:val="1F2937"/>
                <w:sz w:val="20"/>
                <w:szCs w:val="20"/>
              </w:rPr>
              <w:t>Categorical (3 values)</w:t>
            </w:r>
          </w:p>
        </w:tc>
        <w:tc>
          <w:tcPr>
            <w:tcW w:w="4150" w:type="dxa"/>
            <w:shd w:val="clear" w:color="auto" w:fill="EFF3FB"/>
            <w:tcMar>
              <w:top w:w="80" w:type="dxa"/>
              <w:left w:w="120" w:type="dxa"/>
              <w:bottom w:w="80" w:type="dxa"/>
              <w:right w:w="120" w:type="dxa"/>
            </w:tcMar>
            <w:vAlign w:val="center"/>
          </w:tcPr>
          <w:p w14:paraId="6AF5FF42">
            <w:pPr>
              <w:jc w:val="left"/>
            </w:pPr>
            <w:r>
              <w:rPr>
                <w:b w:val="0"/>
                <w:bCs w:val="0"/>
                <w:color w:val="1F2937"/>
                <w:sz w:val="20"/>
                <w:szCs w:val="20"/>
              </w:rPr>
              <w:t>Card, COD, Wallet</w:t>
            </w:r>
          </w:p>
        </w:tc>
      </w:tr>
      <w:tr w14:paraId="4F947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vAlign w:val="center"/>
          </w:tcPr>
          <w:p w14:paraId="0298EBB6">
            <w:pPr>
              <w:jc w:val="left"/>
            </w:pPr>
            <w:r>
              <w:rPr>
                <w:b w:val="0"/>
                <w:bCs w:val="0"/>
                <w:color w:val="1F2937"/>
                <w:sz w:val="20"/>
                <w:szCs w:val="20"/>
              </w:rPr>
              <w:t>delivery_days</w:t>
            </w:r>
          </w:p>
        </w:tc>
        <w:tc>
          <w:tcPr>
            <w:tcW w:w="2400" w:type="dxa"/>
            <w:shd w:val="clear" w:color="auto" w:fill="FFFFFF"/>
            <w:tcMar>
              <w:top w:w="80" w:type="dxa"/>
              <w:left w:w="120" w:type="dxa"/>
              <w:bottom w:w="80" w:type="dxa"/>
              <w:right w:w="120" w:type="dxa"/>
            </w:tcMar>
            <w:vAlign w:val="center"/>
          </w:tcPr>
          <w:p w14:paraId="7D2462AF">
            <w:pPr>
              <w:jc w:val="left"/>
            </w:pPr>
            <w:r>
              <w:rPr>
                <w:b w:val="0"/>
                <w:bCs w:val="0"/>
                <w:color w:val="1F2937"/>
                <w:sz w:val="20"/>
                <w:szCs w:val="20"/>
              </w:rPr>
              <w:t>Integer</w:t>
            </w:r>
          </w:p>
        </w:tc>
        <w:tc>
          <w:tcPr>
            <w:tcW w:w="4150" w:type="dxa"/>
            <w:shd w:val="clear" w:color="auto" w:fill="FFFFFF"/>
            <w:tcMar>
              <w:top w:w="80" w:type="dxa"/>
              <w:left w:w="120" w:type="dxa"/>
              <w:bottom w:w="80" w:type="dxa"/>
              <w:right w:w="120" w:type="dxa"/>
            </w:tcMar>
            <w:vAlign w:val="center"/>
          </w:tcPr>
          <w:p w14:paraId="39E113E0">
            <w:pPr>
              <w:jc w:val="left"/>
            </w:pPr>
            <w:r>
              <w:rPr>
                <w:b w:val="0"/>
                <w:bCs w:val="0"/>
                <w:color w:val="1F2937"/>
                <w:sz w:val="20"/>
                <w:szCs w:val="20"/>
              </w:rPr>
              <w:t>Days from order to delivery, 1–11</w:t>
            </w:r>
          </w:p>
        </w:tc>
      </w:tr>
      <w:tr w14:paraId="5084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FF3FB"/>
            <w:tcMar>
              <w:top w:w="80" w:type="dxa"/>
              <w:left w:w="120" w:type="dxa"/>
              <w:bottom w:w="80" w:type="dxa"/>
              <w:right w:w="120" w:type="dxa"/>
            </w:tcMar>
            <w:vAlign w:val="center"/>
          </w:tcPr>
          <w:p w14:paraId="31B4B741">
            <w:pPr>
              <w:jc w:val="left"/>
            </w:pPr>
            <w:r>
              <w:rPr>
                <w:b w:val="0"/>
                <w:bCs w:val="0"/>
                <w:color w:val="1F2937"/>
                <w:sz w:val="20"/>
                <w:szCs w:val="20"/>
              </w:rPr>
              <w:t>sales_amount / gross_sales / discount_amount</w:t>
            </w:r>
          </w:p>
        </w:tc>
        <w:tc>
          <w:tcPr>
            <w:tcW w:w="2400" w:type="dxa"/>
            <w:shd w:val="clear" w:color="auto" w:fill="EFF3FB"/>
            <w:tcMar>
              <w:top w:w="80" w:type="dxa"/>
              <w:left w:w="120" w:type="dxa"/>
              <w:bottom w:w="80" w:type="dxa"/>
              <w:right w:w="120" w:type="dxa"/>
            </w:tcMar>
            <w:vAlign w:val="center"/>
          </w:tcPr>
          <w:p w14:paraId="23562159">
            <w:pPr>
              <w:jc w:val="left"/>
            </w:pPr>
            <w:r>
              <w:rPr>
                <w:b w:val="0"/>
                <w:bCs w:val="0"/>
                <w:color w:val="1F2937"/>
                <w:sz w:val="20"/>
                <w:szCs w:val="20"/>
              </w:rPr>
              <w:t>Numeric (derived)</w:t>
            </w:r>
          </w:p>
        </w:tc>
        <w:tc>
          <w:tcPr>
            <w:tcW w:w="4150" w:type="dxa"/>
            <w:shd w:val="clear" w:color="auto" w:fill="EFF3FB"/>
            <w:tcMar>
              <w:top w:w="80" w:type="dxa"/>
              <w:left w:w="120" w:type="dxa"/>
              <w:bottom w:w="80" w:type="dxa"/>
              <w:right w:w="120" w:type="dxa"/>
            </w:tcMar>
            <w:vAlign w:val="center"/>
          </w:tcPr>
          <w:p w14:paraId="02AAEB7B">
            <w:pPr>
              <w:jc w:val="left"/>
            </w:pPr>
            <w:r>
              <w:rPr>
                <w:b w:val="0"/>
                <w:bCs w:val="0"/>
                <w:color w:val="1F2937"/>
                <w:sz w:val="20"/>
                <w:szCs w:val="20"/>
              </w:rPr>
              <w:t>Added during Excel/Python cleaning</w:t>
            </w:r>
          </w:p>
        </w:tc>
      </w:tr>
      <w:tr w14:paraId="77C0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80" w:type="dxa"/>
              <w:left w:w="120" w:type="dxa"/>
              <w:bottom w:w="80" w:type="dxa"/>
              <w:right w:w="120" w:type="dxa"/>
            </w:tcMar>
            <w:vAlign w:val="center"/>
          </w:tcPr>
          <w:p w14:paraId="4FD868EA">
            <w:pPr>
              <w:jc w:val="left"/>
            </w:pPr>
            <w:r>
              <w:rPr>
                <w:b w:val="0"/>
                <w:bCs w:val="0"/>
                <w:color w:val="1F2937"/>
                <w:sz w:val="20"/>
                <w:szCs w:val="20"/>
              </w:rPr>
              <w:t>year / month / month_name</w:t>
            </w:r>
          </w:p>
        </w:tc>
        <w:tc>
          <w:tcPr>
            <w:tcW w:w="2400" w:type="dxa"/>
            <w:shd w:val="clear" w:color="auto" w:fill="FFFFFF"/>
            <w:tcMar>
              <w:top w:w="80" w:type="dxa"/>
              <w:left w:w="120" w:type="dxa"/>
              <w:bottom w:w="80" w:type="dxa"/>
              <w:right w:w="120" w:type="dxa"/>
            </w:tcMar>
            <w:vAlign w:val="center"/>
          </w:tcPr>
          <w:p w14:paraId="61F5AAEC">
            <w:pPr>
              <w:jc w:val="left"/>
            </w:pPr>
            <w:r>
              <w:rPr>
                <w:b w:val="0"/>
                <w:bCs w:val="0"/>
                <w:color w:val="1F2937"/>
                <w:sz w:val="20"/>
                <w:szCs w:val="20"/>
              </w:rPr>
              <w:t>Derived</w:t>
            </w:r>
          </w:p>
        </w:tc>
        <w:tc>
          <w:tcPr>
            <w:tcW w:w="4150" w:type="dxa"/>
            <w:shd w:val="clear" w:color="auto" w:fill="FFFFFF"/>
            <w:tcMar>
              <w:top w:w="80" w:type="dxa"/>
              <w:left w:w="120" w:type="dxa"/>
              <w:bottom w:w="80" w:type="dxa"/>
              <w:right w:w="120" w:type="dxa"/>
            </w:tcMar>
            <w:vAlign w:val="center"/>
          </w:tcPr>
          <w:p w14:paraId="14A1EFC6">
            <w:pPr>
              <w:jc w:val="left"/>
            </w:pPr>
            <w:r>
              <w:rPr>
                <w:b w:val="0"/>
                <w:bCs w:val="0"/>
                <w:color w:val="1F2937"/>
                <w:sz w:val="20"/>
                <w:szCs w:val="20"/>
              </w:rPr>
              <w:t>Added in Python for time-based analysis</w:t>
            </w:r>
          </w:p>
        </w:tc>
      </w:tr>
    </w:tbl>
    <w:p w14:paraId="3112394A">
      <w:pPr>
        <w:spacing w:after="160" w:line="276" w:lineRule="auto"/>
      </w:pPr>
      <w:r>
        <w:rPr>
          <w:color w:val="1F2937"/>
          <w:sz w:val="21"/>
          <w:szCs w:val="21"/>
        </w:rPr>
        <w:t>Every categorical field is low-cardinality and clean (4 categories, 4 regions, 3 payment methods, no misspellings or inconsistent casing observed), which made grouping and aggregation straightforward across Excel, SQL, and Python.</w:t>
      </w:r>
    </w:p>
    <w:p w14:paraId="21AF6302">
      <w:pPr>
        <w:pStyle w:val="2"/>
        <w:pBdr>
          <w:bottom w:val="single" w:color="2563EB" w:sz="6" w:space="4"/>
        </w:pBdr>
        <w:spacing w:before="480" w:after="200"/>
      </w:pPr>
      <w:r>
        <w:rPr>
          <w:b/>
          <w:bCs/>
          <w:color w:val="1F2937"/>
          <w:sz w:val="30"/>
          <w:szCs w:val="30"/>
        </w:rPr>
        <w:t>4. Data Quality Assessment</w:t>
      </w:r>
    </w:p>
    <w:p w14:paraId="4C3C0AA1">
      <w:pPr>
        <w:spacing w:after="160" w:line="276" w:lineRule="auto"/>
      </w:pPr>
      <w:r>
        <w:rPr>
          <w:color w:val="1F2937"/>
          <w:sz w:val="21"/>
          <w:szCs w:val="21"/>
        </w:rPr>
        <w:t>The raw file was checked for missing values, duplicates, invalid ranges, and date-format issues using the Python script (Section 7) and cross-verified against the Power BI Data Quality page (Image 5).</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3300"/>
        <w:gridCol w:w="1750"/>
      </w:tblGrid>
      <w:tr w14:paraId="28A0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00" w:type="dxa"/>
            <w:shd w:val="clear" w:color="auto" w:fill="1F2937"/>
            <w:tcMar>
              <w:top w:w="80" w:type="dxa"/>
              <w:left w:w="120" w:type="dxa"/>
              <w:bottom w:w="80" w:type="dxa"/>
              <w:right w:w="120" w:type="dxa"/>
            </w:tcMar>
            <w:vAlign w:val="center"/>
          </w:tcPr>
          <w:p w14:paraId="03463625">
            <w:pPr>
              <w:jc w:val="left"/>
            </w:pPr>
            <w:r>
              <w:rPr>
                <w:b/>
                <w:bCs/>
                <w:color w:val="FFFFFF"/>
                <w:sz w:val="20"/>
                <w:szCs w:val="20"/>
              </w:rPr>
              <w:t>Check</w:t>
            </w:r>
          </w:p>
        </w:tc>
        <w:tc>
          <w:tcPr>
            <w:tcW w:w="3300" w:type="dxa"/>
            <w:shd w:val="clear" w:color="auto" w:fill="1F2937"/>
            <w:tcMar>
              <w:top w:w="80" w:type="dxa"/>
              <w:left w:w="120" w:type="dxa"/>
              <w:bottom w:w="80" w:type="dxa"/>
              <w:right w:w="120" w:type="dxa"/>
            </w:tcMar>
            <w:vAlign w:val="center"/>
          </w:tcPr>
          <w:p w14:paraId="01672528">
            <w:pPr>
              <w:jc w:val="left"/>
            </w:pPr>
            <w:r>
              <w:rPr>
                <w:b/>
                <w:bCs/>
                <w:color w:val="FFFFFF"/>
                <w:sz w:val="20"/>
                <w:szCs w:val="20"/>
              </w:rPr>
              <w:t>Result</w:t>
            </w:r>
          </w:p>
        </w:tc>
        <w:tc>
          <w:tcPr>
            <w:tcW w:w="1750" w:type="dxa"/>
            <w:shd w:val="clear" w:color="auto" w:fill="1F2937"/>
            <w:tcMar>
              <w:top w:w="80" w:type="dxa"/>
              <w:left w:w="120" w:type="dxa"/>
              <w:bottom w:w="80" w:type="dxa"/>
              <w:right w:w="120" w:type="dxa"/>
            </w:tcMar>
            <w:vAlign w:val="center"/>
          </w:tcPr>
          <w:p w14:paraId="385664AE">
            <w:pPr>
              <w:jc w:val="left"/>
            </w:pPr>
            <w:r>
              <w:rPr>
                <w:b/>
                <w:bCs/>
                <w:color w:val="FFFFFF"/>
                <w:sz w:val="20"/>
                <w:szCs w:val="20"/>
              </w:rPr>
              <w:t>Risk Level</w:t>
            </w:r>
          </w:p>
        </w:tc>
      </w:tr>
      <w:tr w14:paraId="5D45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shd w:val="clear" w:color="auto" w:fill="EFF3FB"/>
            <w:tcMar>
              <w:top w:w="80" w:type="dxa"/>
              <w:left w:w="120" w:type="dxa"/>
              <w:bottom w:w="80" w:type="dxa"/>
              <w:right w:w="120" w:type="dxa"/>
            </w:tcMar>
            <w:vAlign w:val="center"/>
          </w:tcPr>
          <w:p w14:paraId="6966E4D6">
            <w:pPr>
              <w:jc w:val="left"/>
            </w:pPr>
            <w:r>
              <w:rPr>
                <w:b w:val="0"/>
                <w:bCs w:val="0"/>
                <w:color w:val="1F2937"/>
                <w:sz w:val="20"/>
                <w:szCs w:val="20"/>
              </w:rPr>
              <w:t>Missing values (any column)</w:t>
            </w:r>
          </w:p>
        </w:tc>
        <w:tc>
          <w:tcPr>
            <w:tcW w:w="3300" w:type="dxa"/>
            <w:shd w:val="clear" w:color="auto" w:fill="EFF3FB"/>
            <w:tcMar>
              <w:top w:w="80" w:type="dxa"/>
              <w:left w:w="120" w:type="dxa"/>
              <w:bottom w:w="80" w:type="dxa"/>
              <w:right w:w="120" w:type="dxa"/>
            </w:tcMar>
            <w:vAlign w:val="center"/>
          </w:tcPr>
          <w:p w14:paraId="6E0FCE38">
            <w:pPr>
              <w:jc w:val="left"/>
            </w:pPr>
            <w:r>
              <w:rPr>
                <w:b w:val="0"/>
                <w:bCs w:val="0"/>
                <w:color w:val="1F2937"/>
                <w:sz w:val="20"/>
                <w:szCs w:val="20"/>
              </w:rPr>
              <w:t>0 across all 10 raw columns</w:t>
            </w:r>
          </w:p>
        </w:tc>
        <w:tc>
          <w:tcPr>
            <w:tcW w:w="1750" w:type="dxa"/>
            <w:shd w:val="clear" w:color="auto" w:fill="EFF3FB"/>
            <w:tcMar>
              <w:top w:w="80" w:type="dxa"/>
              <w:left w:w="120" w:type="dxa"/>
              <w:bottom w:w="80" w:type="dxa"/>
              <w:right w:w="120" w:type="dxa"/>
            </w:tcMar>
            <w:vAlign w:val="center"/>
          </w:tcPr>
          <w:p w14:paraId="589E7175">
            <w:pPr>
              <w:jc w:val="left"/>
            </w:pPr>
            <w:r>
              <w:rPr>
                <w:b w:val="0"/>
                <w:bCs w:val="0"/>
                <w:color w:val="1F2937"/>
                <w:sz w:val="20"/>
                <w:szCs w:val="20"/>
              </w:rPr>
              <w:t>None</w:t>
            </w:r>
          </w:p>
        </w:tc>
      </w:tr>
      <w:tr w14:paraId="0F3AB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shd w:val="clear" w:color="auto" w:fill="FFFFFF"/>
            <w:tcMar>
              <w:top w:w="80" w:type="dxa"/>
              <w:left w:w="120" w:type="dxa"/>
              <w:bottom w:w="80" w:type="dxa"/>
              <w:right w:w="120" w:type="dxa"/>
            </w:tcMar>
            <w:vAlign w:val="center"/>
          </w:tcPr>
          <w:p w14:paraId="2AE33C2D">
            <w:pPr>
              <w:jc w:val="left"/>
            </w:pPr>
            <w:r>
              <w:rPr>
                <w:b w:val="0"/>
                <w:bCs w:val="0"/>
                <w:color w:val="1F2937"/>
                <w:sz w:val="20"/>
                <w:szCs w:val="20"/>
              </w:rPr>
              <w:t>Duplicate rows</w:t>
            </w:r>
          </w:p>
        </w:tc>
        <w:tc>
          <w:tcPr>
            <w:tcW w:w="3300" w:type="dxa"/>
            <w:shd w:val="clear" w:color="auto" w:fill="FFFFFF"/>
            <w:tcMar>
              <w:top w:w="80" w:type="dxa"/>
              <w:left w:w="120" w:type="dxa"/>
              <w:bottom w:w="80" w:type="dxa"/>
              <w:right w:w="120" w:type="dxa"/>
            </w:tcMar>
            <w:vAlign w:val="center"/>
          </w:tcPr>
          <w:p w14:paraId="7FE6FF2C">
            <w:pPr>
              <w:jc w:val="left"/>
            </w:pPr>
            <w:r>
              <w:rPr>
                <w:b w:val="0"/>
                <w:bCs w:val="0"/>
                <w:color w:val="1F2937"/>
                <w:sz w:val="20"/>
                <w:szCs w:val="20"/>
              </w:rPr>
              <w:t>0</w:t>
            </w:r>
          </w:p>
        </w:tc>
        <w:tc>
          <w:tcPr>
            <w:tcW w:w="1750" w:type="dxa"/>
            <w:shd w:val="clear" w:color="auto" w:fill="FFFFFF"/>
            <w:tcMar>
              <w:top w:w="80" w:type="dxa"/>
              <w:left w:w="120" w:type="dxa"/>
              <w:bottom w:w="80" w:type="dxa"/>
              <w:right w:w="120" w:type="dxa"/>
            </w:tcMar>
            <w:vAlign w:val="center"/>
          </w:tcPr>
          <w:p w14:paraId="3062FAE4">
            <w:pPr>
              <w:jc w:val="left"/>
            </w:pPr>
            <w:r>
              <w:rPr>
                <w:b w:val="0"/>
                <w:bCs w:val="0"/>
                <w:color w:val="1F2937"/>
                <w:sz w:val="20"/>
                <w:szCs w:val="20"/>
              </w:rPr>
              <w:t>None</w:t>
            </w:r>
          </w:p>
        </w:tc>
      </w:tr>
      <w:tr w14:paraId="4CBE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shd w:val="clear" w:color="auto" w:fill="EFF3FB"/>
            <w:tcMar>
              <w:top w:w="80" w:type="dxa"/>
              <w:left w:w="120" w:type="dxa"/>
              <w:bottom w:w="80" w:type="dxa"/>
              <w:right w:w="120" w:type="dxa"/>
            </w:tcMar>
            <w:vAlign w:val="center"/>
          </w:tcPr>
          <w:p w14:paraId="0DAD6FF3">
            <w:pPr>
              <w:jc w:val="left"/>
            </w:pPr>
            <w:r>
              <w:rPr>
                <w:b w:val="0"/>
                <w:bCs w:val="0"/>
                <w:color w:val="1F2937"/>
                <w:sz w:val="20"/>
                <w:szCs w:val="20"/>
              </w:rPr>
              <w:t>Duplicate order_id</w:t>
            </w:r>
          </w:p>
        </w:tc>
        <w:tc>
          <w:tcPr>
            <w:tcW w:w="3300" w:type="dxa"/>
            <w:shd w:val="clear" w:color="auto" w:fill="EFF3FB"/>
            <w:tcMar>
              <w:top w:w="80" w:type="dxa"/>
              <w:left w:w="120" w:type="dxa"/>
              <w:bottom w:w="80" w:type="dxa"/>
              <w:right w:w="120" w:type="dxa"/>
            </w:tcMar>
            <w:vAlign w:val="center"/>
          </w:tcPr>
          <w:p w14:paraId="46826519">
            <w:pPr>
              <w:jc w:val="left"/>
            </w:pPr>
            <w:r>
              <w:rPr>
                <w:b w:val="0"/>
                <w:bCs w:val="0"/>
                <w:color w:val="1F2937"/>
                <w:sz w:val="20"/>
                <w:szCs w:val="20"/>
              </w:rPr>
              <w:t>0</w:t>
            </w:r>
          </w:p>
        </w:tc>
        <w:tc>
          <w:tcPr>
            <w:tcW w:w="1750" w:type="dxa"/>
            <w:shd w:val="clear" w:color="auto" w:fill="EFF3FB"/>
            <w:tcMar>
              <w:top w:w="80" w:type="dxa"/>
              <w:left w:w="120" w:type="dxa"/>
              <w:bottom w:w="80" w:type="dxa"/>
              <w:right w:w="120" w:type="dxa"/>
            </w:tcMar>
            <w:vAlign w:val="center"/>
          </w:tcPr>
          <w:p w14:paraId="7DE1431A">
            <w:pPr>
              <w:jc w:val="left"/>
            </w:pPr>
            <w:r>
              <w:rPr>
                <w:b w:val="0"/>
                <w:bCs w:val="0"/>
                <w:color w:val="1F2937"/>
                <w:sz w:val="20"/>
                <w:szCs w:val="20"/>
              </w:rPr>
              <w:t>None</w:t>
            </w:r>
          </w:p>
        </w:tc>
      </w:tr>
      <w:tr w14:paraId="58B1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shd w:val="clear" w:color="auto" w:fill="FFFFFF"/>
            <w:tcMar>
              <w:top w:w="80" w:type="dxa"/>
              <w:left w:w="120" w:type="dxa"/>
              <w:bottom w:w="80" w:type="dxa"/>
              <w:right w:w="120" w:type="dxa"/>
            </w:tcMar>
            <w:vAlign w:val="center"/>
          </w:tcPr>
          <w:p w14:paraId="0659B641">
            <w:pPr>
              <w:jc w:val="left"/>
            </w:pPr>
            <w:r>
              <w:rPr>
                <w:b w:val="0"/>
                <w:bCs w:val="0"/>
                <w:color w:val="1F2937"/>
                <w:sz w:val="20"/>
                <w:szCs w:val="20"/>
              </w:rPr>
              <w:t>Unparseable / invalid dates</w:t>
            </w:r>
          </w:p>
        </w:tc>
        <w:tc>
          <w:tcPr>
            <w:tcW w:w="3300" w:type="dxa"/>
            <w:shd w:val="clear" w:color="auto" w:fill="FFFFFF"/>
            <w:tcMar>
              <w:top w:w="80" w:type="dxa"/>
              <w:left w:w="120" w:type="dxa"/>
              <w:bottom w:w="80" w:type="dxa"/>
              <w:right w:w="120" w:type="dxa"/>
            </w:tcMar>
            <w:vAlign w:val="center"/>
          </w:tcPr>
          <w:p w14:paraId="52AB3BA2">
            <w:pPr>
              <w:jc w:val="left"/>
            </w:pPr>
            <w:r>
              <w:rPr>
                <w:b w:val="0"/>
                <w:bCs w:val="0"/>
                <w:color w:val="1F2937"/>
                <w:sz w:val="20"/>
                <w:szCs w:val="20"/>
              </w:rPr>
              <w:t>0</w:t>
            </w:r>
          </w:p>
        </w:tc>
        <w:tc>
          <w:tcPr>
            <w:tcW w:w="1750" w:type="dxa"/>
            <w:shd w:val="clear" w:color="auto" w:fill="FFFFFF"/>
            <w:tcMar>
              <w:top w:w="80" w:type="dxa"/>
              <w:left w:w="120" w:type="dxa"/>
              <w:bottom w:w="80" w:type="dxa"/>
              <w:right w:w="120" w:type="dxa"/>
            </w:tcMar>
            <w:vAlign w:val="center"/>
          </w:tcPr>
          <w:p w14:paraId="023F466B">
            <w:pPr>
              <w:jc w:val="left"/>
            </w:pPr>
            <w:r>
              <w:rPr>
                <w:b w:val="0"/>
                <w:bCs w:val="0"/>
                <w:color w:val="1F2937"/>
                <w:sz w:val="20"/>
                <w:szCs w:val="20"/>
              </w:rPr>
              <w:t>None</w:t>
            </w:r>
          </w:p>
        </w:tc>
      </w:tr>
      <w:tr w14:paraId="4C21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shd w:val="clear" w:color="auto" w:fill="EFF3FB"/>
            <w:tcMar>
              <w:top w:w="80" w:type="dxa"/>
              <w:left w:w="120" w:type="dxa"/>
              <w:bottom w:w="80" w:type="dxa"/>
              <w:right w:w="120" w:type="dxa"/>
            </w:tcMar>
            <w:vAlign w:val="center"/>
          </w:tcPr>
          <w:p w14:paraId="36FABF37">
            <w:pPr>
              <w:jc w:val="left"/>
            </w:pPr>
            <w:r>
              <w:rPr>
                <w:b w:val="0"/>
                <w:bCs w:val="0"/>
                <w:color w:val="1F2937"/>
                <w:sz w:val="20"/>
                <w:szCs w:val="20"/>
              </w:rPr>
              <w:t>Negative quantity</w:t>
            </w:r>
          </w:p>
        </w:tc>
        <w:tc>
          <w:tcPr>
            <w:tcW w:w="3300" w:type="dxa"/>
            <w:shd w:val="clear" w:color="auto" w:fill="EFF3FB"/>
            <w:tcMar>
              <w:top w:w="80" w:type="dxa"/>
              <w:left w:w="120" w:type="dxa"/>
              <w:bottom w:w="80" w:type="dxa"/>
              <w:right w:w="120" w:type="dxa"/>
            </w:tcMar>
            <w:vAlign w:val="center"/>
          </w:tcPr>
          <w:p w14:paraId="75E5F60E">
            <w:pPr>
              <w:jc w:val="left"/>
            </w:pPr>
            <w:r>
              <w:rPr>
                <w:b w:val="0"/>
                <w:bCs w:val="0"/>
                <w:color w:val="1F2937"/>
                <w:sz w:val="20"/>
                <w:szCs w:val="20"/>
              </w:rPr>
              <w:t>0</w:t>
            </w:r>
          </w:p>
        </w:tc>
        <w:tc>
          <w:tcPr>
            <w:tcW w:w="1750" w:type="dxa"/>
            <w:shd w:val="clear" w:color="auto" w:fill="EFF3FB"/>
            <w:tcMar>
              <w:top w:w="80" w:type="dxa"/>
              <w:left w:w="120" w:type="dxa"/>
              <w:bottom w:w="80" w:type="dxa"/>
              <w:right w:w="120" w:type="dxa"/>
            </w:tcMar>
            <w:vAlign w:val="center"/>
          </w:tcPr>
          <w:p w14:paraId="7CBFC595">
            <w:pPr>
              <w:jc w:val="left"/>
            </w:pPr>
            <w:r>
              <w:rPr>
                <w:b w:val="0"/>
                <w:bCs w:val="0"/>
                <w:color w:val="1F2937"/>
                <w:sz w:val="20"/>
                <w:szCs w:val="20"/>
              </w:rPr>
              <w:t>None</w:t>
            </w:r>
          </w:p>
        </w:tc>
      </w:tr>
      <w:tr w14:paraId="5E076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shd w:val="clear" w:color="auto" w:fill="FFFFFF"/>
            <w:tcMar>
              <w:top w:w="80" w:type="dxa"/>
              <w:left w:w="120" w:type="dxa"/>
              <w:bottom w:w="80" w:type="dxa"/>
              <w:right w:w="120" w:type="dxa"/>
            </w:tcMar>
            <w:vAlign w:val="center"/>
          </w:tcPr>
          <w:p w14:paraId="7EDCD2BC">
            <w:pPr>
              <w:jc w:val="left"/>
            </w:pPr>
            <w:r>
              <w:rPr>
                <w:b w:val="0"/>
                <w:bCs w:val="0"/>
                <w:color w:val="1F2937"/>
                <w:sz w:val="20"/>
                <w:szCs w:val="20"/>
              </w:rPr>
              <w:t>Negative unit_price</w:t>
            </w:r>
          </w:p>
        </w:tc>
        <w:tc>
          <w:tcPr>
            <w:tcW w:w="3300" w:type="dxa"/>
            <w:shd w:val="clear" w:color="auto" w:fill="FFFFFF"/>
            <w:tcMar>
              <w:top w:w="80" w:type="dxa"/>
              <w:left w:w="120" w:type="dxa"/>
              <w:bottom w:w="80" w:type="dxa"/>
              <w:right w:w="120" w:type="dxa"/>
            </w:tcMar>
            <w:vAlign w:val="center"/>
          </w:tcPr>
          <w:p w14:paraId="7FDC6F45">
            <w:pPr>
              <w:jc w:val="left"/>
            </w:pPr>
            <w:r>
              <w:rPr>
                <w:b w:val="0"/>
                <w:bCs w:val="0"/>
                <w:color w:val="1F2937"/>
                <w:sz w:val="20"/>
                <w:szCs w:val="20"/>
              </w:rPr>
              <w:t>0</w:t>
            </w:r>
          </w:p>
        </w:tc>
        <w:tc>
          <w:tcPr>
            <w:tcW w:w="1750" w:type="dxa"/>
            <w:shd w:val="clear" w:color="auto" w:fill="FFFFFF"/>
            <w:tcMar>
              <w:top w:w="80" w:type="dxa"/>
              <w:left w:w="120" w:type="dxa"/>
              <w:bottom w:w="80" w:type="dxa"/>
              <w:right w:w="120" w:type="dxa"/>
            </w:tcMar>
            <w:vAlign w:val="center"/>
          </w:tcPr>
          <w:p w14:paraId="1BF32E83">
            <w:pPr>
              <w:jc w:val="left"/>
            </w:pPr>
            <w:r>
              <w:rPr>
                <w:b w:val="0"/>
                <w:bCs w:val="0"/>
                <w:color w:val="1F2937"/>
                <w:sz w:val="20"/>
                <w:szCs w:val="20"/>
              </w:rPr>
              <w:t>None</w:t>
            </w:r>
          </w:p>
        </w:tc>
      </w:tr>
      <w:tr w14:paraId="276E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shd w:val="clear" w:color="auto" w:fill="EFF3FB"/>
            <w:tcMar>
              <w:top w:w="80" w:type="dxa"/>
              <w:left w:w="120" w:type="dxa"/>
              <w:bottom w:w="80" w:type="dxa"/>
              <w:right w:w="120" w:type="dxa"/>
            </w:tcMar>
            <w:vAlign w:val="center"/>
          </w:tcPr>
          <w:p w14:paraId="7FB488F8">
            <w:pPr>
              <w:jc w:val="left"/>
            </w:pPr>
            <w:r>
              <w:rPr>
                <w:b w:val="0"/>
                <w:bCs w:val="0"/>
                <w:color w:val="1F2937"/>
                <w:sz w:val="20"/>
                <w:szCs w:val="20"/>
              </w:rPr>
              <w:t>Discount outside 0–1 range</w:t>
            </w:r>
          </w:p>
        </w:tc>
        <w:tc>
          <w:tcPr>
            <w:tcW w:w="3300" w:type="dxa"/>
            <w:shd w:val="clear" w:color="auto" w:fill="EFF3FB"/>
            <w:tcMar>
              <w:top w:w="80" w:type="dxa"/>
              <w:left w:w="120" w:type="dxa"/>
              <w:bottom w:w="80" w:type="dxa"/>
              <w:right w:w="120" w:type="dxa"/>
            </w:tcMar>
            <w:vAlign w:val="center"/>
          </w:tcPr>
          <w:p w14:paraId="59CF41DA">
            <w:pPr>
              <w:jc w:val="left"/>
            </w:pPr>
            <w:r>
              <w:rPr>
                <w:b w:val="0"/>
                <w:bCs w:val="0"/>
                <w:color w:val="1F2937"/>
                <w:sz w:val="20"/>
                <w:szCs w:val="20"/>
              </w:rPr>
              <w:t>0</w:t>
            </w:r>
          </w:p>
        </w:tc>
        <w:tc>
          <w:tcPr>
            <w:tcW w:w="1750" w:type="dxa"/>
            <w:shd w:val="clear" w:color="auto" w:fill="EFF3FB"/>
            <w:tcMar>
              <w:top w:w="80" w:type="dxa"/>
              <w:left w:w="120" w:type="dxa"/>
              <w:bottom w:w="80" w:type="dxa"/>
              <w:right w:w="120" w:type="dxa"/>
            </w:tcMar>
            <w:vAlign w:val="center"/>
          </w:tcPr>
          <w:p w14:paraId="27E48320">
            <w:pPr>
              <w:jc w:val="left"/>
            </w:pPr>
            <w:r>
              <w:rPr>
                <w:b w:val="0"/>
                <w:bCs w:val="0"/>
                <w:color w:val="1F2937"/>
                <w:sz w:val="20"/>
                <w:szCs w:val="20"/>
              </w:rPr>
              <w:t>None</w:t>
            </w:r>
          </w:p>
        </w:tc>
      </w:tr>
      <w:tr w14:paraId="5941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shd w:val="clear" w:color="auto" w:fill="FFFFFF"/>
            <w:tcMar>
              <w:top w:w="80" w:type="dxa"/>
              <w:left w:w="120" w:type="dxa"/>
              <w:bottom w:w="80" w:type="dxa"/>
              <w:right w:w="120" w:type="dxa"/>
            </w:tcMar>
            <w:vAlign w:val="center"/>
          </w:tcPr>
          <w:p w14:paraId="56A71CD6">
            <w:pPr>
              <w:jc w:val="left"/>
            </w:pPr>
            <w:r>
              <w:rPr>
                <w:b w:val="0"/>
                <w:bCs w:val="0"/>
                <w:color w:val="1F2937"/>
                <w:sz w:val="20"/>
                <w:szCs w:val="20"/>
              </w:rPr>
              <w:t>Negative delivery_days</w:t>
            </w:r>
          </w:p>
        </w:tc>
        <w:tc>
          <w:tcPr>
            <w:tcW w:w="3300" w:type="dxa"/>
            <w:shd w:val="clear" w:color="auto" w:fill="FFFFFF"/>
            <w:tcMar>
              <w:top w:w="80" w:type="dxa"/>
              <w:left w:w="120" w:type="dxa"/>
              <w:bottom w:w="80" w:type="dxa"/>
              <w:right w:w="120" w:type="dxa"/>
            </w:tcMar>
            <w:vAlign w:val="center"/>
          </w:tcPr>
          <w:p w14:paraId="459BBED7">
            <w:pPr>
              <w:jc w:val="left"/>
            </w:pPr>
            <w:r>
              <w:rPr>
                <w:b w:val="0"/>
                <w:bCs w:val="0"/>
                <w:color w:val="1F2937"/>
                <w:sz w:val="20"/>
                <w:szCs w:val="20"/>
              </w:rPr>
              <w:t>0</w:t>
            </w:r>
          </w:p>
        </w:tc>
        <w:tc>
          <w:tcPr>
            <w:tcW w:w="1750" w:type="dxa"/>
            <w:shd w:val="clear" w:color="auto" w:fill="FFFFFF"/>
            <w:tcMar>
              <w:top w:w="80" w:type="dxa"/>
              <w:left w:w="120" w:type="dxa"/>
              <w:bottom w:w="80" w:type="dxa"/>
              <w:right w:w="120" w:type="dxa"/>
            </w:tcMar>
            <w:vAlign w:val="center"/>
          </w:tcPr>
          <w:p w14:paraId="1EB15910">
            <w:pPr>
              <w:jc w:val="left"/>
            </w:pPr>
            <w:r>
              <w:rPr>
                <w:b w:val="0"/>
                <w:bCs w:val="0"/>
                <w:color w:val="1F2937"/>
                <w:sz w:val="20"/>
                <w:szCs w:val="20"/>
              </w:rPr>
              <w:t>None</w:t>
            </w:r>
          </w:p>
        </w:tc>
      </w:tr>
      <w:tr w14:paraId="372E8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shd w:val="clear" w:color="auto" w:fill="EFF3FB"/>
            <w:tcMar>
              <w:top w:w="80" w:type="dxa"/>
              <w:left w:w="120" w:type="dxa"/>
              <w:bottom w:w="80" w:type="dxa"/>
              <w:right w:w="120" w:type="dxa"/>
            </w:tcMar>
            <w:vAlign w:val="center"/>
          </w:tcPr>
          <w:p w14:paraId="61DAFED9">
            <w:pPr>
              <w:jc w:val="left"/>
            </w:pPr>
            <w:r>
              <w:rPr>
                <w:b w:val="0"/>
                <w:bCs w:val="0"/>
                <w:color w:val="1F2937"/>
                <w:sz w:val="20"/>
                <w:szCs w:val="20"/>
              </w:rPr>
              <w:t>Inconsistent category/region/payment labels</w:t>
            </w:r>
          </w:p>
        </w:tc>
        <w:tc>
          <w:tcPr>
            <w:tcW w:w="3300" w:type="dxa"/>
            <w:shd w:val="clear" w:color="auto" w:fill="EFF3FB"/>
            <w:tcMar>
              <w:top w:w="80" w:type="dxa"/>
              <w:left w:w="120" w:type="dxa"/>
              <w:bottom w:w="80" w:type="dxa"/>
              <w:right w:w="120" w:type="dxa"/>
            </w:tcMar>
            <w:vAlign w:val="center"/>
          </w:tcPr>
          <w:p w14:paraId="409FEB34">
            <w:pPr>
              <w:jc w:val="left"/>
            </w:pPr>
            <w:r>
              <w:rPr>
                <w:b w:val="0"/>
                <w:bCs w:val="0"/>
                <w:color w:val="1F2937"/>
                <w:sz w:val="20"/>
                <w:szCs w:val="20"/>
              </w:rPr>
              <w:t>None observed</w:t>
            </w:r>
          </w:p>
        </w:tc>
        <w:tc>
          <w:tcPr>
            <w:tcW w:w="1750" w:type="dxa"/>
            <w:shd w:val="clear" w:color="auto" w:fill="EFF3FB"/>
            <w:tcMar>
              <w:top w:w="80" w:type="dxa"/>
              <w:left w:w="120" w:type="dxa"/>
              <w:bottom w:w="80" w:type="dxa"/>
              <w:right w:w="120" w:type="dxa"/>
            </w:tcMar>
            <w:vAlign w:val="center"/>
          </w:tcPr>
          <w:p w14:paraId="384D2B3A">
            <w:pPr>
              <w:jc w:val="left"/>
            </w:pPr>
            <w:r>
              <w:rPr>
                <w:b w:val="0"/>
                <w:bCs w:val="0"/>
                <w:color w:val="1F2937"/>
                <w:sz w:val="20"/>
                <w:szCs w:val="20"/>
              </w:rPr>
              <w:t>None</w:t>
            </w:r>
          </w:p>
        </w:tc>
      </w:tr>
    </w:tbl>
    <w:p w14:paraId="6D19E0FF">
      <w:pPr>
        <w:spacing w:after="160" w:line="276" w:lineRule="auto"/>
      </w:pPr>
      <w:r>
        <w:rPr>
          <w:color w:val="1F2937"/>
          <w:sz w:val="21"/>
          <w:szCs w:val="21"/>
        </w:rPr>
        <w:t>Fact: the raw dataset was already well-formed — no missing values, duplicates, or invalid values were found at any stage. This is a genuine finding, not an oversight: the Excel “cleaning” step (Section 5) made no corrections to existing values; its only substantive change was standardizing the date format and adding a calculated net-sales column.</w:t>
      </w:r>
    </w:p>
    <w:p w14:paraId="4BE9FB15">
      <w:pPr>
        <w:spacing w:after="160" w:line="276" w:lineRule="auto"/>
      </w:pPr>
      <w:r>
        <w:rPr>
          <w:color w:val="1F2937"/>
          <w:sz w:val="21"/>
          <w:szCs w:val="21"/>
        </w:rPr>
        <w:t>Analytical finding: the dataset’s date range (2022–2035, exactly one order per calendar day) and the complete absence of any data-quality defects are more consistent with a generated or simulated dataset than with an organically captured business feed. This does not undermine the validity of the analysis techniques demonstrated in this project, but it does mean conclusions about long-term “trend” or “seasonality” should be read as descriptive of this dataset rather than assumed to generalize to real market behavior (see Section 11).</w:t>
      </w:r>
    </w:p>
    <w:p w14:paraId="5ED2F5D3">
      <w:pPr>
        <w:pStyle w:val="2"/>
        <w:pBdr>
          <w:bottom w:val="single" w:color="2563EB" w:sz="6" w:space="4"/>
        </w:pBdr>
        <w:spacing w:before="480" w:after="200"/>
      </w:pPr>
      <w:r>
        <w:rPr>
          <w:b/>
          <w:bCs/>
          <w:color w:val="1F2937"/>
          <w:sz w:val="30"/>
          <w:szCs w:val="30"/>
        </w:rPr>
        <w:t>5. Excel Data Cleaning</w:t>
      </w:r>
    </w:p>
    <w:p w14:paraId="6541C354">
      <w:pPr>
        <w:spacing w:after="160" w:line="276" w:lineRule="auto"/>
      </w:pPr>
      <w:r>
        <w:rPr>
          <w:color w:val="1F2937"/>
          <w:sz w:val="21"/>
          <w:szCs w:val="21"/>
        </w:rPr>
        <w:t>Comparing the raw file to the Excel-cleaned file column-by-column shows that every quantity, unit_price, discount, delivery_days, product_category, region, and payment_method value is identical between the two files. The concrete changes made in Excel were:</w:t>
      </w:r>
    </w:p>
    <w:p w14:paraId="7F9D3FCE">
      <w:pPr>
        <w:pStyle w:val="16"/>
        <w:numPr>
          <w:ilvl w:val="0"/>
          <w:numId w:val="1"/>
        </w:numPr>
        <w:spacing w:after="90"/>
      </w:pPr>
      <w:r>
        <w:rPr>
          <w:sz w:val="21"/>
          <w:szCs w:val="21"/>
        </w:rPr>
        <w:t>Date standardization: order_date was converted from a text string (e.g. “1/1/2022”) to a proper date type, enabling correct chronological sorting and downstream time-based grouping.</w:t>
      </w:r>
    </w:p>
    <w:p w14:paraId="35856B33">
      <w:pPr>
        <w:pStyle w:val="16"/>
        <w:numPr>
          <w:ilvl w:val="0"/>
          <w:numId w:val="1"/>
        </w:numPr>
        <w:spacing w:after="90"/>
      </w:pPr>
      <w:r>
        <w:rPr>
          <w:sz w:val="21"/>
          <w:szCs w:val="21"/>
        </w:rPr>
        <w:t>Calculated field added: a sales_amount column was introduced, computed as quantity × unit_price × (1 − discount) — i.e., gross value less the discount — giving every order a ready-to-use net-sales figure.</w:t>
      </w:r>
    </w:p>
    <w:p w14:paraId="26325C4F">
      <w:pPr>
        <w:pStyle w:val="16"/>
        <w:numPr>
          <w:ilvl w:val="0"/>
          <w:numId w:val="1"/>
        </w:numPr>
        <w:spacing w:after="90"/>
      </w:pPr>
      <w:r>
        <w:rPr>
          <w:sz w:val="21"/>
          <w:szCs w:val="21"/>
        </w:rPr>
        <w:t>Structural validation: row count (5,000), column completeness, and key uniqueness (order_id) were confirmed to carry over unchanged from the raw file.</w:t>
      </w:r>
    </w:p>
    <w:p w14:paraId="2EA1C9FC">
      <w:pPr>
        <w:spacing w:after="160" w:line="276" w:lineRule="auto"/>
      </w:pPr>
      <w:r>
        <w:rPr>
          <w:color w:val="1F2937"/>
          <w:sz w:val="21"/>
          <w:szCs w:val="21"/>
        </w:rPr>
        <w:t>Business importance: standardizing the date type is a prerequisite for any month-over-month or year-over-year analysis — text dates cannot be reliably sorted or grouped by period. Pre-calculating net sales in the source file also ensures that Excel, SQL, and Python/Power BI can all reference the same defined metric, which matters because Section 6 shows this consistency was not actually maintained across every tool.</w:t>
      </w:r>
    </w:p>
    <w:p w14:paraId="044CD6E3">
      <w:pPr>
        <w:pStyle w:val="2"/>
        <w:pBdr>
          <w:bottom w:val="single" w:color="2563EB" w:sz="6" w:space="4"/>
        </w:pBdr>
        <w:spacing w:before="480" w:after="200"/>
      </w:pPr>
      <w:r>
        <w:rPr>
          <w:b/>
          <w:bCs/>
          <w:color w:val="1F2937"/>
          <w:sz w:val="30"/>
          <w:szCs w:val="30"/>
        </w:rPr>
        <w:t>6. SQL Analysis</w:t>
      </w:r>
    </w:p>
    <w:p w14:paraId="69BB5B85">
      <w:pPr>
        <w:spacing w:after="160" w:line="276" w:lineRule="auto"/>
      </w:pPr>
      <w:r>
        <w:rPr>
          <w:color w:val="1F2937"/>
          <w:sz w:val="21"/>
          <w:szCs w:val="21"/>
        </w:rPr>
        <w:t>The SQL file defines a Sales_Data table (adding a sales_amount column to the schema) and runs 21 queries organized around overall performance, category, customer, regional, time-based, payment, and operational questions. Each query group and its business purpose is summarized below.</w:t>
      </w:r>
    </w:p>
    <w:p w14:paraId="14EB887F">
      <w:pPr>
        <w:pStyle w:val="3"/>
        <w:spacing w:before="300" w:after="120"/>
      </w:pPr>
      <w:r>
        <w:rPr>
          <w:b/>
          <w:bCs/>
          <w:color w:val="2563EB"/>
          <w:sz w:val="24"/>
          <w:szCs w:val="24"/>
        </w:rPr>
        <w:t>Overall Performance</w:t>
      </w:r>
    </w:p>
    <w:p w14:paraId="054034D8">
      <w:pPr>
        <w:spacing w:after="160" w:line="276" w:lineRule="auto"/>
      </w:pPr>
      <w:r>
        <w:rPr>
          <w:color w:val="1F2937"/>
          <w:sz w:val="21"/>
          <w:szCs w:val="21"/>
        </w:rPr>
        <w:t>Queries: total rows, total orders, total customers, total quantity sold, total sales, average order value. Business question answered: “How big is the business, in orders, customers, and revenue?”</w:t>
      </w:r>
    </w:p>
    <w:p w14:paraId="3B0A2843">
      <w:pPr>
        <w:pStyle w:val="3"/>
        <w:spacing w:before="300" w:after="120"/>
      </w:pPr>
      <w:r>
        <w:rPr>
          <w:b/>
          <w:bCs/>
          <w:color w:val="2563EB"/>
          <w:sz w:val="24"/>
          <w:szCs w:val="24"/>
        </w:rPr>
        <w:t>Product / Category Analysis</w:t>
      </w:r>
    </w:p>
    <w:p w14:paraId="7C321DD5">
      <w:pPr>
        <w:spacing w:after="160" w:line="276" w:lineRule="auto"/>
      </w:pPr>
      <w:r>
        <w:rPr>
          <w:color w:val="1F2937"/>
          <w:sz w:val="21"/>
          <w:szCs w:val="21"/>
        </w:rPr>
        <w:t>Queries: sales by category, top 3 categories, quantity by category, category-wise average order value. Business question: “Which categories should receive marketing and inventory priority?”</w:t>
      </w:r>
    </w:p>
    <w:p w14:paraId="3A651629">
      <w:pPr>
        <w:pStyle w:val="3"/>
        <w:spacing w:before="300" w:after="120"/>
      </w:pPr>
      <w:r>
        <w:rPr>
          <w:b/>
          <w:bCs/>
          <w:color w:val="2563EB"/>
          <w:sz w:val="24"/>
          <w:szCs w:val="24"/>
        </w:rPr>
        <w:t>Customer Analysis</w:t>
      </w:r>
    </w:p>
    <w:p w14:paraId="64D4A251">
      <w:pPr>
        <w:spacing w:after="160" w:line="276" w:lineRule="auto"/>
      </w:pPr>
      <w:r>
        <w:rPr>
          <w:color w:val="1F2937"/>
          <w:sz w:val="21"/>
          <w:szCs w:val="21"/>
        </w:rPr>
        <w:t>Queries: top 10 customers by sales, most orders per customer, average sales per customer, top 5 customers via RANK(). Business question: “How concentrated is revenue among the customer base, and who are the highest-value customers?”</w:t>
      </w:r>
    </w:p>
    <w:p w14:paraId="22101ABA">
      <w:pPr>
        <w:pStyle w:val="3"/>
        <w:spacing w:before="300" w:after="120"/>
      </w:pPr>
      <w:r>
        <w:rPr>
          <w:b/>
          <w:bCs/>
          <w:color w:val="2563EB"/>
          <w:sz w:val="24"/>
          <w:szCs w:val="24"/>
        </w:rPr>
        <w:t>Regional Analysis</w:t>
      </w:r>
    </w:p>
    <w:p w14:paraId="49CF241C">
      <w:pPr>
        <w:spacing w:after="160" w:line="276" w:lineRule="auto"/>
      </w:pPr>
      <w:r>
        <w:rPr>
          <w:color w:val="1F2937"/>
          <w:sz w:val="21"/>
          <w:szCs w:val="21"/>
        </w:rPr>
        <w:t>Queries: region-wise total sales, order count, quantity sold, average delivery days. Business question: “Which regions perform best commercially and operationally?”</w:t>
      </w:r>
    </w:p>
    <w:p w14:paraId="7186CAB9">
      <w:pPr>
        <w:pStyle w:val="3"/>
        <w:spacing w:before="300" w:after="120"/>
      </w:pPr>
      <w:r>
        <w:rPr>
          <w:b/>
          <w:bCs/>
          <w:color w:val="2563EB"/>
          <w:sz w:val="24"/>
          <w:szCs w:val="24"/>
        </w:rPr>
        <w:t>Payment Analysis</w:t>
      </w:r>
    </w:p>
    <w:p w14:paraId="7A3E131D">
      <w:pPr>
        <w:spacing w:after="160" w:line="276" w:lineRule="auto"/>
      </w:pPr>
      <w:r>
        <w:rPr>
          <w:color w:val="1F2937"/>
          <w:sz w:val="21"/>
          <w:szCs w:val="21"/>
        </w:rPr>
        <w:t>Queries: payment-method order counts and sales totals. Business question: “Which payment channels drive the most transaction value?”</w:t>
      </w:r>
    </w:p>
    <w:p w14:paraId="3AB502B9">
      <w:pPr>
        <w:pStyle w:val="3"/>
        <w:spacing w:before="300" w:after="120"/>
      </w:pPr>
      <w:r>
        <w:rPr>
          <w:b/>
          <w:bCs/>
          <w:color w:val="2563EB"/>
          <w:sz w:val="24"/>
          <w:szCs w:val="24"/>
        </w:rPr>
        <w:t>Time-Based Analysis</w:t>
      </w:r>
    </w:p>
    <w:p w14:paraId="223EB1CB">
      <w:pPr>
        <w:spacing w:after="160" w:line="276" w:lineRule="auto"/>
      </w:pPr>
      <w:r>
        <w:rPr>
          <w:color w:val="1F2937"/>
          <w:sz w:val="21"/>
          <w:szCs w:val="21"/>
        </w:rPr>
        <w:t>Queries: month-wise sales and order count, best-performing month, month-over-month growth using a LAG() window function. Business question: “Is the business growing, and when are the peak periods?”</w:t>
      </w:r>
    </w:p>
    <w:p w14:paraId="4F446705">
      <w:pPr>
        <w:pStyle w:val="3"/>
        <w:spacing w:before="300" w:after="120"/>
      </w:pPr>
      <w:r>
        <w:rPr>
          <w:b/>
          <w:bCs/>
          <w:color w:val="2563EB"/>
          <w:sz w:val="24"/>
          <w:szCs w:val="24"/>
        </w:rPr>
        <w:t>Operational Analysis</w:t>
      </w:r>
    </w:p>
    <w:p w14:paraId="19C81FA0">
      <w:pPr>
        <w:spacing w:after="160" w:line="276" w:lineRule="auto"/>
      </w:pPr>
      <w:r>
        <w:rPr>
          <w:color w:val="1F2937"/>
          <w:sz w:val="21"/>
          <w:szCs w:val="21"/>
        </w:rPr>
        <w:t>Queries: average delivery days overall and by region, orders above the average sales value using a correlated subquery. Business question: “Where are fulfillment times slower than average, and which orders are unusually large?”</w:t>
      </w:r>
    </w:p>
    <w:p w14:paraId="7A711244">
      <w:pPr>
        <w:pStyle w:val="2"/>
        <w:pBdr>
          <w:bottom w:val="single" w:color="2563EB" w:sz="6" w:space="4"/>
        </w:pBdr>
        <w:spacing w:before="480" w:after="200"/>
      </w:pPr>
      <w:r>
        <w:rPr>
          <w:b/>
          <w:bCs/>
          <w:color w:val="1F2937"/>
          <w:sz w:val="30"/>
          <w:szCs w:val="30"/>
        </w:rPr>
        <w:t>7. Python Analysis</w:t>
      </w:r>
    </w:p>
    <w:p w14:paraId="70C3CB0F">
      <w:pPr>
        <w:spacing w:after="160" w:line="276" w:lineRule="auto"/>
      </w:pPr>
      <w:r>
        <w:rPr>
          <w:color w:val="1F2937"/>
          <w:sz w:val="21"/>
          <w:szCs w:val="21"/>
        </w:rPr>
        <w:t>The Python workflow (Pandas) picks up after Excel/SQL preparation and performs the following steps, in order:</w:t>
      </w:r>
    </w:p>
    <w:p w14:paraId="5B0E6C9C">
      <w:pPr>
        <w:pStyle w:val="16"/>
        <w:numPr>
          <w:ilvl w:val="0"/>
          <w:numId w:val="1"/>
        </w:numPr>
        <w:spacing w:after="90"/>
      </w:pPr>
      <w:r>
        <w:rPr>
          <w:sz w:val="21"/>
          <w:szCs w:val="21"/>
        </w:rPr>
        <w:t>Data loading and inspection: shape, column names, dtypes, .info(), missing-value counts, and duplicate-row counts, run immediately after load to catch any issues before analysis begins.</w:t>
      </w:r>
    </w:p>
    <w:p w14:paraId="2F76C8A0">
      <w:pPr>
        <w:pStyle w:val="16"/>
        <w:numPr>
          <w:ilvl w:val="0"/>
          <w:numId w:val="1"/>
        </w:numPr>
        <w:spacing w:after="90"/>
      </w:pPr>
      <w:r>
        <w:rPr>
          <w:sz w:val="21"/>
          <w:szCs w:val="21"/>
        </w:rPr>
        <w:t>Type correction: order_date converted to datetime; quantity, unit_price, discount, and delivery_days explicitly cast to numeric with errors='coerce' so any non-numeric entries would surface as nulls rather than fail silently.</w:t>
      </w:r>
    </w:p>
    <w:p w14:paraId="6B205C6E">
      <w:pPr>
        <w:pStyle w:val="16"/>
        <w:numPr>
          <w:ilvl w:val="0"/>
          <w:numId w:val="1"/>
        </w:numPr>
        <w:spacing w:after="90"/>
      </w:pPr>
      <w:r>
        <w:rPr>
          <w:sz w:val="21"/>
          <w:szCs w:val="21"/>
        </w:rPr>
        <w:t>Validation checks: counts of invalid/missing dates, negative quantities, negative prices, out-of-range discounts (outside 0–1), and negative delivery days — all returned zero, confirming the Section 4 findings independently.</w:t>
      </w:r>
    </w:p>
    <w:p w14:paraId="2D840E42">
      <w:pPr>
        <w:pStyle w:val="16"/>
        <w:numPr>
          <w:ilvl w:val="0"/>
          <w:numId w:val="1"/>
        </w:numPr>
        <w:spacing w:after="90"/>
      </w:pPr>
      <w:r>
        <w:rPr>
          <w:sz w:val="21"/>
          <w:szCs w:val="21"/>
        </w:rPr>
        <w:t>Feature engineering: gross_sales (quantity × unit_price), discount_amount (gross_sales × discount), and sales_amount (gross_sales − discount_amount) were calculated directly from the source fields, rather than trusting the pre-existing sales_amount column — both approaches agree, which cross-validates the Excel calculation.</w:t>
      </w:r>
    </w:p>
    <w:p w14:paraId="302F7B04">
      <w:pPr>
        <w:pStyle w:val="16"/>
        <w:numPr>
          <w:ilvl w:val="0"/>
          <w:numId w:val="1"/>
        </w:numPr>
        <w:spacing w:after="90"/>
      </w:pPr>
      <w:r>
        <w:rPr>
          <w:sz w:val="21"/>
          <w:szCs w:val="21"/>
        </w:rPr>
        <w:t>Time features: year, month, and month_name extracted from order_date to support month-over-month and year-over-year grouping.</w:t>
      </w:r>
    </w:p>
    <w:p w14:paraId="3AD533F9">
      <w:pPr>
        <w:pStyle w:val="16"/>
        <w:numPr>
          <w:ilvl w:val="0"/>
          <w:numId w:val="1"/>
        </w:numPr>
        <w:spacing w:after="90"/>
      </w:pPr>
      <w:r>
        <w:rPr>
          <w:sz w:val="21"/>
          <w:szCs w:val="21"/>
        </w:rPr>
        <w:t>Rounding and export: monetary columns rounded to 2 decimal places and the enriched, 16-column table exported as the analysis-ready dataset used for the KPIs and dashboards in this report.</w:t>
      </w:r>
    </w:p>
    <w:p w14:paraId="0B8FE20F">
      <w:pPr>
        <w:spacing w:after="160" w:line="276" w:lineRule="auto"/>
      </w:pPr>
      <w:r>
        <w:rPr>
          <w:color w:val="1F2937"/>
          <w:sz w:val="21"/>
          <w:szCs w:val="21"/>
        </w:rPr>
        <w:t>Why Python adds value beyond Excel and SQL: Python performed the only independent recomputation of net sales from first principles (rather than trusting a stored or query-derived figure), which is precisely what surfaced the SQL discount-formula issue in Section 6 when its output was compared against Python’s. It also programmatically re-ran every data-quality check that Excel handled manually, making the validation reproducible, and it was used in this report to calculate correlations (e.g., discount vs. net sales, time vs. monthly sales) that neither Excel nor the current SQL file attempted.</w:t>
      </w:r>
    </w:p>
    <w:p w14:paraId="33D6DF7F">
      <w:pPr>
        <w:pStyle w:val="2"/>
        <w:pBdr>
          <w:bottom w:val="single" w:color="2563EB" w:sz="6" w:space="4"/>
        </w:pBdr>
        <w:spacing w:before="480" w:after="200"/>
      </w:pPr>
      <w:r>
        <w:rPr>
          <w:b/>
          <w:bCs/>
          <w:color w:val="1F2937"/>
          <w:sz w:val="30"/>
          <w:szCs w:val="30"/>
        </w:rPr>
        <w:t>8. KPI Framework</w:t>
      </w:r>
    </w:p>
    <w:p w14:paraId="29272AF3">
      <w:pPr>
        <w:spacing w:after="160" w:line="276" w:lineRule="auto"/>
      </w:pPr>
      <w:r>
        <w:rPr>
          <w:color w:val="1F2937"/>
          <w:sz w:val="21"/>
          <w:szCs w:val="21"/>
        </w:rPr>
        <w:t>All KPIs below are calculated directly from the 5,000-row, 16-column analysis-ready file and are consistent with the Power BI dashboard figures (Section 9), which serves as a cross-check between the Python and Power BI stages.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400"/>
        <w:gridCol w:w="1900"/>
        <w:gridCol w:w="1550"/>
      </w:tblGrid>
      <w:tr w14:paraId="4DD0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2937"/>
            <w:tcMar>
              <w:top w:w="80" w:type="dxa"/>
              <w:left w:w="120" w:type="dxa"/>
              <w:bottom w:w="80" w:type="dxa"/>
              <w:right w:w="120" w:type="dxa"/>
            </w:tcMar>
            <w:vAlign w:val="center"/>
          </w:tcPr>
          <w:p w14:paraId="03AF6A25">
            <w:pPr>
              <w:jc w:val="left"/>
            </w:pPr>
            <w:r>
              <w:rPr>
                <w:b/>
                <w:bCs/>
                <w:color w:val="FFFFFF"/>
                <w:sz w:val="20"/>
                <w:szCs w:val="20"/>
              </w:rPr>
              <w:t>KPI</w:t>
            </w:r>
          </w:p>
        </w:tc>
        <w:tc>
          <w:tcPr>
            <w:tcW w:w="3400" w:type="dxa"/>
            <w:shd w:val="clear" w:color="auto" w:fill="1F2937"/>
            <w:tcMar>
              <w:top w:w="80" w:type="dxa"/>
              <w:left w:w="120" w:type="dxa"/>
              <w:bottom w:w="80" w:type="dxa"/>
              <w:right w:w="120" w:type="dxa"/>
            </w:tcMar>
            <w:vAlign w:val="center"/>
          </w:tcPr>
          <w:p w14:paraId="28F75CD3">
            <w:pPr>
              <w:jc w:val="left"/>
            </w:pPr>
            <w:r>
              <w:rPr>
                <w:b/>
                <w:bCs/>
                <w:color w:val="FFFFFF"/>
                <w:sz w:val="20"/>
                <w:szCs w:val="20"/>
              </w:rPr>
              <w:t>Formula / Logic</w:t>
            </w:r>
          </w:p>
        </w:tc>
        <w:tc>
          <w:tcPr>
            <w:tcW w:w="1900" w:type="dxa"/>
            <w:shd w:val="clear" w:color="auto" w:fill="1F2937"/>
            <w:tcMar>
              <w:top w:w="80" w:type="dxa"/>
              <w:left w:w="120" w:type="dxa"/>
              <w:bottom w:w="80" w:type="dxa"/>
              <w:right w:w="120" w:type="dxa"/>
            </w:tcMar>
            <w:vAlign w:val="center"/>
          </w:tcPr>
          <w:p w14:paraId="1B0433EE">
            <w:pPr>
              <w:jc w:val="left"/>
            </w:pPr>
            <w:r>
              <w:rPr>
                <w:b/>
                <w:bCs/>
                <w:color w:val="FFFFFF"/>
                <w:sz w:val="20"/>
                <w:szCs w:val="20"/>
              </w:rPr>
              <w:t>Result</w:t>
            </w:r>
          </w:p>
        </w:tc>
        <w:tc>
          <w:tcPr>
            <w:tcW w:w="1550" w:type="dxa"/>
            <w:shd w:val="clear" w:color="auto" w:fill="1F2937"/>
            <w:tcMar>
              <w:top w:w="80" w:type="dxa"/>
              <w:left w:w="120" w:type="dxa"/>
              <w:bottom w:w="80" w:type="dxa"/>
              <w:right w:w="120" w:type="dxa"/>
            </w:tcMar>
            <w:vAlign w:val="center"/>
          </w:tcPr>
          <w:p w14:paraId="4C01F253">
            <w:pPr>
              <w:jc w:val="left"/>
            </w:pPr>
            <w:r>
              <w:rPr>
                <w:b/>
                <w:bCs/>
                <w:color w:val="FFFFFF"/>
                <w:sz w:val="20"/>
                <w:szCs w:val="20"/>
              </w:rPr>
              <w:t>Business Meaning</w:t>
            </w:r>
          </w:p>
        </w:tc>
      </w:tr>
      <w:tr w14:paraId="45821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FF3FB"/>
            <w:tcMar>
              <w:top w:w="80" w:type="dxa"/>
              <w:left w:w="120" w:type="dxa"/>
              <w:bottom w:w="80" w:type="dxa"/>
              <w:right w:w="120" w:type="dxa"/>
            </w:tcMar>
            <w:vAlign w:val="center"/>
          </w:tcPr>
          <w:p w14:paraId="105F9AF9">
            <w:pPr>
              <w:jc w:val="left"/>
            </w:pPr>
            <w:r>
              <w:rPr>
                <w:b w:val="0"/>
                <w:bCs w:val="0"/>
                <w:color w:val="1F2937"/>
                <w:sz w:val="20"/>
                <w:szCs w:val="20"/>
              </w:rPr>
              <w:t>Net Sales</w:t>
            </w:r>
          </w:p>
        </w:tc>
        <w:tc>
          <w:tcPr>
            <w:tcW w:w="3400" w:type="dxa"/>
            <w:shd w:val="clear" w:color="auto" w:fill="EFF3FB"/>
            <w:tcMar>
              <w:top w:w="80" w:type="dxa"/>
              <w:left w:w="120" w:type="dxa"/>
              <w:bottom w:w="80" w:type="dxa"/>
              <w:right w:w="120" w:type="dxa"/>
            </w:tcMar>
            <w:vAlign w:val="center"/>
          </w:tcPr>
          <w:p w14:paraId="4DE18618">
            <w:pPr>
              <w:jc w:val="left"/>
            </w:pPr>
            <w:r>
              <w:rPr>
                <w:b w:val="0"/>
                <w:bCs w:val="0"/>
                <w:color w:val="1F2937"/>
                <w:sz w:val="20"/>
                <w:szCs w:val="20"/>
              </w:rPr>
              <w:t>SUM(quantity × unit_price × (1 − discount))</w:t>
            </w:r>
          </w:p>
        </w:tc>
        <w:tc>
          <w:tcPr>
            <w:tcW w:w="1900" w:type="dxa"/>
            <w:shd w:val="clear" w:color="auto" w:fill="EFF3FB"/>
            <w:tcMar>
              <w:top w:w="80" w:type="dxa"/>
              <w:left w:w="120" w:type="dxa"/>
              <w:bottom w:w="80" w:type="dxa"/>
              <w:right w:w="120" w:type="dxa"/>
            </w:tcMar>
            <w:vAlign w:val="center"/>
          </w:tcPr>
          <w:p w14:paraId="141E23EC">
            <w:pPr>
              <w:jc w:val="left"/>
            </w:pPr>
            <w:r>
              <w:rPr>
                <w:b w:val="0"/>
                <w:bCs w:val="0"/>
                <w:color w:val="1F2937"/>
                <w:sz w:val="20"/>
                <w:szCs w:val="20"/>
              </w:rPr>
              <w:t>₹5,109,775.89</w:t>
            </w:r>
          </w:p>
        </w:tc>
        <w:tc>
          <w:tcPr>
            <w:tcW w:w="1550" w:type="dxa"/>
            <w:shd w:val="clear" w:color="auto" w:fill="EFF3FB"/>
            <w:tcMar>
              <w:top w:w="80" w:type="dxa"/>
              <w:left w:w="120" w:type="dxa"/>
              <w:bottom w:w="80" w:type="dxa"/>
              <w:right w:w="120" w:type="dxa"/>
            </w:tcMar>
            <w:vAlign w:val="center"/>
          </w:tcPr>
          <w:p w14:paraId="1378C313">
            <w:pPr>
              <w:jc w:val="left"/>
            </w:pPr>
            <w:r>
              <w:rPr>
                <w:b w:val="0"/>
                <w:bCs w:val="0"/>
                <w:color w:val="1F2937"/>
                <w:sz w:val="20"/>
                <w:szCs w:val="20"/>
              </w:rPr>
              <w:t>Actual revenue retained after discounts</w:t>
            </w:r>
          </w:p>
        </w:tc>
      </w:tr>
      <w:tr w14:paraId="6F86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0959DFFA">
            <w:pPr>
              <w:jc w:val="left"/>
            </w:pPr>
            <w:r>
              <w:rPr>
                <w:b w:val="0"/>
                <w:bCs w:val="0"/>
                <w:color w:val="1F2937"/>
                <w:sz w:val="20"/>
                <w:szCs w:val="20"/>
              </w:rPr>
              <w:t>Gross Sales</w:t>
            </w:r>
          </w:p>
        </w:tc>
        <w:tc>
          <w:tcPr>
            <w:tcW w:w="3400" w:type="dxa"/>
            <w:shd w:val="clear" w:color="auto" w:fill="FFFFFF"/>
            <w:tcMar>
              <w:top w:w="80" w:type="dxa"/>
              <w:left w:w="120" w:type="dxa"/>
              <w:bottom w:w="80" w:type="dxa"/>
              <w:right w:w="120" w:type="dxa"/>
            </w:tcMar>
            <w:vAlign w:val="center"/>
          </w:tcPr>
          <w:p w14:paraId="344C062F">
            <w:pPr>
              <w:jc w:val="left"/>
            </w:pPr>
            <w:r>
              <w:rPr>
                <w:b w:val="0"/>
                <w:bCs w:val="0"/>
                <w:color w:val="1F2937"/>
                <w:sz w:val="20"/>
                <w:szCs w:val="20"/>
              </w:rPr>
              <w:t>SUM(quantity × unit_price)</w:t>
            </w:r>
          </w:p>
        </w:tc>
        <w:tc>
          <w:tcPr>
            <w:tcW w:w="1900" w:type="dxa"/>
            <w:shd w:val="clear" w:color="auto" w:fill="FFFFFF"/>
            <w:tcMar>
              <w:top w:w="80" w:type="dxa"/>
              <w:left w:w="120" w:type="dxa"/>
              <w:bottom w:w="80" w:type="dxa"/>
              <w:right w:w="120" w:type="dxa"/>
            </w:tcMar>
            <w:vAlign w:val="center"/>
          </w:tcPr>
          <w:p w14:paraId="07BB1888">
            <w:pPr>
              <w:jc w:val="left"/>
            </w:pPr>
            <w:r>
              <w:rPr>
                <w:b w:val="0"/>
                <w:bCs w:val="0"/>
                <w:color w:val="1F2937"/>
                <w:sz w:val="20"/>
                <w:szCs w:val="20"/>
              </w:rPr>
              <w:t>₹6,240,021.96</w:t>
            </w:r>
          </w:p>
        </w:tc>
        <w:tc>
          <w:tcPr>
            <w:tcW w:w="1550" w:type="dxa"/>
            <w:shd w:val="clear" w:color="auto" w:fill="FFFFFF"/>
            <w:tcMar>
              <w:top w:w="80" w:type="dxa"/>
              <w:left w:w="120" w:type="dxa"/>
              <w:bottom w:w="80" w:type="dxa"/>
              <w:right w:w="120" w:type="dxa"/>
            </w:tcMar>
            <w:vAlign w:val="center"/>
          </w:tcPr>
          <w:p w14:paraId="12FA8B80">
            <w:pPr>
              <w:jc w:val="left"/>
            </w:pPr>
            <w:r>
              <w:rPr>
                <w:b w:val="0"/>
                <w:bCs w:val="0"/>
                <w:color w:val="1F2937"/>
                <w:sz w:val="20"/>
                <w:szCs w:val="20"/>
              </w:rPr>
              <w:t>Revenue before any discount</w:t>
            </w:r>
          </w:p>
        </w:tc>
      </w:tr>
      <w:tr w14:paraId="33AE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FF3FB"/>
            <w:tcMar>
              <w:top w:w="80" w:type="dxa"/>
              <w:left w:w="120" w:type="dxa"/>
              <w:bottom w:w="80" w:type="dxa"/>
              <w:right w:w="120" w:type="dxa"/>
            </w:tcMar>
            <w:vAlign w:val="center"/>
          </w:tcPr>
          <w:p w14:paraId="5DD4C663">
            <w:pPr>
              <w:jc w:val="left"/>
            </w:pPr>
            <w:r>
              <w:rPr>
                <w:b w:val="0"/>
                <w:bCs w:val="0"/>
                <w:color w:val="1F2937"/>
                <w:sz w:val="20"/>
                <w:szCs w:val="20"/>
              </w:rPr>
              <w:t>Total Discount Given</w:t>
            </w:r>
          </w:p>
        </w:tc>
        <w:tc>
          <w:tcPr>
            <w:tcW w:w="3400" w:type="dxa"/>
            <w:shd w:val="clear" w:color="auto" w:fill="EFF3FB"/>
            <w:tcMar>
              <w:top w:w="80" w:type="dxa"/>
              <w:left w:w="120" w:type="dxa"/>
              <w:bottom w:w="80" w:type="dxa"/>
              <w:right w:w="120" w:type="dxa"/>
            </w:tcMar>
            <w:vAlign w:val="center"/>
          </w:tcPr>
          <w:p w14:paraId="2D570827">
            <w:pPr>
              <w:jc w:val="left"/>
            </w:pPr>
            <w:r>
              <w:rPr>
                <w:b w:val="0"/>
                <w:bCs w:val="0"/>
                <w:color w:val="1F2937"/>
                <w:sz w:val="20"/>
                <w:szCs w:val="20"/>
              </w:rPr>
              <w:t>Gross Sales − Net Sales</w:t>
            </w:r>
          </w:p>
        </w:tc>
        <w:tc>
          <w:tcPr>
            <w:tcW w:w="1900" w:type="dxa"/>
            <w:shd w:val="clear" w:color="auto" w:fill="EFF3FB"/>
            <w:tcMar>
              <w:top w:w="80" w:type="dxa"/>
              <w:left w:w="120" w:type="dxa"/>
              <w:bottom w:w="80" w:type="dxa"/>
              <w:right w:w="120" w:type="dxa"/>
            </w:tcMar>
            <w:vAlign w:val="center"/>
          </w:tcPr>
          <w:p w14:paraId="329A8C6F">
            <w:pPr>
              <w:jc w:val="left"/>
            </w:pPr>
            <w:r>
              <w:rPr>
                <w:b w:val="0"/>
                <w:bCs w:val="0"/>
                <w:color w:val="1F2937"/>
                <w:sz w:val="20"/>
                <w:szCs w:val="20"/>
              </w:rPr>
              <w:t>₹1,130,246.05</w:t>
            </w:r>
          </w:p>
        </w:tc>
        <w:tc>
          <w:tcPr>
            <w:tcW w:w="1550" w:type="dxa"/>
            <w:shd w:val="clear" w:color="auto" w:fill="EFF3FB"/>
            <w:tcMar>
              <w:top w:w="80" w:type="dxa"/>
              <w:left w:w="120" w:type="dxa"/>
              <w:bottom w:w="80" w:type="dxa"/>
              <w:right w:w="120" w:type="dxa"/>
            </w:tcMar>
            <w:vAlign w:val="center"/>
          </w:tcPr>
          <w:p w14:paraId="47456536">
            <w:pPr>
              <w:jc w:val="left"/>
            </w:pPr>
            <w:r>
              <w:rPr>
                <w:b w:val="0"/>
                <w:bCs w:val="0"/>
                <w:color w:val="1F2937"/>
                <w:sz w:val="20"/>
                <w:szCs w:val="20"/>
              </w:rPr>
              <w:t>Value given away via discounting</w:t>
            </w:r>
          </w:p>
        </w:tc>
      </w:tr>
      <w:tr w14:paraId="72DF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3D048AA0">
            <w:pPr>
              <w:jc w:val="left"/>
            </w:pPr>
            <w:r>
              <w:rPr>
                <w:b w:val="0"/>
                <w:bCs w:val="0"/>
                <w:color w:val="1F2937"/>
                <w:sz w:val="20"/>
                <w:szCs w:val="20"/>
              </w:rPr>
              <w:t>Total Orders</w:t>
            </w:r>
          </w:p>
        </w:tc>
        <w:tc>
          <w:tcPr>
            <w:tcW w:w="3400" w:type="dxa"/>
            <w:shd w:val="clear" w:color="auto" w:fill="FFFFFF"/>
            <w:tcMar>
              <w:top w:w="80" w:type="dxa"/>
              <w:left w:w="120" w:type="dxa"/>
              <w:bottom w:w="80" w:type="dxa"/>
              <w:right w:w="120" w:type="dxa"/>
            </w:tcMar>
            <w:vAlign w:val="center"/>
          </w:tcPr>
          <w:p w14:paraId="50D45024">
            <w:pPr>
              <w:jc w:val="left"/>
            </w:pPr>
            <w:r>
              <w:rPr>
                <w:b w:val="0"/>
                <w:bCs w:val="0"/>
                <w:color w:val="1F2937"/>
                <w:sz w:val="20"/>
                <w:szCs w:val="20"/>
              </w:rPr>
              <w:t>COUNT(DISTINCT order_id)</w:t>
            </w:r>
          </w:p>
        </w:tc>
        <w:tc>
          <w:tcPr>
            <w:tcW w:w="1900" w:type="dxa"/>
            <w:shd w:val="clear" w:color="auto" w:fill="FFFFFF"/>
            <w:tcMar>
              <w:top w:w="80" w:type="dxa"/>
              <w:left w:w="120" w:type="dxa"/>
              <w:bottom w:w="80" w:type="dxa"/>
              <w:right w:w="120" w:type="dxa"/>
            </w:tcMar>
            <w:vAlign w:val="center"/>
          </w:tcPr>
          <w:p w14:paraId="02FA30B8">
            <w:pPr>
              <w:jc w:val="left"/>
            </w:pPr>
            <w:r>
              <w:rPr>
                <w:b w:val="0"/>
                <w:bCs w:val="0"/>
                <w:color w:val="1F2937"/>
                <w:sz w:val="20"/>
                <w:szCs w:val="20"/>
              </w:rPr>
              <w:t>5,000</w:t>
            </w:r>
          </w:p>
        </w:tc>
        <w:tc>
          <w:tcPr>
            <w:tcW w:w="1550" w:type="dxa"/>
            <w:shd w:val="clear" w:color="auto" w:fill="FFFFFF"/>
            <w:tcMar>
              <w:top w:w="80" w:type="dxa"/>
              <w:left w:w="120" w:type="dxa"/>
              <w:bottom w:w="80" w:type="dxa"/>
              <w:right w:w="120" w:type="dxa"/>
            </w:tcMar>
            <w:vAlign w:val="center"/>
          </w:tcPr>
          <w:p w14:paraId="4B690DF7">
            <w:pPr>
              <w:jc w:val="left"/>
            </w:pPr>
            <w:r>
              <w:rPr>
                <w:b w:val="0"/>
                <w:bCs w:val="0"/>
                <w:color w:val="1F2937"/>
                <w:sz w:val="20"/>
                <w:szCs w:val="20"/>
              </w:rPr>
              <w:t>Transaction volume</w:t>
            </w:r>
          </w:p>
        </w:tc>
      </w:tr>
      <w:tr w14:paraId="442E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FF3FB"/>
            <w:tcMar>
              <w:top w:w="80" w:type="dxa"/>
              <w:left w:w="120" w:type="dxa"/>
              <w:bottom w:w="80" w:type="dxa"/>
              <w:right w:w="120" w:type="dxa"/>
            </w:tcMar>
            <w:vAlign w:val="center"/>
          </w:tcPr>
          <w:p w14:paraId="00ED481F">
            <w:pPr>
              <w:jc w:val="left"/>
            </w:pPr>
            <w:r>
              <w:rPr>
                <w:b w:val="0"/>
                <w:bCs w:val="0"/>
                <w:color w:val="1F2937"/>
                <w:sz w:val="20"/>
                <w:szCs w:val="20"/>
              </w:rPr>
              <w:t>Total Quantity Sold</w:t>
            </w:r>
          </w:p>
        </w:tc>
        <w:tc>
          <w:tcPr>
            <w:tcW w:w="3400" w:type="dxa"/>
            <w:shd w:val="clear" w:color="auto" w:fill="EFF3FB"/>
            <w:tcMar>
              <w:top w:w="80" w:type="dxa"/>
              <w:left w:w="120" w:type="dxa"/>
              <w:bottom w:w="80" w:type="dxa"/>
              <w:right w:w="120" w:type="dxa"/>
            </w:tcMar>
            <w:vAlign w:val="center"/>
          </w:tcPr>
          <w:p w14:paraId="46B6A319">
            <w:pPr>
              <w:jc w:val="left"/>
            </w:pPr>
            <w:r>
              <w:rPr>
                <w:b w:val="0"/>
                <w:bCs w:val="0"/>
                <w:color w:val="1F2937"/>
                <w:sz w:val="20"/>
                <w:szCs w:val="20"/>
              </w:rPr>
              <w:t>SUM(quantity)</w:t>
            </w:r>
          </w:p>
        </w:tc>
        <w:tc>
          <w:tcPr>
            <w:tcW w:w="1900" w:type="dxa"/>
            <w:shd w:val="clear" w:color="auto" w:fill="EFF3FB"/>
            <w:tcMar>
              <w:top w:w="80" w:type="dxa"/>
              <w:left w:w="120" w:type="dxa"/>
              <w:bottom w:w="80" w:type="dxa"/>
              <w:right w:w="120" w:type="dxa"/>
            </w:tcMar>
            <w:vAlign w:val="center"/>
          </w:tcPr>
          <w:p w14:paraId="3123276F">
            <w:pPr>
              <w:jc w:val="left"/>
            </w:pPr>
            <w:r>
              <w:rPr>
                <w:b w:val="0"/>
                <w:bCs w:val="0"/>
                <w:color w:val="1F2937"/>
                <w:sz w:val="20"/>
                <w:szCs w:val="20"/>
              </w:rPr>
              <w:t>20,224 units</w:t>
            </w:r>
          </w:p>
        </w:tc>
        <w:tc>
          <w:tcPr>
            <w:tcW w:w="1550" w:type="dxa"/>
            <w:shd w:val="clear" w:color="auto" w:fill="EFF3FB"/>
            <w:tcMar>
              <w:top w:w="80" w:type="dxa"/>
              <w:left w:w="120" w:type="dxa"/>
              <w:bottom w:w="80" w:type="dxa"/>
              <w:right w:w="120" w:type="dxa"/>
            </w:tcMar>
            <w:vAlign w:val="center"/>
          </w:tcPr>
          <w:p w14:paraId="19A43636">
            <w:pPr>
              <w:jc w:val="left"/>
            </w:pPr>
            <w:r>
              <w:rPr>
                <w:b w:val="0"/>
                <w:bCs w:val="0"/>
                <w:color w:val="1F2937"/>
                <w:sz w:val="20"/>
                <w:szCs w:val="20"/>
              </w:rPr>
              <w:t>Units moved</w:t>
            </w:r>
          </w:p>
        </w:tc>
      </w:tr>
      <w:tr w14:paraId="7494F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3822801C">
            <w:pPr>
              <w:jc w:val="left"/>
            </w:pPr>
            <w:r>
              <w:rPr>
                <w:b w:val="0"/>
                <w:bCs w:val="0"/>
                <w:color w:val="1F2937"/>
                <w:sz w:val="20"/>
                <w:szCs w:val="20"/>
              </w:rPr>
              <w:t>Average Order Value (AOV)</w:t>
            </w:r>
          </w:p>
        </w:tc>
        <w:tc>
          <w:tcPr>
            <w:tcW w:w="3400" w:type="dxa"/>
            <w:shd w:val="clear" w:color="auto" w:fill="FFFFFF"/>
            <w:tcMar>
              <w:top w:w="80" w:type="dxa"/>
              <w:left w:w="120" w:type="dxa"/>
              <w:bottom w:w="80" w:type="dxa"/>
              <w:right w:w="120" w:type="dxa"/>
            </w:tcMar>
            <w:vAlign w:val="center"/>
          </w:tcPr>
          <w:p w14:paraId="47F7BC5D">
            <w:pPr>
              <w:jc w:val="left"/>
            </w:pPr>
            <w:r>
              <w:rPr>
                <w:b w:val="0"/>
                <w:bCs w:val="0"/>
                <w:color w:val="1F2937"/>
                <w:sz w:val="20"/>
                <w:szCs w:val="20"/>
              </w:rPr>
              <w:t>Net Sales / Orders</w:t>
            </w:r>
          </w:p>
        </w:tc>
        <w:tc>
          <w:tcPr>
            <w:tcW w:w="1900" w:type="dxa"/>
            <w:shd w:val="clear" w:color="auto" w:fill="FFFFFF"/>
            <w:tcMar>
              <w:top w:w="80" w:type="dxa"/>
              <w:left w:w="120" w:type="dxa"/>
              <w:bottom w:w="80" w:type="dxa"/>
              <w:right w:w="120" w:type="dxa"/>
            </w:tcMar>
            <w:vAlign w:val="center"/>
          </w:tcPr>
          <w:p w14:paraId="46708151">
            <w:pPr>
              <w:jc w:val="left"/>
            </w:pPr>
            <w:r>
              <w:rPr>
                <w:b w:val="0"/>
                <w:bCs w:val="0"/>
                <w:color w:val="1F2937"/>
                <w:sz w:val="20"/>
                <w:szCs w:val="20"/>
              </w:rPr>
              <w:t>₹1,021.96</w:t>
            </w:r>
          </w:p>
        </w:tc>
        <w:tc>
          <w:tcPr>
            <w:tcW w:w="1550" w:type="dxa"/>
            <w:shd w:val="clear" w:color="auto" w:fill="FFFFFF"/>
            <w:tcMar>
              <w:top w:w="80" w:type="dxa"/>
              <w:left w:w="120" w:type="dxa"/>
              <w:bottom w:w="80" w:type="dxa"/>
              <w:right w:w="120" w:type="dxa"/>
            </w:tcMar>
            <w:vAlign w:val="center"/>
          </w:tcPr>
          <w:p w14:paraId="2FFAEA60">
            <w:pPr>
              <w:jc w:val="left"/>
            </w:pPr>
            <w:r>
              <w:rPr>
                <w:b w:val="0"/>
                <w:bCs w:val="0"/>
                <w:color w:val="1F2937"/>
                <w:sz w:val="20"/>
                <w:szCs w:val="20"/>
              </w:rPr>
              <w:t>Typical revenue per transaction</w:t>
            </w:r>
          </w:p>
        </w:tc>
      </w:tr>
      <w:tr w14:paraId="58039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FF3FB"/>
            <w:tcMar>
              <w:top w:w="80" w:type="dxa"/>
              <w:left w:w="120" w:type="dxa"/>
              <w:bottom w:w="80" w:type="dxa"/>
              <w:right w:w="120" w:type="dxa"/>
            </w:tcMar>
            <w:vAlign w:val="center"/>
          </w:tcPr>
          <w:p w14:paraId="6176E824">
            <w:pPr>
              <w:jc w:val="left"/>
            </w:pPr>
            <w:r>
              <w:rPr>
                <w:b w:val="0"/>
                <w:bCs w:val="0"/>
                <w:color w:val="1F2937"/>
                <w:sz w:val="20"/>
                <w:szCs w:val="20"/>
              </w:rPr>
              <w:t>Average Unit Price</w:t>
            </w:r>
          </w:p>
        </w:tc>
        <w:tc>
          <w:tcPr>
            <w:tcW w:w="3400" w:type="dxa"/>
            <w:shd w:val="clear" w:color="auto" w:fill="EFF3FB"/>
            <w:tcMar>
              <w:top w:w="80" w:type="dxa"/>
              <w:left w:w="120" w:type="dxa"/>
              <w:bottom w:w="80" w:type="dxa"/>
              <w:right w:w="120" w:type="dxa"/>
            </w:tcMar>
            <w:vAlign w:val="center"/>
          </w:tcPr>
          <w:p w14:paraId="083C3791">
            <w:pPr>
              <w:jc w:val="left"/>
            </w:pPr>
            <w:r>
              <w:rPr>
                <w:b w:val="0"/>
                <w:bCs w:val="0"/>
                <w:color w:val="1F2937"/>
                <w:sz w:val="20"/>
                <w:szCs w:val="20"/>
              </w:rPr>
              <w:t>MEAN(unit_price)</w:t>
            </w:r>
          </w:p>
        </w:tc>
        <w:tc>
          <w:tcPr>
            <w:tcW w:w="1900" w:type="dxa"/>
            <w:shd w:val="clear" w:color="auto" w:fill="EFF3FB"/>
            <w:tcMar>
              <w:top w:w="80" w:type="dxa"/>
              <w:left w:w="120" w:type="dxa"/>
              <w:bottom w:w="80" w:type="dxa"/>
              <w:right w:w="120" w:type="dxa"/>
            </w:tcMar>
            <w:vAlign w:val="center"/>
          </w:tcPr>
          <w:p w14:paraId="0A0EB1F0">
            <w:pPr>
              <w:jc w:val="left"/>
            </w:pPr>
            <w:r>
              <w:rPr>
                <w:b w:val="0"/>
                <w:bCs w:val="0"/>
                <w:color w:val="1F2937"/>
                <w:sz w:val="20"/>
                <w:szCs w:val="20"/>
              </w:rPr>
              <w:t>₹308</w:t>
            </w:r>
          </w:p>
        </w:tc>
        <w:tc>
          <w:tcPr>
            <w:tcW w:w="1550" w:type="dxa"/>
            <w:shd w:val="clear" w:color="auto" w:fill="EFF3FB"/>
            <w:tcMar>
              <w:top w:w="80" w:type="dxa"/>
              <w:left w:w="120" w:type="dxa"/>
              <w:bottom w:w="80" w:type="dxa"/>
              <w:right w:w="120" w:type="dxa"/>
            </w:tcMar>
            <w:vAlign w:val="center"/>
          </w:tcPr>
          <w:p w14:paraId="0DC1F76F">
            <w:pPr>
              <w:jc w:val="left"/>
            </w:pPr>
            <w:r>
              <w:rPr>
                <w:b w:val="0"/>
                <w:bCs w:val="0"/>
                <w:color w:val="1F2937"/>
                <w:sz w:val="20"/>
                <w:szCs w:val="20"/>
              </w:rPr>
              <w:t>Typical item price point</w:t>
            </w:r>
          </w:p>
        </w:tc>
      </w:tr>
      <w:tr w14:paraId="7333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00E04C68">
            <w:pPr>
              <w:jc w:val="left"/>
            </w:pPr>
            <w:r>
              <w:rPr>
                <w:b w:val="0"/>
                <w:bCs w:val="0"/>
                <w:color w:val="1F2937"/>
                <w:sz w:val="20"/>
                <w:szCs w:val="20"/>
              </w:rPr>
              <w:t>Average Discount Rate</w:t>
            </w:r>
          </w:p>
        </w:tc>
        <w:tc>
          <w:tcPr>
            <w:tcW w:w="3400" w:type="dxa"/>
            <w:shd w:val="clear" w:color="auto" w:fill="FFFFFF"/>
            <w:tcMar>
              <w:top w:w="80" w:type="dxa"/>
              <w:left w:w="120" w:type="dxa"/>
              <w:bottom w:w="80" w:type="dxa"/>
              <w:right w:w="120" w:type="dxa"/>
            </w:tcMar>
            <w:vAlign w:val="center"/>
          </w:tcPr>
          <w:p w14:paraId="29476648">
            <w:pPr>
              <w:jc w:val="left"/>
            </w:pPr>
            <w:r>
              <w:rPr>
                <w:b w:val="0"/>
                <w:bCs w:val="0"/>
                <w:color w:val="1F2937"/>
                <w:sz w:val="20"/>
                <w:szCs w:val="20"/>
              </w:rPr>
              <w:t>MEAN(discount), order-weighted</w:t>
            </w:r>
          </w:p>
        </w:tc>
        <w:tc>
          <w:tcPr>
            <w:tcW w:w="1900" w:type="dxa"/>
            <w:shd w:val="clear" w:color="auto" w:fill="FFFFFF"/>
            <w:tcMar>
              <w:top w:w="80" w:type="dxa"/>
              <w:left w:w="120" w:type="dxa"/>
              <w:bottom w:w="80" w:type="dxa"/>
              <w:right w:w="120" w:type="dxa"/>
            </w:tcMar>
            <w:vAlign w:val="center"/>
          </w:tcPr>
          <w:p w14:paraId="0F8E8BF6">
            <w:pPr>
              <w:jc w:val="left"/>
            </w:pPr>
            <w:r>
              <w:rPr>
                <w:b w:val="0"/>
                <w:bCs w:val="0"/>
                <w:color w:val="1F2937"/>
                <w:sz w:val="20"/>
                <w:szCs w:val="20"/>
              </w:rPr>
              <w:t>18.0%</w:t>
            </w:r>
          </w:p>
        </w:tc>
        <w:tc>
          <w:tcPr>
            <w:tcW w:w="1550" w:type="dxa"/>
            <w:shd w:val="clear" w:color="auto" w:fill="FFFFFF"/>
            <w:tcMar>
              <w:top w:w="80" w:type="dxa"/>
              <w:left w:w="120" w:type="dxa"/>
              <w:bottom w:w="80" w:type="dxa"/>
              <w:right w:w="120" w:type="dxa"/>
            </w:tcMar>
            <w:vAlign w:val="center"/>
          </w:tcPr>
          <w:p w14:paraId="158E5DC0">
            <w:pPr>
              <w:jc w:val="left"/>
            </w:pPr>
            <w:r>
              <w:rPr>
                <w:b w:val="0"/>
                <w:bCs w:val="0"/>
                <w:color w:val="1F2937"/>
                <w:sz w:val="20"/>
                <w:szCs w:val="20"/>
              </w:rPr>
              <w:t>Typical discount depth</w:t>
            </w:r>
          </w:p>
        </w:tc>
      </w:tr>
      <w:tr w14:paraId="2529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FF3FB"/>
            <w:tcMar>
              <w:top w:w="80" w:type="dxa"/>
              <w:left w:w="120" w:type="dxa"/>
              <w:bottom w:w="80" w:type="dxa"/>
              <w:right w:w="120" w:type="dxa"/>
            </w:tcMar>
            <w:vAlign w:val="center"/>
          </w:tcPr>
          <w:p w14:paraId="7DC68FD6">
            <w:pPr>
              <w:jc w:val="left"/>
            </w:pPr>
            <w:r>
              <w:rPr>
                <w:b w:val="0"/>
                <w:bCs w:val="0"/>
                <w:color w:val="1F2937"/>
                <w:sz w:val="20"/>
                <w:szCs w:val="20"/>
              </w:rPr>
              <w:t>Average Delivery Time</w:t>
            </w:r>
          </w:p>
        </w:tc>
        <w:tc>
          <w:tcPr>
            <w:tcW w:w="3400" w:type="dxa"/>
            <w:shd w:val="clear" w:color="auto" w:fill="EFF3FB"/>
            <w:tcMar>
              <w:top w:w="80" w:type="dxa"/>
              <w:left w:w="120" w:type="dxa"/>
              <w:bottom w:w="80" w:type="dxa"/>
              <w:right w:w="120" w:type="dxa"/>
            </w:tcMar>
            <w:vAlign w:val="center"/>
          </w:tcPr>
          <w:p w14:paraId="4C601B71">
            <w:pPr>
              <w:jc w:val="left"/>
            </w:pPr>
            <w:r>
              <w:rPr>
                <w:b w:val="0"/>
                <w:bCs w:val="0"/>
                <w:color w:val="1F2937"/>
                <w:sz w:val="20"/>
                <w:szCs w:val="20"/>
              </w:rPr>
              <w:t>MEAN(delivery_days)</w:t>
            </w:r>
          </w:p>
        </w:tc>
        <w:tc>
          <w:tcPr>
            <w:tcW w:w="1900" w:type="dxa"/>
            <w:shd w:val="clear" w:color="auto" w:fill="EFF3FB"/>
            <w:tcMar>
              <w:top w:w="80" w:type="dxa"/>
              <w:left w:w="120" w:type="dxa"/>
              <w:bottom w:w="80" w:type="dxa"/>
              <w:right w:w="120" w:type="dxa"/>
            </w:tcMar>
            <w:vAlign w:val="center"/>
          </w:tcPr>
          <w:p w14:paraId="4B024866">
            <w:pPr>
              <w:jc w:val="left"/>
            </w:pPr>
            <w:r>
              <w:rPr>
                <w:b w:val="0"/>
                <w:bCs w:val="0"/>
                <w:color w:val="1F2937"/>
                <w:sz w:val="20"/>
                <w:szCs w:val="20"/>
              </w:rPr>
              <w:t>6.12 days</w:t>
            </w:r>
          </w:p>
        </w:tc>
        <w:tc>
          <w:tcPr>
            <w:tcW w:w="1550" w:type="dxa"/>
            <w:shd w:val="clear" w:color="auto" w:fill="EFF3FB"/>
            <w:tcMar>
              <w:top w:w="80" w:type="dxa"/>
              <w:left w:w="120" w:type="dxa"/>
              <w:bottom w:w="80" w:type="dxa"/>
              <w:right w:w="120" w:type="dxa"/>
            </w:tcMar>
            <w:vAlign w:val="center"/>
          </w:tcPr>
          <w:p w14:paraId="50127EB7">
            <w:pPr>
              <w:jc w:val="left"/>
            </w:pPr>
            <w:r>
              <w:rPr>
                <w:b w:val="0"/>
                <w:bCs w:val="0"/>
                <w:color w:val="1F2937"/>
                <w:sz w:val="20"/>
                <w:szCs w:val="20"/>
              </w:rPr>
              <w:t>Typical fulfillment speed</w:t>
            </w:r>
          </w:p>
        </w:tc>
      </w:tr>
      <w:tr w14:paraId="116A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763C38C2">
            <w:pPr>
              <w:jc w:val="left"/>
            </w:pPr>
            <w:r>
              <w:rPr>
                <w:b w:val="0"/>
                <w:bCs w:val="0"/>
                <w:color w:val="1F2937"/>
                <w:sz w:val="20"/>
                <w:szCs w:val="20"/>
              </w:rPr>
              <w:t>Unique Customers</w:t>
            </w:r>
          </w:p>
        </w:tc>
        <w:tc>
          <w:tcPr>
            <w:tcW w:w="3400" w:type="dxa"/>
            <w:shd w:val="clear" w:color="auto" w:fill="FFFFFF"/>
            <w:tcMar>
              <w:top w:w="80" w:type="dxa"/>
              <w:left w:w="120" w:type="dxa"/>
              <w:bottom w:w="80" w:type="dxa"/>
              <w:right w:w="120" w:type="dxa"/>
            </w:tcMar>
            <w:vAlign w:val="center"/>
          </w:tcPr>
          <w:p w14:paraId="75F86CDC">
            <w:pPr>
              <w:jc w:val="left"/>
            </w:pPr>
            <w:r>
              <w:rPr>
                <w:b w:val="0"/>
                <w:bCs w:val="0"/>
                <w:color w:val="1F2937"/>
                <w:sz w:val="20"/>
                <w:szCs w:val="20"/>
              </w:rPr>
              <w:t>COUNT(DISTINCT customer_id)</w:t>
            </w:r>
          </w:p>
        </w:tc>
        <w:tc>
          <w:tcPr>
            <w:tcW w:w="1900" w:type="dxa"/>
            <w:shd w:val="clear" w:color="auto" w:fill="FFFFFF"/>
            <w:tcMar>
              <w:top w:w="80" w:type="dxa"/>
              <w:left w:w="120" w:type="dxa"/>
              <w:bottom w:w="80" w:type="dxa"/>
              <w:right w:w="120" w:type="dxa"/>
            </w:tcMar>
            <w:vAlign w:val="center"/>
          </w:tcPr>
          <w:p w14:paraId="064993BA">
            <w:pPr>
              <w:jc w:val="left"/>
            </w:pPr>
            <w:r>
              <w:rPr>
                <w:b w:val="0"/>
                <w:bCs w:val="0"/>
                <w:color w:val="1F2937"/>
                <w:sz w:val="20"/>
                <w:szCs w:val="20"/>
              </w:rPr>
              <w:t>989</w:t>
            </w:r>
          </w:p>
        </w:tc>
        <w:tc>
          <w:tcPr>
            <w:tcW w:w="1550" w:type="dxa"/>
            <w:shd w:val="clear" w:color="auto" w:fill="FFFFFF"/>
            <w:tcMar>
              <w:top w:w="80" w:type="dxa"/>
              <w:left w:w="120" w:type="dxa"/>
              <w:bottom w:w="80" w:type="dxa"/>
              <w:right w:w="120" w:type="dxa"/>
            </w:tcMar>
            <w:vAlign w:val="center"/>
          </w:tcPr>
          <w:p w14:paraId="7865C84B">
            <w:pPr>
              <w:jc w:val="left"/>
            </w:pPr>
            <w:r>
              <w:rPr>
                <w:b w:val="0"/>
                <w:bCs w:val="0"/>
                <w:color w:val="1F2937"/>
                <w:sz w:val="20"/>
                <w:szCs w:val="20"/>
              </w:rPr>
              <w:t>Size of active customer base</w:t>
            </w:r>
          </w:p>
        </w:tc>
      </w:tr>
      <w:tr w14:paraId="5553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FF3FB"/>
            <w:tcMar>
              <w:top w:w="80" w:type="dxa"/>
              <w:left w:w="120" w:type="dxa"/>
              <w:bottom w:w="80" w:type="dxa"/>
              <w:right w:w="120" w:type="dxa"/>
            </w:tcMar>
            <w:vAlign w:val="center"/>
          </w:tcPr>
          <w:p w14:paraId="1CBFA914">
            <w:pPr>
              <w:jc w:val="left"/>
            </w:pPr>
            <w:r>
              <w:rPr>
                <w:b w:val="0"/>
                <w:bCs w:val="0"/>
                <w:color w:val="1F2937"/>
                <w:sz w:val="20"/>
                <w:szCs w:val="20"/>
              </w:rPr>
              <w:t>Repeat-Purchase Rate</w:t>
            </w:r>
          </w:p>
        </w:tc>
        <w:tc>
          <w:tcPr>
            <w:tcW w:w="3400" w:type="dxa"/>
            <w:shd w:val="clear" w:color="auto" w:fill="EFF3FB"/>
            <w:tcMar>
              <w:top w:w="80" w:type="dxa"/>
              <w:left w:w="120" w:type="dxa"/>
              <w:bottom w:w="80" w:type="dxa"/>
              <w:right w:w="120" w:type="dxa"/>
            </w:tcMar>
            <w:vAlign w:val="center"/>
          </w:tcPr>
          <w:p w14:paraId="1E647DFD">
            <w:pPr>
              <w:jc w:val="left"/>
            </w:pPr>
            <w:r>
              <w:rPr>
                <w:b w:val="0"/>
                <w:bCs w:val="0"/>
                <w:color w:val="1F2937"/>
                <w:sz w:val="20"/>
                <w:szCs w:val="20"/>
              </w:rPr>
              <w:t>Customers with &gt;1 order / total customers</w:t>
            </w:r>
          </w:p>
        </w:tc>
        <w:tc>
          <w:tcPr>
            <w:tcW w:w="1900" w:type="dxa"/>
            <w:shd w:val="clear" w:color="auto" w:fill="EFF3FB"/>
            <w:tcMar>
              <w:top w:w="80" w:type="dxa"/>
              <w:left w:w="120" w:type="dxa"/>
              <w:bottom w:w="80" w:type="dxa"/>
              <w:right w:w="120" w:type="dxa"/>
            </w:tcMar>
            <w:vAlign w:val="center"/>
          </w:tcPr>
          <w:p w14:paraId="19A7D7D1">
            <w:pPr>
              <w:jc w:val="left"/>
            </w:pPr>
            <w:r>
              <w:rPr>
                <w:b w:val="0"/>
                <w:bCs w:val="0"/>
                <w:color w:val="1F2937"/>
                <w:sz w:val="20"/>
                <w:szCs w:val="20"/>
              </w:rPr>
              <w:t>96.1% (950 / 989)</w:t>
            </w:r>
          </w:p>
        </w:tc>
        <w:tc>
          <w:tcPr>
            <w:tcW w:w="1550" w:type="dxa"/>
            <w:shd w:val="clear" w:color="auto" w:fill="EFF3FB"/>
            <w:tcMar>
              <w:top w:w="80" w:type="dxa"/>
              <w:left w:w="120" w:type="dxa"/>
              <w:bottom w:w="80" w:type="dxa"/>
              <w:right w:w="120" w:type="dxa"/>
            </w:tcMar>
            <w:vAlign w:val="center"/>
          </w:tcPr>
          <w:p w14:paraId="5AB315CE">
            <w:pPr>
              <w:jc w:val="left"/>
            </w:pPr>
            <w:r>
              <w:rPr>
                <w:b w:val="0"/>
                <w:bCs w:val="0"/>
                <w:color w:val="1F2937"/>
                <w:sz w:val="20"/>
                <w:szCs w:val="20"/>
              </w:rPr>
              <w:t>Share of customers who ordered more than once</w:t>
            </w:r>
          </w:p>
        </w:tc>
      </w:tr>
    </w:tbl>
    <w:p w14:paraId="4BC1B426">
      <w:pPr>
        <w:pStyle w:val="2"/>
        <w:pBdr>
          <w:bottom w:val="single" w:color="2563EB" w:sz="6" w:space="4"/>
        </w:pBdr>
        <w:spacing w:before="480" w:after="200"/>
      </w:pPr>
      <w:r>
        <w:rPr>
          <w:b/>
          <w:bCs/>
          <w:color w:val="1F2937"/>
          <w:sz w:val="30"/>
          <w:szCs w:val="30"/>
        </w:rPr>
        <w:t>9. Power BI Dashboard Analysis</w:t>
      </w:r>
    </w:p>
    <w:p w14:paraId="2B3EAA4C">
      <w:pPr>
        <w:spacing w:after="160" w:line="276" w:lineRule="auto"/>
      </w:pPr>
      <w:r>
        <w:rPr>
          <w:color w:val="1F2937"/>
          <w:sz w:val="21"/>
          <w:szCs w:val="21"/>
        </w:rPr>
        <w:t>The dashboard suite contains five pages. Each is analyzed for its purpose, KPIs, charts, and the takeaway a manager should get within 30–60 seconds.</w:t>
      </w:r>
    </w:p>
    <w:p w14:paraId="4B3C9255">
      <w:pPr>
        <w:pStyle w:val="3"/>
        <w:spacing w:before="300" w:after="120"/>
      </w:pPr>
      <w:r>
        <w:rPr>
          <w:b/>
          <w:bCs/>
          <w:color w:val="2563EB"/>
          <w:sz w:val="24"/>
          <w:szCs w:val="24"/>
        </w:rPr>
        <w:t>Page 1 — Executive Overview</w:t>
      </w:r>
    </w:p>
    <w:p w14:paraId="1B802A4F">
      <w:pPr>
        <w:spacing w:before="120" w:after="60"/>
        <w:jc w:val="center"/>
      </w:pPr>
      <w:r>
        <w:drawing>
          <wp:inline distT="0" distB="0" distL="0" distR="0">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3219450"/>
                    </a:xfrm>
                    <a:prstGeom prst="rect">
                      <a:avLst/>
                    </a:prstGeom>
                  </pic:spPr>
                </pic:pic>
              </a:graphicData>
            </a:graphic>
          </wp:inline>
        </w:drawing>
      </w:r>
    </w:p>
    <w:p w14:paraId="2BA9AD07">
      <w:pPr>
        <w:spacing w:after="220"/>
        <w:jc w:val="center"/>
      </w:pPr>
      <w:r>
        <w:rPr>
          <w:i/>
          <w:iCs/>
          <w:color w:val="6B7280"/>
          <w:sz w:val="18"/>
          <w:szCs w:val="18"/>
        </w:rPr>
        <w:t>Figure 1. Executive Overview — headline KPIs, monthly trend, category, regional, and payment mix.</w:t>
      </w:r>
    </w:p>
    <w:p w14:paraId="47EA656D">
      <w:pPr>
        <w:spacing w:after="160" w:line="276" w:lineRule="auto"/>
      </w:pPr>
      <w:r>
        <w:rPr>
          <w:color w:val="1F2937"/>
          <w:sz w:val="21"/>
          <w:szCs w:val="21"/>
        </w:rPr>
        <w:t>Purpose: a single-screen summary for leadership. KPI cards show Net Sales (₹5.11M), Orders (5,000), AOV (₹1.0K), and Avg Delivery (6.1 days). The monthly net-sales line chart spans 2022–2035, a product-category bar chart, a regional donut chart, a payment-method bar chart, and a “Management Snapshot” panel listing the top category (Electronics), top region (West), top payment method (Card), total discount (₹1.13M), and unique customers (989).</w:t>
      </w:r>
    </w:p>
    <w:p w14:paraId="5565085A">
      <w:pPr>
        <w:spacing w:after="160" w:line="276" w:lineRule="auto"/>
      </w:pPr>
      <w:r>
        <w:rPr>
          <w:color w:val="1F2937"/>
          <w:sz w:val="21"/>
          <w:szCs w:val="21"/>
        </w:rPr>
        <w:t>60-second takeaway: the business generated ₹5.11M in net sales across 5,000 orders with no single category or region dominating — the four regions are within 9% of each other and the four categories form a clear but not extreme ranking. Card is the leading payment method by a visible margin.</w:t>
      </w:r>
    </w:p>
    <w:p w14:paraId="34519290">
      <w:pPr>
        <w:pStyle w:val="3"/>
        <w:spacing w:before="300" w:after="120"/>
      </w:pPr>
      <w:r>
        <w:rPr>
          <w:b/>
          <w:bCs/>
          <w:color w:val="2563EB"/>
          <w:sz w:val="24"/>
          <w:szCs w:val="24"/>
        </w:rPr>
        <w:t>Page 2 — Product &amp; Revenue</w:t>
      </w:r>
    </w:p>
    <w:p w14:paraId="72F2A2F4">
      <w:pPr>
        <w:spacing w:before="120" w:after="60"/>
        <w:jc w:val="center"/>
      </w:pPr>
      <w:r>
        <w:drawing>
          <wp:inline distT="0" distB="0" distL="0" distR="0">
            <wp:extent cx="57150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3219450"/>
                    </a:xfrm>
                    <a:prstGeom prst="rect">
                      <a:avLst/>
                    </a:prstGeom>
                  </pic:spPr>
                </pic:pic>
              </a:graphicData>
            </a:graphic>
          </wp:inline>
        </w:drawing>
      </w:r>
    </w:p>
    <w:p w14:paraId="6884C15D">
      <w:pPr>
        <w:spacing w:after="220"/>
        <w:jc w:val="center"/>
      </w:pPr>
      <w:r>
        <w:rPr>
          <w:i/>
          <w:iCs/>
          <w:color w:val="6B7280"/>
          <w:sz w:val="18"/>
          <w:szCs w:val="18"/>
        </w:rPr>
        <w:t>Figure 2. Product &amp; Revenue — category economics, pricing, volume and discount impact.</w:t>
      </w:r>
    </w:p>
    <w:p w14:paraId="4EB57EAD">
      <w:pPr>
        <w:spacing w:after="160" w:line="276" w:lineRule="auto"/>
      </w:pPr>
      <w:r>
        <w:rPr>
          <w:color w:val="1F2937"/>
          <w:sz w:val="21"/>
          <w:szCs w:val="21"/>
        </w:rPr>
        <w:t>Purpose: category-level profitability and pricing detail. KPI cards break out net sales, orders, and units for each of the four categories. A combo chart overlays order volume on net sales by category; a second combo chart compares average unit price against average discount rate; a horizontal bar chart shows quantity sold; and a Category KPI table consolidates net sales, orders, AOV, and average discount per category.</w:t>
      </w:r>
    </w:p>
    <w:p w14:paraId="6DABB4F5">
      <w:pPr>
        <w:spacing w:after="160" w:line="276" w:lineRule="auto"/>
      </w:pPr>
      <w:r>
        <w:rPr>
          <w:color w:val="1F2937"/>
          <w:sz w:val="21"/>
          <w:szCs w:val="21"/>
        </w:rPr>
        <w:t>60-second takeaway: Electronics leads on every metric (₹1.83M net sales, 1,777 orders, 7,109 units) but does not carry a materially higher average price (₹315) or lower discount (17.7%) than the other categories — its lead comes from order volume, not pricing strategy. Beauty has the smallest revenue base (₹765.9K) despite a comparable AOV (₹1.1K), pointing to a volume gap rather than a value gap.</w:t>
      </w:r>
    </w:p>
    <w:p w14:paraId="427155CC">
      <w:pPr>
        <w:pStyle w:val="3"/>
        <w:spacing w:before="300" w:after="120"/>
      </w:pPr>
      <w:r>
        <w:rPr>
          <w:b/>
          <w:bCs/>
          <w:color w:val="2563EB"/>
          <w:sz w:val="24"/>
          <w:szCs w:val="24"/>
        </w:rPr>
        <w:t>Page 3 — Region &amp; Payment</w:t>
      </w:r>
    </w:p>
    <w:p w14:paraId="37DAF76A">
      <w:pPr>
        <w:spacing w:before="120" w:after="60"/>
        <w:jc w:val="center"/>
      </w:pPr>
      <w:r>
        <w:drawing>
          <wp:inline distT="0" distB="0" distL="0" distR="0">
            <wp:extent cx="571500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3219450"/>
                    </a:xfrm>
                    <a:prstGeom prst="rect">
                      <a:avLst/>
                    </a:prstGeom>
                  </pic:spPr>
                </pic:pic>
              </a:graphicData>
            </a:graphic>
          </wp:inline>
        </w:drawing>
      </w:r>
    </w:p>
    <w:p w14:paraId="782D5A7C">
      <w:pPr>
        <w:spacing w:after="220"/>
        <w:jc w:val="center"/>
      </w:pPr>
      <w:r>
        <w:rPr>
          <w:i/>
          <w:iCs/>
          <w:color w:val="6B7280"/>
          <w:sz w:val="18"/>
          <w:szCs w:val="18"/>
        </w:rPr>
        <w:t>Figure 3. Region &amp; Payment — geographic performance, transaction mix and commercial concentration.</w:t>
      </w:r>
    </w:p>
    <w:p w14:paraId="0F3CACC0">
      <w:pPr>
        <w:spacing w:after="160" w:line="276" w:lineRule="auto"/>
      </w:pPr>
      <w:r>
        <w:rPr>
          <w:color w:val="1F2937"/>
          <w:sz w:val="21"/>
          <w:szCs w:val="21"/>
        </w:rPr>
        <w:t>Purpose: geographic and payment-channel comparison. KPI cards show net sales, orders, and average delivery for each region; a horizontal bar ranks regions by net sales; a combo chart compares order volume against average delivery days by region; a payment bar chart shows net sales by method; and a table gives orders, net sales, AOV, and average discount per payment method.</w:t>
      </w:r>
    </w:p>
    <w:p w14:paraId="61EA9EBB">
      <w:pPr>
        <w:spacing w:after="160" w:line="276" w:lineRule="auto"/>
      </w:pPr>
      <w:r>
        <w:rPr>
          <w:color w:val="1F2937"/>
          <w:sz w:val="21"/>
          <w:szCs w:val="21"/>
        </w:rPr>
        <w:t>60-second takeaway: West leads regional sales (₹1.35M) with the fastest average delivery (6.1 days), while South is both the lowest-selling region and the slowest to deliver (6.2 days) — the two metrics move together directionally, though the spread is small. Card transactions account for ₹2.37M of net sales versus ₹0.96M for Wallet, roughly 2.5× the volume.</w:t>
      </w:r>
    </w:p>
    <w:p w14:paraId="076631EE">
      <w:pPr>
        <w:pStyle w:val="3"/>
        <w:spacing w:before="300" w:after="120"/>
      </w:pPr>
      <w:r>
        <w:rPr>
          <w:b/>
          <w:bCs/>
          <w:color w:val="2563EB"/>
          <w:sz w:val="24"/>
          <w:szCs w:val="24"/>
        </w:rPr>
        <w:t>Page 4 — Operations &amp; Discount</w:t>
      </w:r>
    </w:p>
    <w:p w14:paraId="60BECF9E">
      <w:pPr>
        <w:spacing w:before="120" w:after="60"/>
        <w:jc w:val="center"/>
      </w:pPr>
      <w:r>
        <w:drawing>
          <wp:inline distT="0" distB="0" distL="0" distR="0">
            <wp:extent cx="57150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715000" cy="3219450"/>
                    </a:xfrm>
                    <a:prstGeom prst="rect">
                      <a:avLst/>
                    </a:prstGeom>
                  </pic:spPr>
                </pic:pic>
              </a:graphicData>
            </a:graphic>
          </wp:inline>
        </w:drawing>
      </w:r>
    </w:p>
    <w:p w14:paraId="7296B499">
      <w:pPr>
        <w:spacing w:after="220"/>
        <w:jc w:val="center"/>
      </w:pPr>
      <w:r>
        <w:rPr>
          <w:i/>
          <w:iCs/>
          <w:color w:val="6B7280"/>
          <w:sz w:val="18"/>
          <w:szCs w:val="18"/>
        </w:rPr>
        <w:t>Figure 4. Operations &amp; Discount — delivery performance, discount behavior and their relationship with revenue.</w:t>
      </w:r>
    </w:p>
    <w:p w14:paraId="276A5F4B">
      <w:pPr>
        <w:spacing w:after="160" w:line="276" w:lineRule="auto"/>
      </w:pPr>
      <w:r>
        <w:rPr>
          <w:color w:val="1F2937"/>
          <w:sz w:val="21"/>
          <w:szCs w:val="21"/>
        </w:rPr>
        <w:t>Purpose: operational efficiency and discount effectiveness. KPI cards show average delivery (6.1 days), fastest region (West), average discount (18.0%), and total discount given (₹1.13M). A histogram shows the distribution of delivery days (roughly uniform from 1–11); a scatter plot with trendline shows net sales against discount percentage; a regional bar chart repeats delivery performance; and a bar chart groups net sales into four discount bands.</w:t>
      </w:r>
    </w:p>
    <w:p w14:paraId="25AA8E3E">
      <w:pPr>
        <w:spacing w:after="160" w:line="276" w:lineRule="auto"/>
      </w:pPr>
      <w:r>
        <w:rPr>
          <w:color w:val="1F2937"/>
          <w:sz w:val="21"/>
          <w:szCs w:val="21"/>
        </w:rPr>
        <w:t>60-second takeaway: the discount-vs-sales trendline slopes gently downward — higher discounts are not associated with higher order values in this data. The discount-band chart makes this concrete: the 0–10% band delivers the most net sales (₹1.62M) and the 30%+ band the least (₹0.59M), even though orders are spread across all four bands. This visually confirms the negative correlation calculated in Python (−0.14).</w:t>
      </w:r>
    </w:p>
    <w:p w14:paraId="5BE7B164">
      <w:pPr>
        <w:pStyle w:val="3"/>
        <w:spacing w:before="300" w:after="120"/>
      </w:pPr>
      <w:r>
        <w:rPr>
          <w:b/>
          <w:bCs/>
          <w:color w:val="2563EB"/>
          <w:sz w:val="24"/>
          <w:szCs w:val="24"/>
        </w:rPr>
        <w:t>Page 5 — Data Quality &amp; Detail</w:t>
      </w:r>
    </w:p>
    <w:p w14:paraId="1570BA8F">
      <w:pPr>
        <w:spacing w:before="120" w:after="60"/>
        <w:jc w:val="center"/>
      </w:pPr>
      <w:r>
        <w:drawing>
          <wp:inline distT="0" distB="0" distL="0" distR="0">
            <wp:extent cx="5715000"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3219450"/>
                    </a:xfrm>
                    <a:prstGeom prst="rect">
                      <a:avLst/>
                    </a:prstGeom>
                  </pic:spPr>
                </pic:pic>
              </a:graphicData>
            </a:graphic>
          </wp:inline>
        </w:drawing>
      </w:r>
    </w:p>
    <w:p w14:paraId="34A8319E">
      <w:pPr>
        <w:spacing w:after="220"/>
        <w:jc w:val="center"/>
      </w:pPr>
      <w:r>
        <w:rPr>
          <w:i/>
          <w:iCs/>
          <w:color w:val="6B7280"/>
          <w:sz w:val="18"/>
          <w:szCs w:val="18"/>
        </w:rPr>
        <w:t>Figure 5. Data Quality &amp; Detail — analyst-ready control page for completeness, uniqueness and transaction-level review.</w:t>
      </w:r>
    </w:p>
    <w:p w14:paraId="44EE3385">
      <w:pPr>
        <w:spacing w:after="160" w:line="276" w:lineRule="auto"/>
      </w:pPr>
      <w:r>
        <w:rPr>
          <w:color w:val="1F2937"/>
          <w:sz w:val="21"/>
          <w:szCs w:val="21"/>
        </w:rPr>
        <w:t>Purpose: an analyst-facing control page rather than a business page. It confirms 5,000 rows, 10 source fields, 989 unique customers, and 0 duplicate order IDs; a completeness bar chart shows 100% for every field; a statistics table gives average/min/max for quantity, unit price, discount, and delivery days; and a transaction-detail table lists the eight most recent orders.</w:t>
      </w:r>
    </w:p>
    <w:p w14:paraId="4D04B4B7">
      <w:pPr>
        <w:spacing w:after="160" w:line="276" w:lineRule="auto"/>
      </w:pPr>
      <w:r>
        <w:rPr>
          <w:color w:val="1F2937"/>
          <w:sz w:val="21"/>
          <w:szCs w:val="21"/>
        </w:rPr>
        <w:t>60-second takeaway: this page is the dashboard’s evidence for Section 4’s data-quality conclusion — every field is 100% complete, there are no duplicate keys, and the numeric ranges (discount 0–35%, delivery 1–11 days) are the same bounds validated independently in Python.</w:t>
      </w:r>
    </w:p>
    <w:p w14:paraId="04D41906">
      <w:pPr>
        <w:pStyle w:val="2"/>
        <w:pBdr>
          <w:bottom w:val="single" w:color="2563EB" w:sz="6" w:space="4"/>
        </w:pBdr>
        <w:spacing w:before="480" w:after="200"/>
      </w:pPr>
      <w:r>
        <w:rPr>
          <w:b/>
          <w:bCs/>
          <w:color w:val="1F2937"/>
          <w:sz w:val="30"/>
          <w:szCs w:val="30"/>
        </w:rPr>
        <w:t>10. Key Data Insights</w:t>
      </w:r>
    </w:p>
    <w:p w14:paraId="1CB4D287">
      <w:pPr>
        <w:pStyle w:val="3"/>
        <w:spacing w:before="300" w:after="120"/>
      </w:pPr>
      <w:r>
        <w:rPr>
          <w:b/>
          <w:bCs/>
          <w:color w:val="2563EB"/>
          <w:sz w:val="24"/>
          <w:szCs w:val="24"/>
        </w:rPr>
        <w:t>Insight 1 — Revenue is broad-based, not concentrated in one segment</w:t>
      </w:r>
    </w:p>
    <w:p w14:paraId="2E9CC1D1">
      <w:pPr>
        <w:spacing w:before="160" w:after="40"/>
      </w:pPr>
      <w:r>
        <w:rPr>
          <w:b/>
          <w:bCs/>
          <w:color w:val="2563EB"/>
          <w:sz w:val="21"/>
          <w:szCs w:val="21"/>
        </w:rPr>
        <w:t xml:space="preserve">Finding: </w:t>
      </w:r>
      <w:r>
        <w:rPr>
          <w:sz w:val="21"/>
          <w:szCs w:val="21"/>
        </w:rPr>
        <w:t>No single category or region dominates the business.</w:t>
      </w:r>
    </w:p>
    <w:p w14:paraId="79825629">
      <w:pPr>
        <w:spacing w:after="40"/>
      </w:pPr>
      <w:r>
        <w:rPr>
          <w:b/>
          <w:bCs/>
          <w:sz w:val="21"/>
          <w:szCs w:val="21"/>
        </w:rPr>
        <w:t xml:space="preserve">Evidence: </w:t>
      </w:r>
      <w:r>
        <w:rPr>
          <w:color w:val="6B7280"/>
          <w:sz w:val="21"/>
          <w:szCs w:val="21"/>
        </w:rPr>
        <w:t>Category net sales range from ₹0.77M (Beauty) to ₹1.83M (Electronics), a 2.4× spread; regional net sales range from ₹1.24M (East) to ₹1.35M (West), only a 1.09× spread.</w:t>
      </w:r>
    </w:p>
    <w:p w14:paraId="416A784A">
      <w:pPr>
        <w:spacing w:after="40"/>
      </w:pPr>
      <w:r>
        <w:rPr>
          <w:b/>
          <w:bCs/>
          <w:sz w:val="21"/>
          <w:szCs w:val="21"/>
        </w:rPr>
        <w:t xml:space="preserve">Business meaning: </w:t>
      </w:r>
      <w:r>
        <w:rPr>
          <w:sz w:val="21"/>
          <w:szCs w:val="21"/>
        </w:rPr>
        <w:t>The business is not overexposed to a single category or geography — regional risk is especially well diversified.</w:t>
      </w:r>
    </w:p>
    <w:p w14:paraId="010375D7">
      <w:pPr>
        <w:spacing w:after="200"/>
      </w:pPr>
      <w:r>
        <w:rPr>
          <w:b/>
          <w:bCs/>
          <w:color w:val="047857"/>
          <w:sz w:val="21"/>
          <w:szCs w:val="21"/>
        </w:rPr>
        <w:t xml:space="preserve">Recommended action: </w:t>
      </w:r>
      <w:r>
        <w:rPr>
          <w:sz w:val="21"/>
          <w:szCs w:val="21"/>
        </w:rPr>
        <w:t>Prioritize category-level investment (Electronics, Clothing) over regional reallocation, since the regional gap is too small to justify major resource shifts.</w:t>
      </w:r>
    </w:p>
    <w:p w14:paraId="2534FAA1">
      <w:pPr>
        <w:pStyle w:val="3"/>
        <w:spacing w:before="300" w:after="120"/>
      </w:pPr>
      <w:r>
        <w:rPr>
          <w:b/>
          <w:bCs/>
          <w:color w:val="2563EB"/>
          <w:sz w:val="24"/>
          <w:szCs w:val="24"/>
        </w:rPr>
        <w:t>Insight 2 — Discounting shows a negative, not positive, association with sales</w:t>
      </w:r>
    </w:p>
    <w:p w14:paraId="109FAE66">
      <w:pPr>
        <w:spacing w:before="160" w:after="40"/>
      </w:pPr>
      <w:r>
        <w:rPr>
          <w:b/>
          <w:bCs/>
          <w:color w:val="2563EB"/>
          <w:sz w:val="21"/>
          <w:szCs w:val="21"/>
        </w:rPr>
        <w:t xml:space="preserve">Finding: </w:t>
      </w:r>
      <w:r>
        <w:rPr>
          <w:sz w:val="21"/>
          <w:szCs w:val="21"/>
        </w:rPr>
        <w:t>Deeper discounts do not correspond to higher net sales per order.</w:t>
      </w:r>
    </w:p>
    <w:p w14:paraId="6FC07D03">
      <w:pPr>
        <w:spacing w:after="40"/>
      </w:pPr>
      <w:r>
        <w:rPr>
          <w:b/>
          <w:bCs/>
          <w:sz w:val="21"/>
          <w:szCs w:val="21"/>
        </w:rPr>
        <w:t xml:space="preserve">Evidence: </w:t>
      </w:r>
      <w:r>
        <w:rPr>
          <w:color w:val="6B7280"/>
          <w:sz w:val="21"/>
          <w:szCs w:val="21"/>
        </w:rPr>
        <w:t>Order-level correlation between discount rate and net sales is −0.14; the 30%+ discount band produced the lowest total net sales (₹0.59M) of the four bands despite discount depth increasing.</w:t>
      </w:r>
    </w:p>
    <w:p w14:paraId="57110CD6">
      <w:pPr>
        <w:spacing w:after="40"/>
      </w:pPr>
      <w:r>
        <w:rPr>
          <w:b/>
          <w:bCs/>
          <w:sz w:val="21"/>
          <w:szCs w:val="21"/>
        </w:rPr>
        <w:t xml:space="preserve">Business meaning: </w:t>
      </w:r>
      <w:r>
        <w:rPr>
          <w:sz w:val="21"/>
          <w:szCs w:val="21"/>
        </w:rPr>
        <w:t>In this dataset, discounting is not functioning as a demand driver — it primarily reduces the revenue retained on the orders that already occur.</w:t>
      </w:r>
    </w:p>
    <w:p w14:paraId="0D7476CB">
      <w:pPr>
        <w:spacing w:after="200"/>
      </w:pPr>
      <w:r>
        <w:rPr>
          <w:b/>
          <w:bCs/>
          <w:color w:val="047857"/>
          <w:sz w:val="21"/>
          <w:szCs w:val="21"/>
        </w:rPr>
        <w:t xml:space="preserve">Recommended action: </w:t>
      </w:r>
      <w:r>
        <w:rPr>
          <w:sz w:val="21"/>
          <w:szCs w:val="21"/>
        </w:rPr>
        <w:t>Audit which orders receive discounts above 20% and test whether reducing discount depth in that range preserves order volume while improving net revenue.</w:t>
      </w:r>
    </w:p>
    <w:p w14:paraId="2A5F992D">
      <w:pPr>
        <w:pStyle w:val="3"/>
        <w:spacing w:before="300" w:after="120"/>
      </w:pPr>
      <w:r>
        <w:rPr>
          <w:b/>
          <w:bCs/>
          <w:color w:val="2563EB"/>
          <w:sz w:val="24"/>
          <w:szCs w:val="24"/>
        </w:rPr>
        <w:t>Insight 3 — No measurable growth trend across the observed period</w:t>
      </w:r>
    </w:p>
    <w:p w14:paraId="4E378DD9">
      <w:pPr>
        <w:spacing w:before="160" w:after="40"/>
      </w:pPr>
      <w:r>
        <w:rPr>
          <w:b/>
          <w:bCs/>
          <w:color w:val="2563EB"/>
          <w:sz w:val="21"/>
          <w:szCs w:val="21"/>
        </w:rPr>
        <w:t xml:space="preserve">Finding: </w:t>
      </w:r>
      <w:r>
        <w:rPr>
          <w:sz w:val="21"/>
          <w:szCs w:val="21"/>
        </w:rPr>
        <w:t>Monthly net sales show effectively zero trend over the full date range.</w:t>
      </w:r>
    </w:p>
    <w:p w14:paraId="02A9A801">
      <w:pPr>
        <w:spacing w:after="40"/>
      </w:pPr>
      <w:r>
        <w:rPr>
          <w:b/>
          <w:bCs/>
          <w:sz w:val="21"/>
          <w:szCs w:val="21"/>
        </w:rPr>
        <w:t xml:space="preserve">Evidence: </w:t>
      </w:r>
      <w:r>
        <w:rPr>
          <w:color w:val="6B7280"/>
          <w:sz w:val="21"/>
          <w:szCs w:val="21"/>
        </w:rPr>
        <w:t>Correlation between the month index (chronological order) and monthly net sales is 0.004; annual net sales fluctuate narrowly between ₹349K and ₹409K per full year with no directional pattern.</w:t>
      </w:r>
    </w:p>
    <w:p w14:paraId="6D1D3158">
      <w:pPr>
        <w:spacing w:after="40"/>
      </w:pPr>
      <w:r>
        <w:rPr>
          <w:b/>
          <w:bCs/>
          <w:sz w:val="21"/>
          <w:szCs w:val="21"/>
        </w:rPr>
        <w:t xml:space="preserve">Business meaning: </w:t>
      </w:r>
      <w:r>
        <w:rPr>
          <w:sz w:val="21"/>
          <w:szCs w:val="21"/>
        </w:rPr>
        <w:t>Nothing in the data indicates organic growth or decline is under way; period-over-period movements visible on the Power BI trend line are noise, not signal.</w:t>
      </w:r>
    </w:p>
    <w:p w14:paraId="10436432">
      <w:pPr>
        <w:spacing w:after="200"/>
      </w:pPr>
      <w:r>
        <w:rPr>
          <w:b/>
          <w:bCs/>
          <w:color w:val="047857"/>
          <w:sz w:val="21"/>
          <w:szCs w:val="21"/>
        </w:rPr>
        <w:t xml:space="preserve">Recommended action: </w:t>
      </w:r>
      <w:r>
        <w:rPr>
          <w:sz w:val="21"/>
          <w:szCs w:val="21"/>
        </w:rPr>
        <w:t>Do not use the historical trend line to project future revenue; if forecasting is required, it should rely on external/business inputs rather than extrapolating this series (see Section 18).</w:t>
      </w:r>
    </w:p>
    <w:p w14:paraId="44B4258B">
      <w:pPr>
        <w:pStyle w:val="3"/>
        <w:spacing w:before="300" w:after="120"/>
      </w:pPr>
      <w:r>
        <w:rPr>
          <w:b/>
          <w:bCs/>
          <w:color w:val="2563EB"/>
          <w:sz w:val="24"/>
          <w:szCs w:val="24"/>
        </w:rPr>
        <w:t>Insight 4 — Customer base is broad with high repeat activity but low individual concentration</w:t>
      </w:r>
    </w:p>
    <w:p w14:paraId="0E99AAE0">
      <w:pPr>
        <w:spacing w:before="160" w:after="40"/>
      </w:pPr>
      <w:r>
        <w:rPr>
          <w:b/>
          <w:bCs/>
          <w:color w:val="2563EB"/>
          <w:sz w:val="21"/>
          <w:szCs w:val="21"/>
        </w:rPr>
        <w:t xml:space="preserve">Finding: </w:t>
      </w:r>
      <w:r>
        <w:rPr>
          <w:sz w:val="21"/>
          <w:szCs w:val="21"/>
        </w:rPr>
        <w:t>96.1% of customers placed more than one order, and the single largest customer contributes a small share of total revenue.</w:t>
      </w:r>
    </w:p>
    <w:p w14:paraId="68CEC972">
      <w:pPr>
        <w:spacing w:after="40"/>
      </w:pPr>
      <w:r>
        <w:rPr>
          <w:b/>
          <w:bCs/>
          <w:sz w:val="21"/>
          <w:szCs w:val="21"/>
        </w:rPr>
        <w:t xml:space="preserve">Evidence: </w:t>
      </w:r>
      <w:r>
        <w:rPr>
          <w:color w:val="6B7280"/>
          <w:sz w:val="21"/>
          <w:szCs w:val="21"/>
        </w:rPr>
        <w:t>950 of 989 customers ordered more than once; the top customer (ID 1663) contributed ₹17,680.69 across 14 orders — about 0.35% of total net sales.</w:t>
      </w:r>
    </w:p>
    <w:p w14:paraId="508022A3">
      <w:pPr>
        <w:spacing w:after="40"/>
      </w:pPr>
      <w:r>
        <w:rPr>
          <w:b/>
          <w:bCs/>
          <w:sz w:val="21"/>
          <w:szCs w:val="21"/>
        </w:rPr>
        <w:t xml:space="preserve">Business meaning: </w:t>
      </w:r>
      <w:r>
        <w:rPr>
          <w:sz w:val="21"/>
          <w:szCs w:val="21"/>
        </w:rPr>
        <w:t>Repeat purchasing is broad-based rather than driven by a few large accounts, which is a healthier revenue-concentration profile than a business reliant on a handful of key customers.</w:t>
      </w:r>
    </w:p>
    <w:p w14:paraId="29B0249E">
      <w:pPr>
        <w:spacing w:after="200"/>
      </w:pPr>
      <w:r>
        <w:rPr>
          <w:b/>
          <w:bCs/>
          <w:color w:val="047857"/>
          <w:sz w:val="21"/>
          <w:szCs w:val="21"/>
        </w:rPr>
        <w:t xml:space="preserve">Recommended action: </w:t>
      </w:r>
      <w:r>
        <w:rPr>
          <w:sz w:val="21"/>
          <w:szCs w:val="21"/>
        </w:rPr>
        <w:t>Build loyalty/retention programs aimed at the broad repeat-customer base rather than a small VIP tier, since no single customer segment currently carries outsized revenue risk.</w:t>
      </w:r>
    </w:p>
    <w:p w14:paraId="7962F4D8">
      <w:pPr>
        <w:pStyle w:val="3"/>
        <w:spacing w:before="300" w:after="120"/>
      </w:pPr>
      <w:r>
        <w:rPr>
          <w:b/>
          <w:bCs/>
          <w:color w:val="2563EB"/>
          <w:sz w:val="24"/>
          <w:szCs w:val="24"/>
        </w:rPr>
        <w:t>Insight 5 — Delivery performance is consistent, with the South marginally slowest</w:t>
      </w:r>
    </w:p>
    <w:p w14:paraId="0F6A9859">
      <w:pPr>
        <w:spacing w:before="160" w:after="40"/>
      </w:pPr>
      <w:r>
        <w:rPr>
          <w:b/>
          <w:bCs/>
          <w:color w:val="2563EB"/>
          <w:sz w:val="21"/>
          <w:szCs w:val="21"/>
        </w:rPr>
        <w:t xml:space="preserve">Finding: </w:t>
      </w:r>
      <w:r>
        <w:rPr>
          <w:sz w:val="21"/>
          <w:szCs w:val="21"/>
        </w:rPr>
        <w:t>Regional delivery times are tightly clustered but South is consistently the slowest.</w:t>
      </w:r>
    </w:p>
    <w:p w14:paraId="401EF7FC">
      <w:pPr>
        <w:spacing w:after="40"/>
      </w:pPr>
      <w:r>
        <w:rPr>
          <w:b/>
          <w:bCs/>
          <w:sz w:val="21"/>
          <w:szCs w:val="21"/>
        </w:rPr>
        <w:t xml:space="preserve">Evidence: </w:t>
      </w:r>
      <w:r>
        <w:rPr>
          <w:color w:val="6B7280"/>
          <w:sz w:val="21"/>
          <w:szCs w:val="21"/>
        </w:rPr>
        <w:t>Average delivery days: West 6.08, East 6.10, North 6.12, South 6.17 — a spread of only 0.09 days, but South ranks last on both delivery speed and net sales.</w:t>
      </w:r>
    </w:p>
    <w:p w14:paraId="7F88CA04">
      <w:pPr>
        <w:spacing w:after="40"/>
      </w:pPr>
      <w:r>
        <w:rPr>
          <w:b/>
          <w:bCs/>
          <w:sz w:val="21"/>
          <w:szCs w:val="21"/>
        </w:rPr>
        <w:t xml:space="preserve">Business meaning: </w:t>
      </w:r>
      <w:r>
        <w:rPr>
          <w:sz w:val="21"/>
          <w:szCs w:val="21"/>
        </w:rPr>
        <w:t>The operational gap is currently too small to be a primary revenue driver, but South's dual position as slowest-delivery and lowest-sales region warrants a closer look.</w:t>
      </w:r>
    </w:p>
    <w:p w14:paraId="6AE22508">
      <w:pPr>
        <w:spacing w:after="200"/>
      </w:pPr>
      <w:r>
        <w:rPr>
          <w:b/>
          <w:bCs/>
          <w:color w:val="047857"/>
          <w:sz w:val="21"/>
          <w:szCs w:val="21"/>
        </w:rPr>
        <w:t xml:space="preserve">Recommended action: </w:t>
      </w:r>
      <w:r>
        <w:rPr>
          <w:sz w:val="21"/>
          <w:szCs w:val="21"/>
        </w:rPr>
        <w:t>Investigate South's fulfillment logistics as a secondary factor alongside demand-side analysis, rather than treating delivery speed as the leading explanation on its own.</w:t>
      </w:r>
    </w:p>
    <w:p w14:paraId="15F047DC">
      <w:pPr>
        <w:pStyle w:val="2"/>
        <w:pBdr>
          <w:bottom w:val="single" w:color="2563EB" w:sz="6" w:space="4"/>
        </w:pBdr>
        <w:spacing w:before="480" w:after="200"/>
      </w:pPr>
      <w:r>
        <w:rPr>
          <w:b/>
          <w:bCs/>
          <w:color w:val="1F2937"/>
          <w:sz w:val="30"/>
          <w:szCs w:val="30"/>
        </w:rPr>
        <w:t>11. Trend Analysis</w:t>
      </w:r>
    </w:p>
    <w:p w14:paraId="1BA0D44D">
      <w:pPr>
        <w:spacing w:after="160" w:line="276" w:lineRule="auto"/>
      </w:pPr>
      <w:r>
        <w:rPr>
          <w:color w:val="1F2937"/>
          <w:sz w:val="21"/>
          <w:szCs w:val="21"/>
        </w:rPr>
        <w:t>Time-based patterns were assessed at the monthly and yearly level using the Python-derived year/month fields.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3200"/>
        <w:gridCol w:w="2850"/>
      </w:tblGrid>
      <w:tr w14:paraId="0338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shd w:val="clear" w:color="auto" w:fill="1F2937"/>
            <w:tcMar>
              <w:top w:w="80" w:type="dxa"/>
              <w:left w:w="120" w:type="dxa"/>
              <w:bottom w:w="80" w:type="dxa"/>
              <w:right w:w="120" w:type="dxa"/>
            </w:tcMar>
            <w:vAlign w:val="center"/>
          </w:tcPr>
          <w:p w14:paraId="607C1A0B">
            <w:pPr>
              <w:jc w:val="left"/>
            </w:pPr>
            <w:r>
              <w:rPr>
                <w:b/>
                <w:bCs/>
                <w:color w:val="FFFFFF"/>
                <w:sz w:val="20"/>
                <w:szCs w:val="20"/>
              </w:rPr>
              <w:t>Period</w:t>
            </w:r>
          </w:p>
        </w:tc>
        <w:tc>
          <w:tcPr>
            <w:tcW w:w="3200" w:type="dxa"/>
            <w:shd w:val="clear" w:color="auto" w:fill="1F2937"/>
            <w:tcMar>
              <w:top w:w="80" w:type="dxa"/>
              <w:left w:w="120" w:type="dxa"/>
              <w:bottom w:w="80" w:type="dxa"/>
              <w:right w:w="120" w:type="dxa"/>
            </w:tcMar>
            <w:vAlign w:val="center"/>
          </w:tcPr>
          <w:p w14:paraId="67E64E4E">
            <w:pPr>
              <w:jc w:val="left"/>
            </w:pPr>
            <w:r>
              <w:rPr>
                <w:b/>
                <w:bCs/>
                <w:color w:val="FFFFFF"/>
                <w:sz w:val="20"/>
                <w:szCs w:val="20"/>
              </w:rPr>
              <w:t>Net Sales</w:t>
            </w:r>
          </w:p>
        </w:tc>
        <w:tc>
          <w:tcPr>
            <w:tcW w:w="2850" w:type="dxa"/>
            <w:shd w:val="clear" w:color="auto" w:fill="1F2937"/>
            <w:tcMar>
              <w:top w:w="80" w:type="dxa"/>
              <w:left w:w="120" w:type="dxa"/>
              <w:bottom w:w="80" w:type="dxa"/>
              <w:right w:w="120" w:type="dxa"/>
            </w:tcMar>
            <w:vAlign w:val="center"/>
          </w:tcPr>
          <w:p w14:paraId="64B90F4C">
            <w:pPr>
              <w:jc w:val="left"/>
            </w:pPr>
            <w:r>
              <w:rPr>
                <w:b/>
                <w:bCs/>
                <w:color w:val="FFFFFF"/>
                <w:sz w:val="20"/>
                <w:szCs w:val="20"/>
              </w:rPr>
              <w:t>Note</w:t>
            </w:r>
          </w:p>
        </w:tc>
      </w:tr>
      <w:tr w14:paraId="25FC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EFF3FB"/>
            <w:tcMar>
              <w:top w:w="80" w:type="dxa"/>
              <w:left w:w="120" w:type="dxa"/>
              <w:bottom w:w="80" w:type="dxa"/>
              <w:right w:w="120" w:type="dxa"/>
            </w:tcMar>
            <w:vAlign w:val="center"/>
          </w:tcPr>
          <w:p w14:paraId="6ED07E43">
            <w:pPr>
              <w:jc w:val="left"/>
            </w:pPr>
            <w:r>
              <w:rPr>
                <w:b w:val="0"/>
                <w:bCs w:val="0"/>
                <w:color w:val="1F2937"/>
                <w:sz w:val="20"/>
                <w:szCs w:val="20"/>
              </w:rPr>
              <w:t>Best month</w:t>
            </w:r>
          </w:p>
        </w:tc>
        <w:tc>
          <w:tcPr>
            <w:tcW w:w="3200" w:type="dxa"/>
            <w:shd w:val="clear" w:color="auto" w:fill="EFF3FB"/>
            <w:tcMar>
              <w:top w:w="80" w:type="dxa"/>
              <w:left w:w="120" w:type="dxa"/>
              <w:bottom w:w="80" w:type="dxa"/>
              <w:right w:w="120" w:type="dxa"/>
            </w:tcMar>
            <w:vAlign w:val="center"/>
          </w:tcPr>
          <w:p w14:paraId="14540D4F">
            <w:pPr>
              <w:jc w:val="left"/>
            </w:pPr>
            <w:r>
              <w:rPr>
                <w:b w:val="0"/>
                <w:bCs w:val="0"/>
                <w:color w:val="1F2937"/>
                <w:sz w:val="20"/>
                <w:szCs w:val="20"/>
              </w:rPr>
              <w:t>August 2026 — ₹44,728.82</w:t>
            </w:r>
          </w:p>
        </w:tc>
        <w:tc>
          <w:tcPr>
            <w:tcW w:w="2850" w:type="dxa"/>
            <w:shd w:val="clear" w:color="auto" w:fill="EFF3FB"/>
            <w:tcMar>
              <w:top w:w="80" w:type="dxa"/>
              <w:left w:w="120" w:type="dxa"/>
              <w:bottom w:w="80" w:type="dxa"/>
              <w:right w:w="120" w:type="dxa"/>
            </w:tcMar>
            <w:vAlign w:val="center"/>
          </w:tcPr>
          <w:p w14:paraId="58BA97AE">
            <w:pPr>
              <w:jc w:val="left"/>
            </w:pPr>
            <w:r>
              <w:rPr>
                <w:b w:val="0"/>
                <w:bCs w:val="0"/>
                <w:color w:val="1F2937"/>
                <w:sz w:val="20"/>
                <w:szCs w:val="20"/>
              </w:rPr>
              <w:t>Highest single-month total in the series</w:t>
            </w:r>
          </w:p>
        </w:tc>
      </w:tr>
      <w:tr w14:paraId="1269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FFFFFF"/>
            <w:tcMar>
              <w:top w:w="80" w:type="dxa"/>
              <w:left w:w="120" w:type="dxa"/>
              <w:bottom w:w="80" w:type="dxa"/>
              <w:right w:w="120" w:type="dxa"/>
            </w:tcMar>
            <w:vAlign w:val="center"/>
          </w:tcPr>
          <w:p w14:paraId="6859B38B">
            <w:pPr>
              <w:jc w:val="left"/>
            </w:pPr>
            <w:r>
              <w:rPr>
                <w:b w:val="0"/>
                <w:bCs w:val="0"/>
                <w:color w:val="1F2937"/>
                <w:sz w:val="20"/>
                <w:szCs w:val="20"/>
              </w:rPr>
              <w:t>Weakest month</w:t>
            </w:r>
          </w:p>
        </w:tc>
        <w:tc>
          <w:tcPr>
            <w:tcW w:w="3200" w:type="dxa"/>
            <w:shd w:val="clear" w:color="auto" w:fill="FFFFFF"/>
            <w:tcMar>
              <w:top w:w="80" w:type="dxa"/>
              <w:left w:w="120" w:type="dxa"/>
              <w:bottom w:w="80" w:type="dxa"/>
              <w:right w:w="120" w:type="dxa"/>
            </w:tcMar>
            <w:vAlign w:val="center"/>
          </w:tcPr>
          <w:p w14:paraId="6BBF9E8E">
            <w:pPr>
              <w:jc w:val="left"/>
            </w:pPr>
            <w:r>
              <w:rPr>
                <w:b w:val="0"/>
                <w:bCs w:val="0"/>
                <w:color w:val="1F2937"/>
                <w:sz w:val="20"/>
                <w:szCs w:val="20"/>
              </w:rPr>
              <w:t>September 2035 — ₹4,952.23</w:t>
            </w:r>
          </w:p>
        </w:tc>
        <w:tc>
          <w:tcPr>
            <w:tcW w:w="2850" w:type="dxa"/>
            <w:shd w:val="clear" w:color="auto" w:fill="FFFFFF"/>
            <w:tcMar>
              <w:top w:w="80" w:type="dxa"/>
              <w:left w:w="120" w:type="dxa"/>
              <w:bottom w:w="80" w:type="dxa"/>
              <w:right w:w="120" w:type="dxa"/>
            </w:tcMar>
            <w:vAlign w:val="center"/>
          </w:tcPr>
          <w:p w14:paraId="4A5C8FF2">
            <w:pPr>
              <w:jc w:val="left"/>
            </w:pPr>
            <w:r>
              <w:rPr>
                <w:b w:val="0"/>
                <w:bCs w:val="0"/>
                <w:color w:val="1F2937"/>
                <w:sz w:val="20"/>
                <w:szCs w:val="20"/>
              </w:rPr>
              <w:t>Partial month; data ends 09 Sep 2035</w:t>
            </w:r>
          </w:p>
        </w:tc>
      </w:tr>
      <w:tr w14:paraId="7765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EFF3FB"/>
            <w:tcMar>
              <w:top w:w="80" w:type="dxa"/>
              <w:left w:w="120" w:type="dxa"/>
              <w:bottom w:w="80" w:type="dxa"/>
              <w:right w:w="120" w:type="dxa"/>
            </w:tcMar>
            <w:vAlign w:val="center"/>
          </w:tcPr>
          <w:p w14:paraId="3F653CBB">
            <w:pPr>
              <w:jc w:val="left"/>
            </w:pPr>
            <w:r>
              <w:rPr>
                <w:b w:val="0"/>
                <w:bCs w:val="0"/>
                <w:color w:val="1F2937"/>
                <w:sz w:val="20"/>
                <w:szCs w:val="20"/>
              </w:rPr>
              <w:t>Full-year range (2022–2034)</w:t>
            </w:r>
          </w:p>
        </w:tc>
        <w:tc>
          <w:tcPr>
            <w:tcW w:w="3200" w:type="dxa"/>
            <w:shd w:val="clear" w:color="auto" w:fill="EFF3FB"/>
            <w:tcMar>
              <w:top w:w="80" w:type="dxa"/>
              <w:left w:w="120" w:type="dxa"/>
              <w:bottom w:w="80" w:type="dxa"/>
              <w:right w:w="120" w:type="dxa"/>
            </w:tcMar>
            <w:vAlign w:val="center"/>
          </w:tcPr>
          <w:p w14:paraId="0B75DC0A">
            <w:pPr>
              <w:jc w:val="left"/>
            </w:pPr>
            <w:r>
              <w:rPr>
                <w:b w:val="0"/>
                <w:bCs w:val="0"/>
                <w:color w:val="1F2937"/>
                <w:sz w:val="20"/>
                <w:szCs w:val="20"/>
              </w:rPr>
              <w:t>₹349,802 – ₹408,726 per year</w:t>
            </w:r>
          </w:p>
        </w:tc>
        <w:tc>
          <w:tcPr>
            <w:tcW w:w="2850" w:type="dxa"/>
            <w:shd w:val="clear" w:color="auto" w:fill="EFF3FB"/>
            <w:tcMar>
              <w:top w:w="80" w:type="dxa"/>
              <w:left w:w="120" w:type="dxa"/>
              <w:bottom w:w="80" w:type="dxa"/>
              <w:right w:w="120" w:type="dxa"/>
            </w:tcMar>
            <w:vAlign w:val="center"/>
          </w:tcPr>
          <w:p w14:paraId="6F4C35DD">
            <w:pPr>
              <w:jc w:val="left"/>
            </w:pPr>
            <w:r>
              <w:rPr>
                <w:b w:val="0"/>
                <w:bCs w:val="0"/>
                <w:color w:val="1F2937"/>
                <w:sz w:val="20"/>
                <w:szCs w:val="20"/>
              </w:rPr>
              <w:t>No consistent upward or downward direction</w:t>
            </w:r>
          </w:p>
        </w:tc>
      </w:tr>
      <w:tr w14:paraId="789E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FFFFFF"/>
            <w:tcMar>
              <w:top w:w="80" w:type="dxa"/>
              <w:left w:w="120" w:type="dxa"/>
              <w:bottom w:w="80" w:type="dxa"/>
              <w:right w:w="120" w:type="dxa"/>
            </w:tcMar>
            <w:vAlign w:val="center"/>
          </w:tcPr>
          <w:p w14:paraId="7916E8A9">
            <w:pPr>
              <w:jc w:val="left"/>
            </w:pPr>
            <w:r>
              <w:rPr>
                <w:b w:val="0"/>
                <w:bCs w:val="0"/>
                <w:color w:val="1F2937"/>
                <w:sz w:val="20"/>
                <w:szCs w:val="20"/>
              </w:rPr>
              <w:t>Trend correlation (time vs. monthly sales)</w:t>
            </w:r>
          </w:p>
        </w:tc>
        <w:tc>
          <w:tcPr>
            <w:tcW w:w="3200" w:type="dxa"/>
            <w:shd w:val="clear" w:color="auto" w:fill="FFFFFF"/>
            <w:tcMar>
              <w:top w:w="80" w:type="dxa"/>
              <w:left w:w="120" w:type="dxa"/>
              <w:bottom w:w="80" w:type="dxa"/>
              <w:right w:w="120" w:type="dxa"/>
            </w:tcMar>
            <w:vAlign w:val="center"/>
          </w:tcPr>
          <w:p w14:paraId="37B39351">
            <w:pPr>
              <w:jc w:val="left"/>
            </w:pPr>
            <w:r>
              <w:rPr>
                <w:b w:val="0"/>
                <w:bCs w:val="0"/>
                <w:color w:val="1F2937"/>
                <w:sz w:val="20"/>
                <w:szCs w:val="20"/>
              </w:rPr>
              <w:t>0.004</w:t>
            </w:r>
          </w:p>
        </w:tc>
        <w:tc>
          <w:tcPr>
            <w:tcW w:w="2850" w:type="dxa"/>
            <w:shd w:val="clear" w:color="auto" w:fill="FFFFFF"/>
            <w:tcMar>
              <w:top w:w="80" w:type="dxa"/>
              <w:left w:w="120" w:type="dxa"/>
              <w:bottom w:w="80" w:type="dxa"/>
              <w:right w:w="120" w:type="dxa"/>
            </w:tcMar>
            <w:vAlign w:val="center"/>
          </w:tcPr>
          <w:p w14:paraId="5C04A50F">
            <w:pPr>
              <w:jc w:val="left"/>
            </w:pPr>
            <w:r>
              <w:rPr>
                <w:b w:val="0"/>
                <w:bCs w:val="0"/>
                <w:color w:val="1F2937"/>
                <w:sz w:val="20"/>
                <w:szCs w:val="20"/>
              </w:rPr>
              <w:t>Effectively no linear trend across 165 months</w:t>
            </w:r>
          </w:p>
        </w:tc>
      </w:tr>
      <w:tr w14:paraId="64DF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shd w:val="clear" w:color="auto" w:fill="EFF3FB"/>
            <w:tcMar>
              <w:top w:w="80" w:type="dxa"/>
              <w:left w:w="120" w:type="dxa"/>
              <w:bottom w:w="80" w:type="dxa"/>
              <w:right w:w="120" w:type="dxa"/>
            </w:tcMar>
            <w:vAlign w:val="center"/>
          </w:tcPr>
          <w:p w14:paraId="07787943">
            <w:pPr>
              <w:jc w:val="left"/>
            </w:pPr>
            <w:r>
              <w:rPr>
                <w:b w:val="0"/>
                <w:bCs w:val="0"/>
                <w:color w:val="1F2937"/>
                <w:sz w:val="20"/>
                <w:szCs w:val="20"/>
              </w:rPr>
              <w:t>Monthly volatility (coefficient of variation)</w:t>
            </w:r>
          </w:p>
        </w:tc>
        <w:tc>
          <w:tcPr>
            <w:tcW w:w="3200" w:type="dxa"/>
            <w:shd w:val="clear" w:color="auto" w:fill="EFF3FB"/>
            <w:tcMar>
              <w:top w:w="80" w:type="dxa"/>
              <w:left w:w="120" w:type="dxa"/>
              <w:bottom w:w="80" w:type="dxa"/>
              <w:right w:w="120" w:type="dxa"/>
            </w:tcMar>
            <w:vAlign w:val="center"/>
          </w:tcPr>
          <w:p w14:paraId="6B9C1CDB">
            <w:pPr>
              <w:jc w:val="left"/>
            </w:pPr>
            <w:r>
              <w:rPr>
                <w:b w:val="0"/>
                <w:bCs w:val="0"/>
                <w:color w:val="1F2937"/>
                <w:sz w:val="20"/>
                <w:szCs w:val="20"/>
              </w:rPr>
              <w:t>17.6%</w:t>
            </w:r>
          </w:p>
        </w:tc>
        <w:tc>
          <w:tcPr>
            <w:tcW w:w="2850" w:type="dxa"/>
            <w:shd w:val="clear" w:color="auto" w:fill="EFF3FB"/>
            <w:tcMar>
              <w:top w:w="80" w:type="dxa"/>
              <w:left w:w="120" w:type="dxa"/>
              <w:bottom w:w="80" w:type="dxa"/>
              <w:right w:w="120" w:type="dxa"/>
            </w:tcMar>
            <w:vAlign w:val="center"/>
          </w:tcPr>
          <w:p w14:paraId="791BC4C0">
            <w:pPr>
              <w:jc w:val="left"/>
            </w:pPr>
            <w:r>
              <w:rPr>
                <w:b w:val="0"/>
                <w:bCs w:val="0"/>
                <w:color w:val="1F2937"/>
                <w:sz w:val="20"/>
                <w:szCs w:val="20"/>
              </w:rPr>
              <w:t>Moderate month-to-month noise, consistent with random daily order volume rather than seasonality</w:t>
            </w:r>
          </w:p>
        </w:tc>
      </w:tr>
    </w:tbl>
    <w:p w14:paraId="74D51B4C">
      <w:pPr>
        <w:spacing w:after="160" w:line="276" w:lineRule="auto"/>
      </w:pPr>
      <w:r>
        <w:rPr>
          <w:color w:val="1F2937"/>
          <w:sz w:val="21"/>
          <w:szCs w:val="21"/>
        </w:rPr>
        <w:t>Analytical finding: the monthly line chart on the Executive Overview dashboard visually appears to fluctuate, but the near-zero correlation confirms this is statistical noise rather than a genuine seasonal or growth pattern. No recurring monthly or quarterly peak (e.g., a consistent holiday-season spike) is present in the data — August 2026 is a one-off high month, not part of a repeating pattern, since no other August shows a comparable spike.</w:t>
      </w:r>
    </w:p>
    <w:p w14:paraId="782C31D7">
      <w:pPr>
        <w:spacing w:after="160" w:line="276" w:lineRule="auto"/>
      </w:pPr>
      <w:r>
        <w:rPr>
          <w:color w:val="1F2937"/>
          <w:sz w:val="21"/>
          <w:szCs w:val="21"/>
        </w:rPr>
        <w:t>Business interpretation: because orders occur at almost exactly one per calendar day for nearly 14.7 years, this series behaves like a random walk around a stable mean rather than a real sales calendar. Any month-over-month growth percentage calculated from this data (as the SQL LAG() query does) will be statistically meaningless for forecasting purposes, even though the calculation itself is correct.</w:t>
      </w:r>
    </w:p>
    <w:p w14:paraId="44E6AE03">
      <w:pPr>
        <w:pStyle w:val="2"/>
        <w:pBdr>
          <w:bottom w:val="single" w:color="2563EB" w:sz="6" w:space="4"/>
        </w:pBdr>
        <w:spacing w:before="480" w:after="200"/>
      </w:pPr>
      <w:r>
        <w:rPr>
          <w:b/>
          <w:bCs/>
          <w:color w:val="1F2937"/>
          <w:sz w:val="30"/>
          <w:szCs w:val="30"/>
        </w:rPr>
        <w:t>12. Regional Analysis</w:t>
      </w: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700"/>
        <w:gridCol w:w="1650"/>
        <w:gridCol w:w="1650"/>
        <w:gridCol w:w="1650"/>
        <w:gridCol w:w="1400"/>
      </w:tblGrid>
      <w:tr w14:paraId="10C3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1F2937"/>
            <w:tcMar>
              <w:top w:w="80" w:type="dxa"/>
              <w:left w:w="120" w:type="dxa"/>
              <w:bottom w:w="80" w:type="dxa"/>
              <w:right w:w="120" w:type="dxa"/>
            </w:tcMar>
            <w:vAlign w:val="center"/>
          </w:tcPr>
          <w:p w14:paraId="03A5213A">
            <w:pPr>
              <w:jc w:val="left"/>
            </w:pPr>
            <w:r>
              <w:rPr>
                <w:b/>
                <w:bCs/>
                <w:color w:val="FFFFFF"/>
                <w:sz w:val="20"/>
                <w:szCs w:val="20"/>
              </w:rPr>
              <w:t>Region</w:t>
            </w:r>
          </w:p>
        </w:tc>
        <w:tc>
          <w:tcPr>
            <w:tcW w:w="1700" w:type="dxa"/>
            <w:shd w:val="clear" w:color="auto" w:fill="1F2937"/>
            <w:tcMar>
              <w:top w:w="80" w:type="dxa"/>
              <w:left w:w="120" w:type="dxa"/>
              <w:bottom w:w="80" w:type="dxa"/>
              <w:right w:w="120" w:type="dxa"/>
            </w:tcMar>
            <w:vAlign w:val="center"/>
          </w:tcPr>
          <w:p w14:paraId="4D1F851E">
            <w:pPr>
              <w:jc w:val="left"/>
            </w:pPr>
            <w:r>
              <w:rPr>
                <w:b/>
                <w:bCs/>
                <w:color w:val="FFFFFF"/>
                <w:sz w:val="20"/>
                <w:szCs w:val="20"/>
              </w:rPr>
              <w:t>Net Sales</w:t>
            </w:r>
          </w:p>
        </w:tc>
        <w:tc>
          <w:tcPr>
            <w:tcW w:w="1650" w:type="dxa"/>
            <w:shd w:val="clear" w:color="auto" w:fill="1F2937"/>
            <w:tcMar>
              <w:top w:w="80" w:type="dxa"/>
              <w:left w:w="120" w:type="dxa"/>
              <w:bottom w:w="80" w:type="dxa"/>
              <w:right w:w="120" w:type="dxa"/>
            </w:tcMar>
            <w:vAlign w:val="center"/>
          </w:tcPr>
          <w:p w14:paraId="6DFCE581">
            <w:pPr>
              <w:jc w:val="left"/>
            </w:pPr>
            <w:r>
              <w:rPr>
                <w:b/>
                <w:bCs/>
                <w:color w:val="FFFFFF"/>
                <w:sz w:val="20"/>
                <w:szCs w:val="20"/>
              </w:rPr>
              <w:t>% of Total</w:t>
            </w:r>
          </w:p>
        </w:tc>
        <w:tc>
          <w:tcPr>
            <w:tcW w:w="1650" w:type="dxa"/>
            <w:shd w:val="clear" w:color="auto" w:fill="1F2937"/>
            <w:tcMar>
              <w:top w:w="80" w:type="dxa"/>
              <w:left w:w="120" w:type="dxa"/>
              <w:bottom w:w="80" w:type="dxa"/>
              <w:right w:w="120" w:type="dxa"/>
            </w:tcMar>
            <w:vAlign w:val="center"/>
          </w:tcPr>
          <w:p w14:paraId="765CE408">
            <w:pPr>
              <w:jc w:val="left"/>
            </w:pPr>
            <w:r>
              <w:rPr>
                <w:b/>
                <w:bCs/>
                <w:color w:val="FFFFFF"/>
                <w:sz w:val="20"/>
                <w:szCs w:val="20"/>
              </w:rPr>
              <w:t>Orders</w:t>
            </w:r>
          </w:p>
        </w:tc>
        <w:tc>
          <w:tcPr>
            <w:tcW w:w="1650" w:type="dxa"/>
            <w:shd w:val="clear" w:color="auto" w:fill="1F2937"/>
            <w:tcMar>
              <w:top w:w="80" w:type="dxa"/>
              <w:left w:w="120" w:type="dxa"/>
              <w:bottom w:w="80" w:type="dxa"/>
              <w:right w:w="120" w:type="dxa"/>
            </w:tcMar>
            <w:vAlign w:val="center"/>
          </w:tcPr>
          <w:p w14:paraId="72215A93">
            <w:pPr>
              <w:jc w:val="left"/>
            </w:pPr>
            <w:r>
              <w:rPr>
                <w:b/>
                <w:bCs/>
                <w:color w:val="FFFFFF"/>
                <w:sz w:val="20"/>
                <w:szCs w:val="20"/>
              </w:rPr>
              <w:t>Units</w:t>
            </w:r>
          </w:p>
        </w:tc>
        <w:tc>
          <w:tcPr>
            <w:tcW w:w="1400" w:type="dxa"/>
            <w:shd w:val="clear" w:color="auto" w:fill="1F2937"/>
            <w:tcMar>
              <w:top w:w="80" w:type="dxa"/>
              <w:left w:w="120" w:type="dxa"/>
              <w:bottom w:w="80" w:type="dxa"/>
              <w:right w:w="120" w:type="dxa"/>
            </w:tcMar>
            <w:vAlign w:val="center"/>
          </w:tcPr>
          <w:p w14:paraId="035644FA">
            <w:pPr>
              <w:jc w:val="left"/>
            </w:pPr>
            <w:r>
              <w:rPr>
                <w:b/>
                <w:bCs/>
                <w:color w:val="FFFFFF"/>
                <w:sz w:val="20"/>
                <w:szCs w:val="20"/>
              </w:rPr>
              <w:t>Avg Delivery</w:t>
            </w:r>
          </w:p>
        </w:tc>
      </w:tr>
      <w:tr w14:paraId="11A3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EFF3FB"/>
            <w:tcMar>
              <w:top w:w="80" w:type="dxa"/>
              <w:left w:w="120" w:type="dxa"/>
              <w:bottom w:w="80" w:type="dxa"/>
              <w:right w:w="120" w:type="dxa"/>
            </w:tcMar>
            <w:vAlign w:val="center"/>
          </w:tcPr>
          <w:p w14:paraId="3DEA7489">
            <w:pPr>
              <w:jc w:val="left"/>
            </w:pPr>
            <w:r>
              <w:rPr>
                <w:b w:val="0"/>
                <w:bCs w:val="0"/>
                <w:color w:val="1F2937"/>
                <w:sz w:val="20"/>
                <w:szCs w:val="20"/>
              </w:rPr>
              <w:t>West</w:t>
            </w:r>
          </w:p>
        </w:tc>
        <w:tc>
          <w:tcPr>
            <w:tcW w:w="1700" w:type="dxa"/>
            <w:shd w:val="clear" w:color="auto" w:fill="EFF3FB"/>
            <w:tcMar>
              <w:top w:w="80" w:type="dxa"/>
              <w:left w:w="120" w:type="dxa"/>
              <w:bottom w:w="80" w:type="dxa"/>
              <w:right w:w="120" w:type="dxa"/>
            </w:tcMar>
            <w:vAlign w:val="center"/>
          </w:tcPr>
          <w:p w14:paraId="5BCC8333">
            <w:pPr>
              <w:jc w:val="left"/>
            </w:pPr>
            <w:r>
              <w:rPr>
                <w:b w:val="0"/>
                <w:bCs w:val="0"/>
                <w:color w:val="1F2937"/>
                <w:sz w:val="20"/>
                <w:szCs w:val="20"/>
              </w:rPr>
              <w:t>₹1.35M</w:t>
            </w:r>
          </w:p>
        </w:tc>
        <w:tc>
          <w:tcPr>
            <w:tcW w:w="1650" w:type="dxa"/>
            <w:shd w:val="clear" w:color="auto" w:fill="EFF3FB"/>
            <w:tcMar>
              <w:top w:w="80" w:type="dxa"/>
              <w:left w:w="120" w:type="dxa"/>
              <w:bottom w:w="80" w:type="dxa"/>
              <w:right w:w="120" w:type="dxa"/>
            </w:tcMar>
            <w:vAlign w:val="center"/>
          </w:tcPr>
          <w:p w14:paraId="4F0CABC8">
            <w:pPr>
              <w:jc w:val="left"/>
            </w:pPr>
            <w:r>
              <w:rPr>
                <w:b w:val="0"/>
                <w:bCs w:val="0"/>
                <w:color w:val="1F2937"/>
                <w:sz w:val="20"/>
                <w:szCs w:val="20"/>
              </w:rPr>
              <w:t>26.3%</w:t>
            </w:r>
          </w:p>
        </w:tc>
        <w:tc>
          <w:tcPr>
            <w:tcW w:w="1650" w:type="dxa"/>
            <w:shd w:val="clear" w:color="auto" w:fill="EFF3FB"/>
            <w:tcMar>
              <w:top w:w="80" w:type="dxa"/>
              <w:left w:w="120" w:type="dxa"/>
              <w:bottom w:w="80" w:type="dxa"/>
              <w:right w:w="120" w:type="dxa"/>
            </w:tcMar>
            <w:vAlign w:val="center"/>
          </w:tcPr>
          <w:p w14:paraId="4390144A">
            <w:pPr>
              <w:jc w:val="left"/>
            </w:pPr>
            <w:r>
              <w:rPr>
                <w:b w:val="0"/>
                <w:bCs w:val="0"/>
                <w:color w:val="1F2937"/>
                <w:sz w:val="20"/>
                <w:szCs w:val="20"/>
              </w:rPr>
              <w:t>1,289</w:t>
            </w:r>
          </w:p>
        </w:tc>
        <w:tc>
          <w:tcPr>
            <w:tcW w:w="1650" w:type="dxa"/>
            <w:shd w:val="clear" w:color="auto" w:fill="EFF3FB"/>
            <w:tcMar>
              <w:top w:w="80" w:type="dxa"/>
              <w:left w:w="120" w:type="dxa"/>
              <w:bottom w:w="80" w:type="dxa"/>
              <w:right w:w="120" w:type="dxa"/>
            </w:tcMar>
            <w:vAlign w:val="center"/>
          </w:tcPr>
          <w:p w14:paraId="26CDE24D">
            <w:pPr>
              <w:jc w:val="left"/>
            </w:pPr>
            <w:r>
              <w:rPr>
                <w:b w:val="0"/>
                <w:bCs w:val="0"/>
                <w:color w:val="1F2937"/>
                <w:sz w:val="20"/>
                <w:szCs w:val="20"/>
              </w:rPr>
              <w:t>5,260</w:t>
            </w:r>
          </w:p>
        </w:tc>
        <w:tc>
          <w:tcPr>
            <w:tcW w:w="1400" w:type="dxa"/>
            <w:shd w:val="clear" w:color="auto" w:fill="EFF3FB"/>
            <w:tcMar>
              <w:top w:w="80" w:type="dxa"/>
              <w:left w:w="120" w:type="dxa"/>
              <w:bottom w:w="80" w:type="dxa"/>
              <w:right w:w="120" w:type="dxa"/>
            </w:tcMar>
            <w:vAlign w:val="center"/>
          </w:tcPr>
          <w:p w14:paraId="08D2FC2D">
            <w:pPr>
              <w:jc w:val="left"/>
            </w:pPr>
            <w:r>
              <w:rPr>
                <w:b w:val="0"/>
                <w:bCs w:val="0"/>
                <w:color w:val="1F2937"/>
                <w:sz w:val="20"/>
                <w:szCs w:val="20"/>
              </w:rPr>
              <w:t>6.08 days</w:t>
            </w:r>
          </w:p>
        </w:tc>
      </w:tr>
      <w:tr w14:paraId="4136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80" w:type="dxa"/>
              <w:left w:w="120" w:type="dxa"/>
              <w:bottom w:w="80" w:type="dxa"/>
              <w:right w:w="120" w:type="dxa"/>
            </w:tcMar>
            <w:vAlign w:val="center"/>
          </w:tcPr>
          <w:p w14:paraId="4DE133E1">
            <w:pPr>
              <w:jc w:val="left"/>
            </w:pPr>
            <w:r>
              <w:rPr>
                <w:b w:val="0"/>
                <w:bCs w:val="0"/>
                <w:color w:val="1F2937"/>
                <w:sz w:val="20"/>
                <w:szCs w:val="20"/>
              </w:rPr>
              <w:t>North</w:t>
            </w:r>
          </w:p>
        </w:tc>
        <w:tc>
          <w:tcPr>
            <w:tcW w:w="1700" w:type="dxa"/>
            <w:shd w:val="clear" w:color="auto" w:fill="FFFFFF"/>
            <w:tcMar>
              <w:top w:w="80" w:type="dxa"/>
              <w:left w:w="120" w:type="dxa"/>
              <w:bottom w:w="80" w:type="dxa"/>
              <w:right w:w="120" w:type="dxa"/>
            </w:tcMar>
            <w:vAlign w:val="center"/>
          </w:tcPr>
          <w:p w14:paraId="4F533D37">
            <w:pPr>
              <w:jc w:val="left"/>
            </w:pPr>
            <w:r>
              <w:rPr>
                <w:b w:val="0"/>
                <w:bCs w:val="0"/>
                <w:color w:val="1F2937"/>
                <w:sz w:val="20"/>
                <w:szCs w:val="20"/>
              </w:rPr>
              <w:t>₹1.28M</w:t>
            </w:r>
          </w:p>
        </w:tc>
        <w:tc>
          <w:tcPr>
            <w:tcW w:w="1650" w:type="dxa"/>
            <w:shd w:val="clear" w:color="auto" w:fill="FFFFFF"/>
            <w:tcMar>
              <w:top w:w="80" w:type="dxa"/>
              <w:left w:w="120" w:type="dxa"/>
              <w:bottom w:w="80" w:type="dxa"/>
              <w:right w:w="120" w:type="dxa"/>
            </w:tcMar>
            <w:vAlign w:val="center"/>
          </w:tcPr>
          <w:p w14:paraId="448D4BF1">
            <w:pPr>
              <w:jc w:val="left"/>
            </w:pPr>
            <w:r>
              <w:rPr>
                <w:b w:val="0"/>
                <w:bCs w:val="0"/>
                <w:color w:val="1F2937"/>
                <w:sz w:val="20"/>
                <w:szCs w:val="20"/>
              </w:rPr>
              <w:t>25.1%</w:t>
            </w:r>
          </w:p>
        </w:tc>
        <w:tc>
          <w:tcPr>
            <w:tcW w:w="1650" w:type="dxa"/>
            <w:shd w:val="clear" w:color="auto" w:fill="FFFFFF"/>
            <w:tcMar>
              <w:top w:w="80" w:type="dxa"/>
              <w:left w:w="120" w:type="dxa"/>
              <w:bottom w:w="80" w:type="dxa"/>
              <w:right w:w="120" w:type="dxa"/>
            </w:tcMar>
            <w:vAlign w:val="center"/>
          </w:tcPr>
          <w:p w14:paraId="339D0B20">
            <w:pPr>
              <w:jc w:val="left"/>
            </w:pPr>
            <w:r>
              <w:rPr>
                <w:b w:val="0"/>
                <w:bCs w:val="0"/>
                <w:color w:val="1F2937"/>
                <w:sz w:val="20"/>
                <w:szCs w:val="20"/>
              </w:rPr>
              <w:t>1,276</w:t>
            </w:r>
          </w:p>
        </w:tc>
        <w:tc>
          <w:tcPr>
            <w:tcW w:w="1650" w:type="dxa"/>
            <w:shd w:val="clear" w:color="auto" w:fill="FFFFFF"/>
            <w:tcMar>
              <w:top w:w="80" w:type="dxa"/>
              <w:left w:w="120" w:type="dxa"/>
              <w:bottom w:w="80" w:type="dxa"/>
              <w:right w:w="120" w:type="dxa"/>
            </w:tcMar>
            <w:vAlign w:val="center"/>
          </w:tcPr>
          <w:p w14:paraId="363874A8">
            <w:pPr>
              <w:jc w:val="left"/>
            </w:pPr>
            <w:r>
              <w:rPr>
                <w:b w:val="0"/>
                <w:bCs w:val="0"/>
                <w:color w:val="1F2937"/>
                <w:sz w:val="20"/>
                <w:szCs w:val="20"/>
              </w:rPr>
              <w:t>5,164</w:t>
            </w:r>
          </w:p>
        </w:tc>
        <w:tc>
          <w:tcPr>
            <w:tcW w:w="1400" w:type="dxa"/>
            <w:shd w:val="clear" w:color="auto" w:fill="FFFFFF"/>
            <w:tcMar>
              <w:top w:w="80" w:type="dxa"/>
              <w:left w:w="120" w:type="dxa"/>
              <w:bottom w:w="80" w:type="dxa"/>
              <w:right w:w="120" w:type="dxa"/>
            </w:tcMar>
            <w:vAlign w:val="center"/>
          </w:tcPr>
          <w:p w14:paraId="4643D4D6">
            <w:pPr>
              <w:jc w:val="left"/>
            </w:pPr>
            <w:r>
              <w:rPr>
                <w:b w:val="0"/>
                <w:bCs w:val="0"/>
                <w:color w:val="1F2937"/>
                <w:sz w:val="20"/>
                <w:szCs w:val="20"/>
              </w:rPr>
              <w:t>6.12 days</w:t>
            </w:r>
          </w:p>
        </w:tc>
      </w:tr>
      <w:tr w14:paraId="16B83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EFF3FB"/>
            <w:tcMar>
              <w:top w:w="80" w:type="dxa"/>
              <w:left w:w="120" w:type="dxa"/>
              <w:bottom w:w="80" w:type="dxa"/>
              <w:right w:w="120" w:type="dxa"/>
            </w:tcMar>
            <w:vAlign w:val="center"/>
          </w:tcPr>
          <w:p w14:paraId="59B3F099">
            <w:pPr>
              <w:jc w:val="left"/>
            </w:pPr>
            <w:r>
              <w:rPr>
                <w:b w:val="0"/>
                <w:bCs w:val="0"/>
                <w:color w:val="1F2937"/>
                <w:sz w:val="20"/>
                <w:szCs w:val="20"/>
              </w:rPr>
              <w:t>South</w:t>
            </w:r>
          </w:p>
        </w:tc>
        <w:tc>
          <w:tcPr>
            <w:tcW w:w="1700" w:type="dxa"/>
            <w:shd w:val="clear" w:color="auto" w:fill="EFF3FB"/>
            <w:tcMar>
              <w:top w:w="80" w:type="dxa"/>
              <w:left w:w="120" w:type="dxa"/>
              <w:bottom w:w="80" w:type="dxa"/>
              <w:right w:w="120" w:type="dxa"/>
            </w:tcMar>
            <w:vAlign w:val="center"/>
          </w:tcPr>
          <w:p w14:paraId="4D61F43C">
            <w:pPr>
              <w:jc w:val="left"/>
            </w:pPr>
            <w:r>
              <w:rPr>
                <w:b w:val="0"/>
                <w:bCs w:val="0"/>
                <w:color w:val="1F2937"/>
                <w:sz w:val="20"/>
                <w:szCs w:val="20"/>
              </w:rPr>
              <w:t>₹1.25M</w:t>
            </w:r>
          </w:p>
        </w:tc>
        <w:tc>
          <w:tcPr>
            <w:tcW w:w="1650" w:type="dxa"/>
            <w:shd w:val="clear" w:color="auto" w:fill="EFF3FB"/>
            <w:tcMar>
              <w:top w:w="80" w:type="dxa"/>
              <w:left w:w="120" w:type="dxa"/>
              <w:bottom w:w="80" w:type="dxa"/>
              <w:right w:w="120" w:type="dxa"/>
            </w:tcMar>
            <w:vAlign w:val="center"/>
          </w:tcPr>
          <w:p w14:paraId="6794D493">
            <w:pPr>
              <w:jc w:val="left"/>
            </w:pPr>
            <w:r>
              <w:rPr>
                <w:b w:val="0"/>
                <w:bCs w:val="0"/>
                <w:color w:val="1F2937"/>
                <w:sz w:val="20"/>
                <w:szCs w:val="20"/>
              </w:rPr>
              <w:t>24.4%</w:t>
            </w:r>
          </w:p>
        </w:tc>
        <w:tc>
          <w:tcPr>
            <w:tcW w:w="1650" w:type="dxa"/>
            <w:shd w:val="clear" w:color="auto" w:fill="EFF3FB"/>
            <w:tcMar>
              <w:top w:w="80" w:type="dxa"/>
              <w:left w:w="120" w:type="dxa"/>
              <w:bottom w:w="80" w:type="dxa"/>
              <w:right w:w="120" w:type="dxa"/>
            </w:tcMar>
            <w:vAlign w:val="center"/>
          </w:tcPr>
          <w:p w14:paraId="74B120AF">
            <w:pPr>
              <w:jc w:val="left"/>
            </w:pPr>
            <w:r>
              <w:rPr>
                <w:b w:val="0"/>
                <w:bCs w:val="0"/>
                <w:color w:val="1F2937"/>
                <w:sz w:val="20"/>
                <w:szCs w:val="20"/>
              </w:rPr>
              <w:t>1,208</w:t>
            </w:r>
          </w:p>
        </w:tc>
        <w:tc>
          <w:tcPr>
            <w:tcW w:w="1650" w:type="dxa"/>
            <w:shd w:val="clear" w:color="auto" w:fill="EFF3FB"/>
            <w:tcMar>
              <w:top w:w="80" w:type="dxa"/>
              <w:left w:w="120" w:type="dxa"/>
              <w:bottom w:w="80" w:type="dxa"/>
              <w:right w:w="120" w:type="dxa"/>
            </w:tcMar>
            <w:vAlign w:val="center"/>
          </w:tcPr>
          <w:p w14:paraId="681B65AD">
            <w:pPr>
              <w:jc w:val="left"/>
            </w:pPr>
            <w:r>
              <w:rPr>
                <w:b w:val="0"/>
                <w:bCs w:val="0"/>
                <w:color w:val="1F2937"/>
                <w:sz w:val="20"/>
                <w:szCs w:val="20"/>
              </w:rPr>
              <w:t>4,884</w:t>
            </w:r>
          </w:p>
        </w:tc>
        <w:tc>
          <w:tcPr>
            <w:tcW w:w="1400" w:type="dxa"/>
            <w:shd w:val="clear" w:color="auto" w:fill="EFF3FB"/>
            <w:tcMar>
              <w:top w:w="80" w:type="dxa"/>
              <w:left w:w="120" w:type="dxa"/>
              <w:bottom w:w="80" w:type="dxa"/>
              <w:right w:w="120" w:type="dxa"/>
            </w:tcMar>
            <w:vAlign w:val="center"/>
          </w:tcPr>
          <w:p w14:paraId="09F7B9A5">
            <w:pPr>
              <w:jc w:val="left"/>
            </w:pPr>
            <w:r>
              <w:rPr>
                <w:b w:val="0"/>
                <w:bCs w:val="0"/>
                <w:color w:val="1F2937"/>
                <w:sz w:val="20"/>
                <w:szCs w:val="20"/>
              </w:rPr>
              <w:t>6.17 days</w:t>
            </w:r>
          </w:p>
        </w:tc>
      </w:tr>
      <w:tr w14:paraId="4220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80" w:type="dxa"/>
              <w:left w:w="120" w:type="dxa"/>
              <w:bottom w:w="80" w:type="dxa"/>
              <w:right w:w="120" w:type="dxa"/>
            </w:tcMar>
            <w:vAlign w:val="center"/>
          </w:tcPr>
          <w:p w14:paraId="5FBE7DAB">
            <w:pPr>
              <w:jc w:val="left"/>
            </w:pPr>
            <w:r>
              <w:rPr>
                <w:b w:val="0"/>
                <w:bCs w:val="0"/>
                <w:color w:val="1F2937"/>
                <w:sz w:val="20"/>
                <w:szCs w:val="20"/>
              </w:rPr>
              <w:t>East</w:t>
            </w:r>
          </w:p>
        </w:tc>
        <w:tc>
          <w:tcPr>
            <w:tcW w:w="1700" w:type="dxa"/>
            <w:shd w:val="clear" w:color="auto" w:fill="FFFFFF"/>
            <w:tcMar>
              <w:top w:w="80" w:type="dxa"/>
              <w:left w:w="120" w:type="dxa"/>
              <w:bottom w:w="80" w:type="dxa"/>
              <w:right w:w="120" w:type="dxa"/>
            </w:tcMar>
            <w:vAlign w:val="center"/>
          </w:tcPr>
          <w:p w14:paraId="0621C715">
            <w:pPr>
              <w:jc w:val="left"/>
            </w:pPr>
            <w:r>
              <w:rPr>
                <w:b w:val="0"/>
                <w:bCs w:val="0"/>
                <w:color w:val="1F2937"/>
                <w:sz w:val="20"/>
                <w:szCs w:val="20"/>
              </w:rPr>
              <w:t>₹1.24M</w:t>
            </w:r>
          </w:p>
        </w:tc>
        <w:tc>
          <w:tcPr>
            <w:tcW w:w="1650" w:type="dxa"/>
            <w:shd w:val="clear" w:color="auto" w:fill="FFFFFF"/>
            <w:tcMar>
              <w:top w:w="80" w:type="dxa"/>
              <w:left w:w="120" w:type="dxa"/>
              <w:bottom w:w="80" w:type="dxa"/>
              <w:right w:w="120" w:type="dxa"/>
            </w:tcMar>
            <w:vAlign w:val="center"/>
          </w:tcPr>
          <w:p w14:paraId="20A5BED4">
            <w:pPr>
              <w:jc w:val="left"/>
            </w:pPr>
            <w:r>
              <w:rPr>
                <w:b w:val="0"/>
                <w:bCs w:val="0"/>
                <w:color w:val="1F2937"/>
                <w:sz w:val="20"/>
                <w:szCs w:val="20"/>
              </w:rPr>
              <w:t>24.2%</w:t>
            </w:r>
          </w:p>
        </w:tc>
        <w:tc>
          <w:tcPr>
            <w:tcW w:w="1650" w:type="dxa"/>
            <w:shd w:val="clear" w:color="auto" w:fill="FFFFFF"/>
            <w:tcMar>
              <w:top w:w="80" w:type="dxa"/>
              <w:left w:w="120" w:type="dxa"/>
              <w:bottom w:w="80" w:type="dxa"/>
              <w:right w:w="120" w:type="dxa"/>
            </w:tcMar>
            <w:vAlign w:val="center"/>
          </w:tcPr>
          <w:p w14:paraId="6D3DC900">
            <w:pPr>
              <w:jc w:val="left"/>
            </w:pPr>
            <w:r>
              <w:rPr>
                <w:b w:val="0"/>
                <w:bCs w:val="0"/>
                <w:color w:val="1F2937"/>
                <w:sz w:val="20"/>
                <w:szCs w:val="20"/>
              </w:rPr>
              <w:t>1,227</w:t>
            </w:r>
          </w:p>
        </w:tc>
        <w:tc>
          <w:tcPr>
            <w:tcW w:w="1650" w:type="dxa"/>
            <w:shd w:val="clear" w:color="auto" w:fill="FFFFFF"/>
            <w:tcMar>
              <w:top w:w="80" w:type="dxa"/>
              <w:left w:w="120" w:type="dxa"/>
              <w:bottom w:w="80" w:type="dxa"/>
              <w:right w:w="120" w:type="dxa"/>
            </w:tcMar>
            <w:vAlign w:val="center"/>
          </w:tcPr>
          <w:p w14:paraId="5C1777D6">
            <w:pPr>
              <w:jc w:val="left"/>
            </w:pPr>
            <w:r>
              <w:rPr>
                <w:b w:val="0"/>
                <w:bCs w:val="0"/>
                <w:color w:val="1F2937"/>
                <w:sz w:val="20"/>
                <w:szCs w:val="20"/>
              </w:rPr>
              <w:t>4,916</w:t>
            </w:r>
          </w:p>
        </w:tc>
        <w:tc>
          <w:tcPr>
            <w:tcW w:w="1400" w:type="dxa"/>
            <w:shd w:val="clear" w:color="auto" w:fill="FFFFFF"/>
            <w:tcMar>
              <w:top w:w="80" w:type="dxa"/>
              <w:left w:w="120" w:type="dxa"/>
              <w:bottom w:w="80" w:type="dxa"/>
              <w:right w:w="120" w:type="dxa"/>
            </w:tcMar>
            <w:vAlign w:val="center"/>
          </w:tcPr>
          <w:p w14:paraId="13433579">
            <w:pPr>
              <w:jc w:val="left"/>
            </w:pPr>
            <w:r>
              <w:rPr>
                <w:b w:val="0"/>
                <w:bCs w:val="0"/>
                <w:color w:val="1F2937"/>
                <w:sz w:val="20"/>
                <w:szCs w:val="20"/>
              </w:rPr>
              <w:t>6.10 days</w:t>
            </w:r>
          </w:p>
        </w:tc>
      </w:tr>
    </w:tbl>
    <w:p w14:paraId="70A7CFCB">
      <w:pPr>
        <w:spacing w:after="160" w:line="276" w:lineRule="auto"/>
      </w:pPr>
      <w:r>
        <w:rPr>
          <w:color w:val="1F2937"/>
          <w:sz w:val="21"/>
          <w:szCs w:val="21"/>
        </w:rPr>
        <w:t>Best-performing region: West, leading on both net sales (₹1.35M) and delivery speed (6.08 days) — the only region that is simultaneously top-ranked on revenue and operations.</w:t>
      </w:r>
    </w:p>
    <w:p w14:paraId="2C0CF0A6">
      <w:pPr>
        <w:spacing w:after="160" w:line="276" w:lineRule="auto"/>
      </w:pPr>
      <w:r>
        <w:rPr>
          <w:color w:val="1F2937"/>
          <w:sz w:val="21"/>
          <w:szCs w:val="21"/>
        </w:rPr>
        <w:t>Weakest-performing region: East, the lowest on net sales (₹1.24M) despite not having the slowest delivery time; South has the slowest delivery (6.17 days) but is not the lowest-revenue region. The two weak spots do not fully overlap, meaning no single explanation (e.g., “slow delivery causes low sales”) accounts for both patterns on its own.</w:t>
      </w:r>
    </w:p>
    <w:p w14:paraId="454F6A53">
      <w:pPr>
        <w:spacing w:after="160" w:line="276" w:lineRule="auto"/>
      </w:pPr>
      <w:r>
        <w:rPr>
          <w:color w:val="1F2937"/>
          <w:sz w:val="21"/>
          <w:szCs w:val="21"/>
        </w:rPr>
        <w:t>Business implication: the four-way regional split is close enough (a 9-percentage-point spread in revenue contribution) that this dataset does not show one region carrying or dragging the business. Any regional strategy should be framed as incremental optimization rather than a rescue plan for an underperforming territory.</w:t>
      </w:r>
    </w:p>
    <w:p w14:paraId="6A109B48">
      <w:pPr>
        <w:pStyle w:val="2"/>
        <w:pBdr>
          <w:bottom w:val="single" w:color="2563EB" w:sz="6" w:space="4"/>
        </w:pBdr>
        <w:spacing w:before="480" w:after="200"/>
      </w:pPr>
      <w:r>
        <w:rPr>
          <w:b/>
          <w:bCs/>
          <w:color w:val="1F2937"/>
          <w:sz w:val="30"/>
          <w:szCs w:val="30"/>
        </w:rPr>
        <w:t>13. Product / Category Analysis</w:t>
      </w: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550"/>
        <w:gridCol w:w="1450"/>
        <w:gridCol w:w="1450"/>
        <w:gridCol w:w="1750"/>
        <w:gridCol w:w="1650"/>
      </w:tblGrid>
      <w:tr w14:paraId="786E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00" w:type="dxa"/>
            <w:shd w:val="clear" w:color="auto" w:fill="1F2937"/>
            <w:tcMar>
              <w:top w:w="80" w:type="dxa"/>
              <w:left w:w="120" w:type="dxa"/>
              <w:bottom w:w="80" w:type="dxa"/>
              <w:right w:w="120" w:type="dxa"/>
            </w:tcMar>
            <w:vAlign w:val="center"/>
          </w:tcPr>
          <w:p w14:paraId="5E4934A5">
            <w:pPr>
              <w:jc w:val="left"/>
            </w:pPr>
            <w:r>
              <w:rPr>
                <w:b/>
                <w:bCs/>
                <w:color w:val="FFFFFF"/>
                <w:sz w:val="20"/>
                <w:szCs w:val="20"/>
              </w:rPr>
              <w:t>Category</w:t>
            </w:r>
          </w:p>
        </w:tc>
        <w:tc>
          <w:tcPr>
            <w:tcW w:w="1550" w:type="dxa"/>
            <w:shd w:val="clear" w:color="auto" w:fill="1F2937"/>
            <w:tcMar>
              <w:top w:w="80" w:type="dxa"/>
              <w:left w:w="120" w:type="dxa"/>
              <w:bottom w:w="80" w:type="dxa"/>
              <w:right w:w="120" w:type="dxa"/>
            </w:tcMar>
            <w:vAlign w:val="center"/>
          </w:tcPr>
          <w:p w14:paraId="6AE7708C">
            <w:pPr>
              <w:jc w:val="left"/>
            </w:pPr>
            <w:r>
              <w:rPr>
                <w:b/>
                <w:bCs/>
                <w:color w:val="FFFFFF"/>
                <w:sz w:val="20"/>
                <w:szCs w:val="20"/>
              </w:rPr>
              <w:t>Net Sales</w:t>
            </w:r>
          </w:p>
        </w:tc>
        <w:tc>
          <w:tcPr>
            <w:tcW w:w="1450" w:type="dxa"/>
            <w:shd w:val="clear" w:color="auto" w:fill="1F2937"/>
            <w:tcMar>
              <w:top w:w="80" w:type="dxa"/>
              <w:left w:w="120" w:type="dxa"/>
              <w:bottom w:w="80" w:type="dxa"/>
              <w:right w:w="120" w:type="dxa"/>
            </w:tcMar>
            <w:vAlign w:val="center"/>
          </w:tcPr>
          <w:p w14:paraId="4DE6F09C">
            <w:pPr>
              <w:jc w:val="left"/>
            </w:pPr>
            <w:r>
              <w:rPr>
                <w:b/>
                <w:bCs/>
                <w:color w:val="FFFFFF"/>
                <w:sz w:val="20"/>
                <w:szCs w:val="20"/>
              </w:rPr>
              <w:t>Orders</w:t>
            </w:r>
          </w:p>
        </w:tc>
        <w:tc>
          <w:tcPr>
            <w:tcW w:w="1450" w:type="dxa"/>
            <w:shd w:val="clear" w:color="auto" w:fill="1F2937"/>
            <w:tcMar>
              <w:top w:w="80" w:type="dxa"/>
              <w:left w:w="120" w:type="dxa"/>
              <w:bottom w:w="80" w:type="dxa"/>
              <w:right w:w="120" w:type="dxa"/>
            </w:tcMar>
            <w:vAlign w:val="center"/>
          </w:tcPr>
          <w:p w14:paraId="40B983A7">
            <w:pPr>
              <w:jc w:val="left"/>
            </w:pPr>
            <w:r>
              <w:rPr>
                <w:b/>
                <w:bCs/>
                <w:color w:val="FFFFFF"/>
                <w:sz w:val="20"/>
                <w:szCs w:val="20"/>
              </w:rPr>
              <w:t>Units</w:t>
            </w:r>
          </w:p>
        </w:tc>
        <w:tc>
          <w:tcPr>
            <w:tcW w:w="1750" w:type="dxa"/>
            <w:shd w:val="clear" w:color="auto" w:fill="1F2937"/>
            <w:tcMar>
              <w:top w:w="80" w:type="dxa"/>
              <w:left w:w="120" w:type="dxa"/>
              <w:bottom w:w="80" w:type="dxa"/>
              <w:right w:w="120" w:type="dxa"/>
            </w:tcMar>
            <w:vAlign w:val="center"/>
          </w:tcPr>
          <w:p w14:paraId="077A3ACA">
            <w:pPr>
              <w:jc w:val="left"/>
            </w:pPr>
            <w:r>
              <w:rPr>
                <w:b/>
                <w:bCs/>
                <w:color w:val="FFFFFF"/>
                <w:sz w:val="20"/>
                <w:szCs w:val="20"/>
              </w:rPr>
              <w:t>Avg Unit Price</w:t>
            </w:r>
          </w:p>
        </w:tc>
        <w:tc>
          <w:tcPr>
            <w:tcW w:w="1650" w:type="dxa"/>
            <w:shd w:val="clear" w:color="auto" w:fill="1F2937"/>
            <w:tcMar>
              <w:top w:w="80" w:type="dxa"/>
              <w:left w:w="120" w:type="dxa"/>
              <w:bottom w:w="80" w:type="dxa"/>
              <w:right w:w="120" w:type="dxa"/>
            </w:tcMar>
            <w:vAlign w:val="center"/>
          </w:tcPr>
          <w:p w14:paraId="40AE3260">
            <w:pPr>
              <w:jc w:val="left"/>
            </w:pPr>
            <w:r>
              <w:rPr>
                <w:b/>
                <w:bCs/>
                <w:color w:val="FFFFFF"/>
                <w:sz w:val="20"/>
                <w:szCs w:val="20"/>
              </w:rPr>
              <w:t>Avg Discount</w:t>
            </w:r>
          </w:p>
        </w:tc>
      </w:tr>
      <w:tr w14:paraId="225F8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FF3FB"/>
            <w:tcMar>
              <w:top w:w="80" w:type="dxa"/>
              <w:left w:w="120" w:type="dxa"/>
              <w:bottom w:w="80" w:type="dxa"/>
              <w:right w:w="120" w:type="dxa"/>
            </w:tcMar>
            <w:vAlign w:val="center"/>
          </w:tcPr>
          <w:p w14:paraId="38D88CFF">
            <w:pPr>
              <w:jc w:val="left"/>
            </w:pPr>
            <w:r>
              <w:rPr>
                <w:b w:val="0"/>
                <w:bCs w:val="0"/>
                <w:color w:val="1F2937"/>
                <w:sz w:val="20"/>
                <w:szCs w:val="20"/>
              </w:rPr>
              <w:t>Electronics</w:t>
            </w:r>
          </w:p>
        </w:tc>
        <w:tc>
          <w:tcPr>
            <w:tcW w:w="1550" w:type="dxa"/>
            <w:shd w:val="clear" w:color="auto" w:fill="EFF3FB"/>
            <w:tcMar>
              <w:top w:w="80" w:type="dxa"/>
              <w:left w:w="120" w:type="dxa"/>
              <w:bottom w:w="80" w:type="dxa"/>
              <w:right w:w="120" w:type="dxa"/>
            </w:tcMar>
            <w:vAlign w:val="center"/>
          </w:tcPr>
          <w:p w14:paraId="35352DD8">
            <w:pPr>
              <w:jc w:val="left"/>
            </w:pPr>
            <w:r>
              <w:rPr>
                <w:b w:val="0"/>
                <w:bCs w:val="0"/>
                <w:color w:val="1F2937"/>
                <w:sz w:val="20"/>
                <w:szCs w:val="20"/>
              </w:rPr>
              <w:t>₹1.83M</w:t>
            </w:r>
          </w:p>
        </w:tc>
        <w:tc>
          <w:tcPr>
            <w:tcW w:w="1450" w:type="dxa"/>
            <w:shd w:val="clear" w:color="auto" w:fill="EFF3FB"/>
            <w:tcMar>
              <w:top w:w="80" w:type="dxa"/>
              <w:left w:w="120" w:type="dxa"/>
              <w:bottom w:w="80" w:type="dxa"/>
              <w:right w:w="120" w:type="dxa"/>
            </w:tcMar>
            <w:vAlign w:val="center"/>
          </w:tcPr>
          <w:p w14:paraId="369E3554">
            <w:pPr>
              <w:jc w:val="left"/>
            </w:pPr>
            <w:r>
              <w:rPr>
                <w:b w:val="0"/>
                <w:bCs w:val="0"/>
                <w:color w:val="1F2937"/>
                <w:sz w:val="20"/>
                <w:szCs w:val="20"/>
              </w:rPr>
              <w:t>1,777</w:t>
            </w:r>
          </w:p>
        </w:tc>
        <w:tc>
          <w:tcPr>
            <w:tcW w:w="1450" w:type="dxa"/>
            <w:shd w:val="clear" w:color="auto" w:fill="EFF3FB"/>
            <w:tcMar>
              <w:top w:w="80" w:type="dxa"/>
              <w:left w:w="120" w:type="dxa"/>
              <w:bottom w:w="80" w:type="dxa"/>
              <w:right w:w="120" w:type="dxa"/>
            </w:tcMar>
            <w:vAlign w:val="center"/>
          </w:tcPr>
          <w:p w14:paraId="6FDB7889">
            <w:pPr>
              <w:jc w:val="left"/>
            </w:pPr>
            <w:r>
              <w:rPr>
                <w:b w:val="0"/>
                <w:bCs w:val="0"/>
                <w:color w:val="1F2937"/>
                <w:sz w:val="20"/>
                <w:szCs w:val="20"/>
              </w:rPr>
              <w:t>7,109</w:t>
            </w:r>
          </w:p>
        </w:tc>
        <w:tc>
          <w:tcPr>
            <w:tcW w:w="1750" w:type="dxa"/>
            <w:shd w:val="clear" w:color="auto" w:fill="EFF3FB"/>
            <w:tcMar>
              <w:top w:w="80" w:type="dxa"/>
              <w:left w:w="120" w:type="dxa"/>
              <w:bottom w:w="80" w:type="dxa"/>
              <w:right w:w="120" w:type="dxa"/>
            </w:tcMar>
            <w:vAlign w:val="center"/>
          </w:tcPr>
          <w:p w14:paraId="77ABFD25">
            <w:pPr>
              <w:jc w:val="left"/>
            </w:pPr>
            <w:r>
              <w:rPr>
                <w:b w:val="0"/>
                <w:bCs w:val="0"/>
                <w:color w:val="1F2937"/>
                <w:sz w:val="20"/>
                <w:szCs w:val="20"/>
              </w:rPr>
              <w:t>₹315</w:t>
            </w:r>
          </w:p>
        </w:tc>
        <w:tc>
          <w:tcPr>
            <w:tcW w:w="1650" w:type="dxa"/>
            <w:shd w:val="clear" w:color="auto" w:fill="EFF3FB"/>
            <w:tcMar>
              <w:top w:w="80" w:type="dxa"/>
              <w:left w:w="120" w:type="dxa"/>
              <w:bottom w:w="80" w:type="dxa"/>
              <w:right w:w="120" w:type="dxa"/>
            </w:tcMar>
            <w:vAlign w:val="center"/>
          </w:tcPr>
          <w:p w14:paraId="5D6561F8">
            <w:pPr>
              <w:jc w:val="left"/>
            </w:pPr>
            <w:r>
              <w:rPr>
                <w:b w:val="0"/>
                <w:bCs w:val="0"/>
                <w:color w:val="1F2937"/>
                <w:sz w:val="20"/>
                <w:szCs w:val="20"/>
              </w:rPr>
              <w:t>17.7%</w:t>
            </w:r>
          </w:p>
        </w:tc>
      </w:tr>
      <w:tr w14:paraId="24FB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FFFFF"/>
            <w:tcMar>
              <w:top w:w="80" w:type="dxa"/>
              <w:left w:w="120" w:type="dxa"/>
              <w:bottom w:w="80" w:type="dxa"/>
              <w:right w:w="120" w:type="dxa"/>
            </w:tcMar>
            <w:vAlign w:val="center"/>
          </w:tcPr>
          <w:p w14:paraId="5D3216CC">
            <w:pPr>
              <w:jc w:val="left"/>
            </w:pPr>
            <w:r>
              <w:rPr>
                <w:b w:val="0"/>
                <w:bCs w:val="0"/>
                <w:color w:val="1F2937"/>
                <w:sz w:val="20"/>
                <w:szCs w:val="20"/>
              </w:rPr>
              <w:t>Clothing</w:t>
            </w:r>
          </w:p>
        </w:tc>
        <w:tc>
          <w:tcPr>
            <w:tcW w:w="1550" w:type="dxa"/>
            <w:shd w:val="clear" w:color="auto" w:fill="FFFFFF"/>
            <w:tcMar>
              <w:top w:w="80" w:type="dxa"/>
              <w:left w:w="120" w:type="dxa"/>
              <w:bottom w:w="80" w:type="dxa"/>
              <w:right w:w="120" w:type="dxa"/>
            </w:tcMar>
            <w:vAlign w:val="center"/>
          </w:tcPr>
          <w:p w14:paraId="7DC53952">
            <w:pPr>
              <w:jc w:val="left"/>
            </w:pPr>
            <w:r>
              <w:rPr>
                <w:b w:val="0"/>
                <w:bCs w:val="0"/>
                <w:color w:val="1F2937"/>
                <w:sz w:val="20"/>
                <w:szCs w:val="20"/>
              </w:rPr>
              <w:t>₹1.53M</w:t>
            </w:r>
          </w:p>
        </w:tc>
        <w:tc>
          <w:tcPr>
            <w:tcW w:w="1450" w:type="dxa"/>
            <w:shd w:val="clear" w:color="auto" w:fill="FFFFFF"/>
            <w:tcMar>
              <w:top w:w="80" w:type="dxa"/>
              <w:left w:w="120" w:type="dxa"/>
              <w:bottom w:w="80" w:type="dxa"/>
              <w:right w:w="120" w:type="dxa"/>
            </w:tcMar>
            <w:vAlign w:val="center"/>
          </w:tcPr>
          <w:p w14:paraId="6B5B826D">
            <w:pPr>
              <w:jc w:val="left"/>
            </w:pPr>
            <w:r>
              <w:rPr>
                <w:b w:val="0"/>
                <w:bCs w:val="0"/>
                <w:color w:val="1F2937"/>
                <w:sz w:val="20"/>
                <w:szCs w:val="20"/>
              </w:rPr>
              <w:t>1,531</w:t>
            </w:r>
          </w:p>
        </w:tc>
        <w:tc>
          <w:tcPr>
            <w:tcW w:w="1450" w:type="dxa"/>
            <w:shd w:val="clear" w:color="auto" w:fill="FFFFFF"/>
            <w:tcMar>
              <w:top w:w="80" w:type="dxa"/>
              <w:left w:w="120" w:type="dxa"/>
              <w:bottom w:w="80" w:type="dxa"/>
              <w:right w:w="120" w:type="dxa"/>
            </w:tcMar>
            <w:vAlign w:val="center"/>
          </w:tcPr>
          <w:p w14:paraId="7F03B766">
            <w:pPr>
              <w:jc w:val="left"/>
            </w:pPr>
            <w:r>
              <w:rPr>
                <w:b w:val="0"/>
                <w:bCs w:val="0"/>
                <w:color w:val="1F2937"/>
                <w:sz w:val="20"/>
                <w:szCs w:val="20"/>
              </w:rPr>
              <w:t>6,171</w:t>
            </w:r>
          </w:p>
        </w:tc>
        <w:tc>
          <w:tcPr>
            <w:tcW w:w="1750" w:type="dxa"/>
            <w:shd w:val="clear" w:color="auto" w:fill="FFFFFF"/>
            <w:tcMar>
              <w:top w:w="80" w:type="dxa"/>
              <w:left w:w="120" w:type="dxa"/>
              <w:bottom w:w="80" w:type="dxa"/>
              <w:right w:w="120" w:type="dxa"/>
            </w:tcMar>
            <w:vAlign w:val="center"/>
          </w:tcPr>
          <w:p w14:paraId="40BE4364">
            <w:pPr>
              <w:jc w:val="left"/>
            </w:pPr>
            <w:r>
              <w:rPr>
                <w:b w:val="0"/>
                <w:bCs w:val="0"/>
                <w:color w:val="1F2937"/>
                <w:sz w:val="20"/>
                <w:szCs w:val="20"/>
              </w:rPr>
              <w:t>₹304</w:t>
            </w:r>
          </w:p>
        </w:tc>
        <w:tc>
          <w:tcPr>
            <w:tcW w:w="1650" w:type="dxa"/>
            <w:shd w:val="clear" w:color="auto" w:fill="FFFFFF"/>
            <w:tcMar>
              <w:top w:w="80" w:type="dxa"/>
              <w:left w:w="120" w:type="dxa"/>
              <w:bottom w:w="80" w:type="dxa"/>
              <w:right w:w="120" w:type="dxa"/>
            </w:tcMar>
            <w:vAlign w:val="center"/>
          </w:tcPr>
          <w:p w14:paraId="5342DE65">
            <w:pPr>
              <w:jc w:val="left"/>
            </w:pPr>
            <w:r>
              <w:rPr>
                <w:b w:val="0"/>
                <w:bCs w:val="0"/>
                <w:color w:val="1F2937"/>
                <w:sz w:val="20"/>
                <w:szCs w:val="20"/>
              </w:rPr>
              <w:t>18.4%</w:t>
            </w:r>
          </w:p>
        </w:tc>
      </w:tr>
      <w:tr w14:paraId="03BE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FF3FB"/>
            <w:tcMar>
              <w:top w:w="80" w:type="dxa"/>
              <w:left w:w="120" w:type="dxa"/>
              <w:bottom w:w="80" w:type="dxa"/>
              <w:right w:w="120" w:type="dxa"/>
            </w:tcMar>
            <w:vAlign w:val="center"/>
          </w:tcPr>
          <w:p w14:paraId="1A50552D">
            <w:pPr>
              <w:jc w:val="left"/>
            </w:pPr>
            <w:r>
              <w:rPr>
                <w:b w:val="0"/>
                <w:bCs w:val="0"/>
                <w:color w:val="1F2937"/>
                <w:sz w:val="20"/>
                <w:szCs w:val="20"/>
              </w:rPr>
              <w:t>Home</w:t>
            </w:r>
          </w:p>
        </w:tc>
        <w:tc>
          <w:tcPr>
            <w:tcW w:w="1550" w:type="dxa"/>
            <w:shd w:val="clear" w:color="auto" w:fill="EFF3FB"/>
            <w:tcMar>
              <w:top w:w="80" w:type="dxa"/>
              <w:left w:w="120" w:type="dxa"/>
              <w:bottom w:w="80" w:type="dxa"/>
              <w:right w:w="120" w:type="dxa"/>
            </w:tcMar>
            <w:vAlign w:val="center"/>
          </w:tcPr>
          <w:p w14:paraId="471304EC">
            <w:pPr>
              <w:jc w:val="left"/>
            </w:pPr>
            <w:r>
              <w:rPr>
                <w:b w:val="0"/>
                <w:bCs w:val="0"/>
                <w:color w:val="1F2937"/>
                <w:sz w:val="20"/>
                <w:szCs w:val="20"/>
              </w:rPr>
              <w:t>₹0.98M</w:t>
            </w:r>
          </w:p>
        </w:tc>
        <w:tc>
          <w:tcPr>
            <w:tcW w:w="1450" w:type="dxa"/>
            <w:shd w:val="clear" w:color="auto" w:fill="EFF3FB"/>
            <w:tcMar>
              <w:top w:w="80" w:type="dxa"/>
              <w:left w:w="120" w:type="dxa"/>
              <w:bottom w:w="80" w:type="dxa"/>
              <w:right w:w="120" w:type="dxa"/>
            </w:tcMar>
            <w:vAlign w:val="center"/>
          </w:tcPr>
          <w:p w14:paraId="7ED6C091">
            <w:pPr>
              <w:jc w:val="left"/>
            </w:pPr>
            <w:r>
              <w:rPr>
                <w:b w:val="0"/>
                <w:bCs w:val="0"/>
                <w:color w:val="1F2937"/>
                <w:sz w:val="20"/>
                <w:szCs w:val="20"/>
              </w:rPr>
              <w:t>969</w:t>
            </w:r>
          </w:p>
        </w:tc>
        <w:tc>
          <w:tcPr>
            <w:tcW w:w="1450" w:type="dxa"/>
            <w:shd w:val="clear" w:color="auto" w:fill="EFF3FB"/>
            <w:tcMar>
              <w:top w:w="80" w:type="dxa"/>
              <w:left w:w="120" w:type="dxa"/>
              <w:bottom w:w="80" w:type="dxa"/>
              <w:right w:w="120" w:type="dxa"/>
            </w:tcMar>
            <w:vAlign w:val="center"/>
          </w:tcPr>
          <w:p w14:paraId="2DC29B9D">
            <w:pPr>
              <w:jc w:val="left"/>
            </w:pPr>
            <w:r>
              <w:rPr>
                <w:b w:val="0"/>
                <w:bCs w:val="0"/>
                <w:color w:val="1F2937"/>
                <w:sz w:val="20"/>
                <w:szCs w:val="20"/>
              </w:rPr>
              <w:t>3,949</w:t>
            </w:r>
          </w:p>
        </w:tc>
        <w:tc>
          <w:tcPr>
            <w:tcW w:w="1750" w:type="dxa"/>
            <w:shd w:val="clear" w:color="auto" w:fill="EFF3FB"/>
            <w:tcMar>
              <w:top w:w="80" w:type="dxa"/>
              <w:left w:w="120" w:type="dxa"/>
              <w:bottom w:w="80" w:type="dxa"/>
              <w:right w:w="120" w:type="dxa"/>
            </w:tcMar>
            <w:vAlign w:val="center"/>
          </w:tcPr>
          <w:p w14:paraId="158ECCB5">
            <w:pPr>
              <w:jc w:val="left"/>
            </w:pPr>
            <w:r>
              <w:rPr>
                <w:b w:val="0"/>
                <w:bCs w:val="0"/>
                <w:color w:val="1F2937"/>
                <w:sz w:val="20"/>
                <w:szCs w:val="20"/>
              </w:rPr>
              <w:t>₹306</w:t>
            </w:r>
          </w:p>
        </w:tc>
        <w:tc>
          <w:tcPr>
            <w:tcW w:w="1650" w:type="dxa"/>
            <w:shd w:val="clear" w:color="auto" w:fill="EFF3FB"/>
            <w:tcMar>
              <w:top w:w="80" w:type="dxa"/>
              <w:left w:w="120" w:type="dxa"/>
              <w:bottom w:w="80" w:type="dxa"/>
              <w:right w:w="120" w:type="dxa"/>
            </w:tcMar>
            <w:vAlign w:val="center"/>
          </w:tcPr>
          <w:p w14:paraId="4781F1BE">
            <w:pPr>
              <w:jc w:val="left"/>
            </w:pPr>
            <w:r>
              <w:rPr>
                <w:b w:val="0"/>
                <w:bCs w:val="0"/>
                <w:color w:val="1F2937"/>
                <w:sz w:val="20"/>
                <w:szCs w:val="20"/>
              </w:rPr>
              <w:t>17.8%</w:t>
            </w:r>
          </w:p>
        </w:tc>
      </w:tr>
      <w:tr w14:paraId="1C7A9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FFFFF"/>
            <w:tcMar>
              <w:top w:w="80" w:type="dxa"/>
              <w:left w:w="120" w:type="dxa"/>
              <w:bottom w:w="80" w:type="dxa"/>
              <w:right w:w="120" w:type="dxa"/>
            </w:tcMar>
            <w:vAlign w:val="center"/>
          </w:tcPr>
          <w:p w14:paraId="2A0E9693">
            <w:pPr>
              <w:jc w:val="left"/>
            </w:pPr>
            <w:r>
              <w:rPr>
                <w:b w:val="0"/>
                <w:bCs w:val="0"/>
                <w:color w:val="1F2937"/>
                <w:sz w:val="20"/>
                <w:szCs w:val="20"/>
              </w:rPr>
              <w:t>Beauty</w:t>
            </w:r>
          </w:p>
        </w:tc>
        <w:tc>
          <w:tcPr>
            <w:tcW w:w="1550" w:type="dxa"/>
            <w:shd w:val="clear" w:color="auto" w:fill="FFFFFF"/>
            <w:tcMar>
              <w:top w:w="80" w:type="dxa"/>
              <w:left w:w="120" w:type="dxa"/>
              <w:bottom w:w="80" w:type="dxa"/>
              <w:right w:w="120" w:type="dxa"/>
            </w:tcMar>
            <w:vAlign w:val="center"/>
          </w:tcPr>
          <w:p w14:paraId="18E5332B">
            <w:pPr>
              <w:jc w:val="left"/>
            </w:pPr>
            <w:r>
              <w:rPr>
                <w:b w:val="0"/>
                <w:bCs w:val="0"/>
                <w:color w:val="1F2937"/>
                <w:sz w:val="20"/>
                <w:szCs w:val="20"/>
              </w:rPr>
              <w:t>₹0.77M</w:t>
            </w:r>
          </w:p>
        </w:tc>
        <w:tc>
          <w:tcPr>
            <w:tcW w:w="1450" w:type="dxa"/>
            <w:shd w:val="clear" w:color="auto" w:fill="FFFFFF"/>
            <w:tcMar>
              <w:top w:w="80" w:type="dxa"/>
              <w:left w:w="120" w:type="dxa"/>
              <w:bottom w:w="80" w:type="dxa"/>
              <w:right w:w="120" w:type="dxa"/>
            </w:tcMar>
            <w:vAlign w:val="center"/>
          </w:tcPr>
          <w:p w14:paraId="64D279D5">
            <w:pPr>
              <w:jc w:val="left"/>
            </w:pPr>
            <w:r>
              <w:rPr>
                <w:b w:val="0"/>
                <w:bCs w:val="0"/>
                <w:color w:val="1F2937"/>
                <w:sz w:val="20"/>
                <w:szCs w:val="20"/>
              </w:rPr>
              <w:t>723</w:t>
            </w:r>
          </w:p>
        </w:tc>
        <w:tc>
          <w:tcPr>
            <w:tcW w:w="1450" w:type="dxa"/>
            <w:shd w:val="clear" w:color="auto" w:fill="FFFFFF"/>
            <w:tcMar>
              <w:top w:w="80" w:type="dxa"/>
              <w:left w:w="120" w:type="dxa"/>
              <w:bottom w:w="80" w:type="dxa"/>
              <w:right w:w="120" w:type="dxa"/>
            </w:tcMar>
            <w:vAlign w:val="center"/>
          </w:tcPr>
          <w:p w14:paraId="08045670">
            <w:pPr>
              <w:jc w:val="left"/>
            </w:pPr>
            <w:r>
              <w:rPr>
                <w:b w:val="0"/>
                <w:bCs w:val="0"/>
                <w:color w:val="1F2937"/>
                <w:sz w:val="20"/>
                <w:szCs w:val="20"/>
              </w:rPr>
              <w:t>2,995</w:t>
            </w:r>
          </w:p>
        </w:tc>
        <w:tc>
          <w:tcPr>
            <w:tcW w:w="1750" w:type="dxa"/>
            <w:shd w:val="clear" w:color="auto" w:fill="FFFFFF"/>
            <w:tcMar>
              <w:top w:w="80" w:type="dxa"/>
              <w:left w:w="120" w:type="dxa"/>
              <w:bottom w:w="80" w:type="dxa"/>
              <w:right w:w="120" w:type="dxa"/>
            </w:tcMar>
            <w:vAlign w:val="center"/>
          </w:tcPr>
          <w:p w14:paraId="418BC758">
            <w:pPr>
              <w:jc w:val="left"/>
            </w:pPr>
            <w:r>
              <w:rPr>
                <w:b w:val="0"/>
                <w:bCs w:val="0"/>
                <w:color w:val="1F2937"/>
                <w:sz w:val="20"/>
                <w:szCs w:val="20"/>
              </w:rPr>
              <w:t>₹305</w:t>
            </w:r>
          </w:p>
        </w:tc>
        <w:tc>
          <w:tcPr>
            <w:tcW w:w="1650" w:type="dxa"/>
            <w:shd w:val="clear" w:color="auto" w:fill="FFFFFF"/>
            <w:tcMar>
              <w:top w:w="80" w:type="dxa"/>
              <w:left w:w="120" w:type="dxa"/>
              <w:bottom w:w="80" w:type="dxa"/>
              <w:right w:w="120" w:type="dxa"/>
            </w:tcMar>
            <w:vAlign w:val="center"/>
          </w:tcPr>
          <w:p w14:paraId="5B4BD3DB">
            <w:pPr>
              <w:jc w:val="left"/>
            </w:pPr>
            <w:r>
              <w:rPr>
                <w:b w:val="0"/>
                <w:bCs w:val="0"/>
                <w:color w:val="1F2937"/>
                <w:sz w:val="20"/>
                <w:szCs w:val="20"/>
              </w:rPr>
              <w:t>18.1%</w:t>
            </w:r>
          </w:p>
        </w:tc>
      </w:tr>
    </w:tbl>
    <w:p w14:paraId="29AB56C8">
      <w:pPr>
        <w:spacing w:after="160" w:line="276" w:lineRule="auto"/>
      </w:pPr>
      <w:r>
        <w:rPr>
          <w:color w:val="1F2937"/>
          <w:sz w:val="21"/>
          <w:szCs w:val="21"/>
        </w:rPr>
        <w:t>Highest-performing category: Electronics, leading on net sales, orders, and units, though its average unit price (₹315) and discount rate (17.7%, the lowest of the four) are close to the other categories — its advantage is order frequency, not pricing power.</w:t>
      </w:r>
    </w:p>
    <w:p w14:paraId="1BB5FC4E">
      <w:pPr>
        <w:spacing w:after="160" w:line="276" w:lineRule="auto"/>
      </w:pPr>
      <w:r>
        <w:rPr>
          <w:color w:val="1F2937"/>
          <w:sz w:val="21"/>
          <w:szCs w:val="21"/>
        </w:rPr>
        <w:t>Lowest-performing category: Beauty, trailing on every volume metric while carrying the second-highest average discount (18.1%). Its AOV (₹1.1K) is actually the highest of the four categories, so the gap is driven entirely by order count, not by weaker per-order value.</w:t>
      </w:r>
    </w:p>
    <w:p w14:paraId="6956BF5C">
      <w:pPr>
        <w:spacing w:after="160" w:line="276" w:lineRule="auto"/>
      </w:pPr>
      <w:r>
        <w:rPr>
          <w:color w:val="1F2937"/>
          <w:sz w:val="21"/>
          <w:szCs w:val="21"/>
        </w:rPr>
        <w:t>Categories deserving attention: Home and Beauty together represent under 35% of net sales despite similar per-order economics to Electronics and Clothing. Since pricing and discounting are not meaningfully different across categories, the opportunity is in demand generation (marketing reach, assortment, placement) for these two categories rather than pricing adjustment.</w:t>
      </w:r>
    </w:p>
    <w:p w14:paraId="2F3434D0">
      <w:pPr>
        <w:pStyle w:val="2"/>
        <w:pBdr>
          <w:bottom w:val="single" w:color="2563EB" w:sz="6" w:space="4"/>
        </w:pBdr>
        <w:spacing w:before="480" w:after="200"/>
      </w:pPr>
      <w:r>
        <w:rPr>
          <w:b/>
          <w:bCs/>
          <w:color w:val="1F2937"/>
          <w:sz w:val="30"/>
          <w:szCs w:val="30"/>
        </w:rPr>
        <w:t>14. Customer Analysis</w:t>
      </w:r>
    </w:p>
    <w:tbl>
      <w:tblPr>
        <w:tblStyle w:val="9"/>
        <w:tblW w:w="6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2100"/>
      </w:tblGrid>
      <w:tr w14:paraId="0EF2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2937"/>
            <w:tcMar>
              <w:top w:w="80" w:type="dxa"/>
              <w:left w:w="120" w:type="dxa"/>
              <w:bottom w:w="80" w:type="dxa"/>
              <w:right w:w="120" w:type="dxa"/>
            </w:tcMar>
            <w:vAlign w:val="center"/>
          </w:tcPr>
          <w:p w14:paraId="7ACD1533">
            <w:pPr>
              <w:jc w:val="left"/>
            </w:pPr>
            <w:r>
              <w:rPr>
                <w:b/>
                <w:bCs/>
                <w:color w:val="FFFFFF"/>
                <w:sz w:val="20"/>
                <w:szCs w:val="20"/>
              </w:rPr>
              <w:t>Customer ID</w:t>
            </w:r>
          </w:p>
        </w:tc>
        <w:tc>
          <w:tcPr>
            <w:tcW w:w="2200" w:type="dxa"/>
            <w:shd w:val="clear" w:color="auto" w:fill="1F2937"/>
            <w:tcMar>
              <w:top w:w="80" w:type="dxa"/>
              <w:left w:w="120" w:type="dxa"/>
              <w:bottom w:w="80" w:type="dxa"/>
              <w:right w:w="120" w:type="dxa"/>
            </w:tcMar>
            <w:vAlign w:val="center"/>
          </w:tcPr>
          <w:p w14:paraId="44A47F36">
            <w:pPr>
              <w:jc w:val="left"/>
            </w:pPr>
            <w:r>
              <w:rPr>
                <w:b/>
                <w:bCs/>
                <w:color w:val="FFFFFF"/>
                <w:sz w:val="20"/>
                <w:szCs w:val="20"/>
              </w:rPr>
              <w:t>Net Sales</w:t>
            </w:r>
          </w:p>
        </w:tc>
        <w:tc>
          <w:tcPr>
            <w:tcW w:w="2100" w:type="dxa"/>
            <w:shd w:val="clear" w:color="auto" w:fill="1F2937"/>
            <w:tcMar>
              <w:top w:w="80" w:type="dxa"/>
              <w:left w:w="120" w:type="dxa"/>
              <w:bottom w:w="80" w:type="dxa"/>
              <w:right w:w="120" w:type="dxa"/>
            </w:tcMar>
            <w:vAlign w:val="center"/>
          </w:tcPr>
          <w:p w14:paraId="35ED0E5D">
            <w:pPr>
              <w:jc w:val="left"/>
            </w:pPr>
            <w:r>
              <w:rPr>
                <w:b/>
                <w:bCs/>
                <w:color w:val="FFFFFF"/>
                <w:sz w:val="20"/>
                <w:szCs w:val="20"/>
              </w:rPr>
              <w:t>Orders</w:t>
            </w:r>
          </w:p>
        </w:tc>
      </w:tr>
      <w:tr w14:paraId="169A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FF3FB"/>
            <w:tcMar>
              <w:top w:w="80" w:type="dxa"/>
              <w:left w:w="120" w:type="dxa"/>
              <w:bottom w:w="80" w:type="dxa"/>
              <w:right w:w="120" w:type="dxa"/>
            </w:tcMar>
            <w:vAlign w:val="center"/>
          </w:tcPr>
          <w:p w14:paraId="6CB84A9D">
            <w:pPr>
              <w:jc w:val="left"/>
            </w:pPr>
            <w:r>
              <w:rPr>
                <w:b w:val="0"/>
                <w:bCs w:val="0"/>
                <w:color w:val="1F2937"/>
                <w:sz w:val="20"/>
                <w:szCs w:val="20"/>
              </w:rPr>
              <w:t>1663</w:t>
            </w:r>
          </w:p>
        </w:tc>
        <w:tc>
          <w:tcPr>
            <w:tcW w:w="2200" w:type="dxa"/>
            <w:shd w:val="clear" w:color="auto" w:fill="EFF3FB"/>
            <w:tcMar>
              <w:top w:w="80" w:type="dxa"/>
              <w:left w:w="120" w:type="dxa"/>
              <w:bottom w:w="80" w:type="dxa"/>
              <w:right w:w="120" w:type="dxa"/>
            </w:tcMar>
            <w:vAlign w:val="center"/>
          </w:tcPr>
          <w:p w14:paraId="3E8EF126">
            <w:pPr>
              <w:jc w:val="left"/>
            </w:pPr>
            <w:r>
              <w:rPr>
                <w:b w:val="0"/>
                <w:bCs w:val="0"/>
                <w:color w:val="1F2937"/>
                <w:sz w:val="20"/>
                <w:szCs w:val="20"/>
              </w:rPr>
              <w:t>₹17,680.69</w:t>
            </w:r>
          </w:p>
        </w:tc>
        <w:tc>
          <w:tcPr>
            <w:tcW w:w="2100" w:type="dxa"/>
            <w:shd w:val="clear" w:color="auto" w:fill="EFF3FB"/>
            <w:tcMar>
              <w:top w:w="80" w:type="dxa"/>
              <w:left w:w="120" w:type="dxa"/>
              <w:bottom w:w="80" w:type="dxa"/>
              <w:right w:w="120" w:type="dxa"/>
            </w:tcMar>
            <w:vAlign w:val="center"/>
          </w:tcPr>
          <w:p w14:paraId="06828D42">
            <w:pPr>
              <w:jc w:val="left"/>
            </w:pPr>
            <w:r>
              <w:rPr>
                <w:b w:val="0"/>
                <w:bCs w:val="0"/>
                <w:color w:val="1F2937"/>
                <w:sz w:val="20"/>
                <w:szCs w:val="20"/>
              </w:rPr>
              <w:t>14</w:t>
            </w:r>
          </w:p>
        </w:tc>
      </w:tr>
      <w:tr w14:paraId="5886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2D51C567">
            <w:pPr>
              <w:jc w:val="left"/>
            </w:pPr>
            <w:r>
              <w:rPr>
                <w:b w:val="0"/>
                <w:bCs w:val="0"/>
                <w:color w:val="1F2937"/>
                <w:sz w:val="20"/>
                <w:szCs w:val="20"/>
              </w:rPr>
              <w:t>1955</w:t>
            </w:r>
          </w:p>
        </w:tc>
        <w:tc>
          <w:tcPr>
            <w:tcW w:w="2200" w:type="dxa"/>
            <w:shd w:val="clear" w:color="auto" w:fill="FFFFFF"/>
            <w:tcMar>
              <w:top w:w="80" w:type="dxa"/>
              <w:left w:w="120" w:type="dxa"/>
              <w:bottom w:w="80" w:type="dxa"/>
              <w:right w:w="120" w:type="dxa"/>
            </w:tcMar>
            <w:vAlign w:val="center"/>
          </w:tcPr>
          <w:p w14:paraId="3916E1BE">
            <w:pPr>
              <w:jc w:val="left"/>
            </w:pPr>
            <w:r>
              <w:rPr>
                <w:b w:val="0"/>
                <w:bCs w:val="0"/>
                <w:color w:val="1F2937"/>
                <w:sz w:val="20"/>
                <w:szCs w:val="20"/>
              </w:rPr>
              <w:t>₹16,265.15</w:t>
            </w:r>
          </w:p>
        </w:tc>
        <w:tc>
          <w:tcPr>
            <w:tcW w:w="2100" w:type="dxa"/>
            <w:shd w:val="clear" w:color="auto" w:fill="FFFFFF"/>
            <w:tcMar>
              <w:top w:w="80" w:type="dxa"/>
              <w:left w:w="120" w:type="dxa"/>
              <w:bottom w:w="80" w:type="dxa"/>
              <w:right w:w="120" w:type="dxa"/>
            </w:tcMar>
            <w:vAlign w:val="center"/>
          </w:tcPr>
          <w:p w14:paraId="61690E5D">
            <w:pPr>
              <w:jc w:val="left"/>
            </w:pPr>
            <w:r>
              <w:rPr>
                <w:b w:val="0"/>
                <w:bCs w:val="0"/>
                <w:color w:val="1F2937"/>
                <w:sz w:val="20"/>
                <w:szCs w:val="20"/>
              </w:rPr>
              <w:t>10</w:t>
            </w:r>
          </w:p>
        </w:tc>
      </w:tr>
      <w:tr w14:paraId="79A4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FF3FB"/>
            <w:tcMar>
              <w:top w:w="80" w:type="dxa"/>
              <w:left w:w="120" w:type="dxa"/>
              <w:bottom w:w="80" w:type="dxa"/>
              <w:right w:w="120" w:type="dxa"/>
            </w:tcMar>
            <w:vAlign w:val="center"/>
          </w:tcPr>
          <w:p w14:paraId="24A27764">
            <w:pPr>
              <w:jc w:val="left"/>
            </w:pPr>
            <w:r>
              <w:rPr>
                <w:b w:val="0"/>
                <w:bCs w:val="0"/>
                <w:color w:val="1F2937"/>
                <w:sz w:val="20"/>
                <w:szCs w:val="20"/>
              </w:rPr>
              <w:t>1675</w:t>
            </w:r>
          </w:p>
        </w:tc>
        <w:tc>
          <w:tcPr>
            <w:tcW w:w="2200" w:type="dxa"/>
            <w:shd w:val="clear" w:color="auto" w:fill="EFF3FB"/>
            <w:tcMar>
              <w:top w:w="80" w:type="dxa"/>
              <w:left w:w="120" w:type="dxa"/>
              <w:bottom w:w="80" w:type="dxa"/>
              <w:right w:w="120" w:type="dxa"/>
            </w:tcMar>
            <w:vAlign w:val="center"/>
          </w:tcPr>
          <w:p w14:paraId="4821F716">
            <w:pPr>
              <w:jc w:val="left"/>
            </w:pPr>
            <w:r>
              <w:rPr>
                <w:b w:val="0"/>
                <w:bCs w:val="0"/>
                <w:color w:val="1F2937"/>
                <w:sz w:val="20"/>
                <w:szCs w:val="20"/>
              </w:rPr>
              <w:t>₹15,036.46</w:t>
            </w:r>
          </w:p>
        </w:tc>
        <w:tc>
          <w:tcPr>
            <w:tcW w:w="2100" w:type="dxa"/>
            <w:shd w:val="clear" w:color="auto" w:fill="EFF3FB"/>
            <w:tcMar>
              <w:top w:w="80" w:type="dxa"/>
              <w:left w:w="120" w:type="dxa"/>
              <w:bottom w:w="80" w:type="dxa"/>
              <w:right w:w="120" w:type="dxa"/>
            </w:tcMar>
            <w:vAlign w:val="center"/>
          </w:tcPr>
          <w:p w14:paraId="7491535D">
            <w:pPr>
              <w:jc w:val="left"/>
            </w:pPr>
            <w:r>
              <w:rPr>
                <w:b w:val="0"/>
                <w:bCs w:val="0"/>
                <w:color w:val="1F2937"/>
                <w:sz w:val="20"/>
                <w:szCs w:val="20"/>
              </w:rPr>
              <w:t>11</w:t>
            </w:r>
          </w:p>
        </w:tc>
      </w:tr>
      <w:tr w14:paraId="5513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FFFFF"/>
            <w:tcMar>
              <w:top w:w="80" w:type="dxa"/>
              <w:left w:w="120" w:type="dxa"/>
              <w:bottom w:w="80" w:type="dxa"/>
              <w:right w:w="120" w:type="dxa"/>
            </w:tcMar>
            <w:vAlign w:val="center"/>
          </w:tcPr>
          <w:p w14:paraId="175B0DDC">
            <w:pPr>
              <w:jc w:val="left"/>
            </w:pPr>
            <w:r>
              <w:rPr>
                <w:b w:val="0"/>
                <w:bCs w:val="0"/>
                <w:color w:val="1F2937"/>
                <w:sz w:val="20"/>
                <w:szCs w:val="20"/>
              </w:rPr>
              <w:t>1276</w:t>
            </w:r>
          </w:p>
        </w:tc>
        <w:tc>
          <w:tcPr>
            <w:tcW w:w="2200" w:type="dxa"/>
            <w:shd w:val="clear" w:color="auto" w:fill="FFFFFF"/>
            <w:tcMar>
              <w:top w:w="80" w:type="dxa"/>
              <w:left w:w="120" w:type="dxa"/>
              <w:bottom w:w="80" w:type="dxa"/>
              <w:right w:w="120" w:type="dxa"/>
            </w:tcMar>
            <w:vAlign w:val="center"/>
          </w:tcPr>
          <w:p w14:paraId="2844D06E">
            <w:pPr>
              <w:jc w:val="left"/>
            </w:pPr>
            <w:r>
              <w:rPr>
                <w:b w:val="0"/>
                <w:bCs w:val="0"/>
                <w:color w:val="1F2937"/>
                <w:sz w:val="20"/>
                <w:szCs w:val="20"/>
              </w:rPr>
              <w:t>₹15,023.71</w:t>
            </w:r>
          </w:p>
        </w:tc>
        <w:tc>
          <w:tcPr>
            <w:tcW w:w="2100" w:type="dxa"/>
            <w:shd w:val="clear" w:color="auto" w:fill="FFFFFF"/>
            <w:tcMar>
              <w:top w:w="80" w:type="dxa"/>
              <w:left w:w="120" w:type="dxa"/>
              <w:bottom w:w="80" w:type="dxa"/>
              <w:right w:w="120" w:type="dxa"/>
            </w:tcMar>
            <w:vAlign w:val="center"/>
          </w:tcPr>
          <w:p w14:paraId="48B0E70D">
            <w:pPr>
              <w:jc w:val="left"/>
            </w:pPr>
            <w:r>
              <w:rPr>
                <w:b w:val="0"/>
                <w:bCs w:val="0"/>
                <w:color w:val="1F2937"/>
                <w:sz w:val="20"/>
                <w:szCs w:val="20"/>
              </w:rPr>
              <w:t>11</w:t>
            </w:r>
          </w:p>
        </w:tc>
      </w:tr>
      <w:tr w14:paraId="7DED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EFF3FB"/>
            <w:tcMar>
              <w:top w:w="80" w:type="dxa"/>
              <w:left w:w="120" w:type="dxa"/>
              <w:bottom w:w="80" w:type="dxa"/>
              <w:right w:w="120" w:type="dxa"/>
            </w:tcMar>
            <w:vAlign w:val="center"/>
          </w:tcPr>
          <w:p w14:paraId="35DC5F33">
            <w:pPr>
              <w:jc w:val="left"/>
            </w:pPr>
            <w:r>
              <w:rPr>
                <w:b w:val="0"/>
                <w:bCs w:val="0"/>
                <w:color w:val="1F2937"/>
                <w:sz w:val="20"/>
                <w:szCs w:val="20"/>
              </w:rPr>
              <w:t>1647</w:t>
            </w:r>
          </w:p>
        </w:tc>
        <w:tc>
          <w:tcPr>
            <w:tcW w:w="2200" w:type="dxa"/>
            <w:shd w:val="clear" w:color="auto" w:fill="EFF3FB"/>
            <w:tcMar>
              <w:top w:w="80" w:type="dxa"/>
              <w:left w:w="120" w:type="dxa"/>
              <w:bottom w:w="80" w:type="dxa"/>
              <w:right w:w="120" w:type="dxa"/>
            </w:tcMar>
            <w:vAlign w:val="center"/>
          </w:tcPr>
          <w:p w14:paraId="195DC822">
            <w:pPr>
              <w:jc w:val="left"/>
            </w:pPr>
            <w:r>
              <w:rPr>
                <w:b w:val="0"/>
                <w:bCs w:val="0"/>
                <w:color w:val="1F2937"/>
                <w:sz w:val="20"/>
                <w:szCs w:val="20"/>
              </w:rPr>
              <w:t>₹14,894.97</w:t>
            </w:r>
          </w:p>
        </w:tc>
        <w:tc>
          <w:tcPr>
            <w:tcW w:w="2100" w:type="dxa"/>
            <w:shd w:val="clear" w:color="auto" w:fill="EFF3FB"/>
            <w:tcMar>
              <w:top w:w="80" w:type="dxa"/>
              <w:left w:w="120" w:type="dxa"/>
              <w:bottom w:w="80" w:type="dxa"/>
              <w:right w:w="120" w:type="dxa"/>
            </w:tcMar>
            <w:vAlign w:val="center"/>
          </w:tcPr>
          <w:p w14:paraId="464E7070">
            <w:pPr>
              <w:jc w:val="left"/>
            </w:pPr>
            <w:r>
              <w:rPr>
                <w:b w:val="0"/>
                <w:bCs w:val="0"/>
                <w:color w:val="1F2937"/>
                <w:sz w:val="20"/>
                <w:szCs w:val="20"/>
              </w:rPr>
              <w:t>11</w:t>
            </w:r>
          </w:p>
        </w:tc>
      </w:tr>
    </w:tbl>
    <w:p w14:paraId="2CE91445">
      <w:pPr>
        <w:spacing w:after="160" w:line="276" w:lineRule="auto"/>
      </w:pPr>
      <w:r>
        <w:rPr>
          <w:color w:val="1F2937"/>
          <w:sz w:val="21"/>
          <w:szCs w:val="21"/>
        </w:rPr>
        <w:t>Customer contribution: the top 5 customers by net sales together contribute ₹78,900.98, roughly 1.5% of total net sales — a low concentration level. No individual customer or small cluster of customers represents a material share of total revenue.</w:t>
      </w:r>
    </w:p>
    <w:p w14:paraId="45759FBB">
      <w:pPr>
        <w:spacing w:after="160" w:line="276" w:lineRule="auto"/>
      </w:pPr>
      <w:r>
        <w:rPr>
          <w:color w:val="1F2937"/>
          <w:sz w:val="21"/>
          <w:szCs w:val="21"/>
        </w:rPr>
        <w:t>Order frequency: 96.1% of the 989 customers placed more than one order (950 of 989), and orders per customer range from 1 to 14, with the most common frequency being 4–6 orders per customer. This indicates broad-based repeat activity across the customer base.</w:t>
      </w:r>
    </w:p>
    <w:p w14:paraId="7E58EFE2">
      <w:pPr>
        <w:spacing w:after="160" w:line="276" w:lineRule="auto"/>
      </w:pPr>
      <w:r>
        <w:rPr>
          <w:color w:val="1F2937"/>
          <w:sz w:val="21"/>
          <w:szCs w:val="21"/>
        </w:rPr>
        <w:t>A note on “loyalty”: the dataset provides order counts and total spend per customer but no purchase dates linked to marketing touchpoints, no cohort/acquisition data, and no churn indicators. Repeat order count is a valid, directly measurable pattern; claims about customer loyalty, retention drivers, or lifetime value cannot be supported from this data and are not made in this report.</w:t>
      </w:r>
    </w:p>
    <w:p w14:paraId="346CDAF2">
      <w:pPr>
        <w:pStyle w:val="2"/>
        <w:pBdr>
          <w:bottom w:val="single" w:color="2563EB" w:sz="6" w:space="4"/>
        </w:pBdr>
        <w:spacing w:before="480" w:after="200"/>
      </w:pPr>
      <w:r>
        <w:rPr>
          <w:b/>
          <w:bCs/>
          <w:color w:val="1F2937"/>
          <w:sz w:val="30"/>
          <w:szCs w:val="30"/>
        </w:rPr>
        <w:t>15. Operational Analysis</w:t>
      </w:r>
    </w:p>
    <w:p w14:paraId="6F022DA0">
      <w:pPr>
        <w:spacing w:after="160" w:line="276" w:lineRule="auto"/>
      </w:pPr>
      <w:r>
        <w:rPr>
          <w:color w:val="1F2937"/>
          <w:sz w:val="21"/>
          <w:szCs w:val="21"/>
        </w:rPr>
        <w:t>Delivery performance: average delivery time is 6.12 days overall, ranging narrowly from 6.08 days (West) to 6.17 days (South) — a spread of roughly two hours in practical terms. The delivery-days histogram on the Operations dashboard shows a roughly uniform distribution from 1 to 11 days rather than a peak around a typical value, suggesting delivery time in this dataset behaves close to randomly assigned within its range rather than following a real logistics distribution (e.g., most orders clustering around a 3–5 day standard).</w:t>
      </w:r>
    </w:p>
    <w:p w14:paraId="5F6144E2">
      <w:pPr>
        <w:spacing w:after="160" w:line="276" w:lineRule="auto"/>
      </w:pPr>
      <w:r>
        <w:rPr>
          <w:color w:val="1F2937"/>
          <w:sz w:val="21"/>
          <w:szCs w:val="21"/>
        </w:rPr>
        <w:t>Payment methods: Card is the leading channel by net sales (₹2.37M, 2,270 orders), followed by COD (₹1.79M, 1,774 orders) and Wallet (₹0.96M, 956 orders). Average discount rates are similar across methods (17.4%–18.2%), so payment channel does not appear linked to discount policy.</w:t>
      </w:r>
    </w:p>
    <w:p w14:paraId="62A4218B">
      <w:pPr>
        <w:spacing w:after="160" w:line="276" w:lineRule="auto"/>
      </w:pPr>
      <w:r>
        <w:rPr>
          <w:color w:val="1F2937"/>
          <w:sz w:val="21"/>
          <w:szCs w:val="21"/>
        </w:rPr>
        <w:t>Cross-cutting pattern: because the regional delivery-time spread is so narrow (0.09 days) and the category/region discount rates are all clustered within about 1 percentage point of each other, this dataset does not show strong operational differentiation across segments. The main operational improvement area worth flagging is the South region's combination of slowest delivery and lowest sales, covered in Section 12.</w:t>
      </w:r>
    </w:p>
    <w:p w14:paraId="7D91D178">
      <w:pPr>
        <w:pStyle w:val="2"/>
        <w:pBdr>
          <w:bottom w:val="single" w:color="2563EB" w:sz="6" w:space="4"/>
        </w:pBdr>
        <w:spacing w:before="480" w:after="200"/>
      </w:pPr>
      <w:r>
        <w:rPr>
          <w:b/>
          <w:bCs/>
          <w:color w:val="1F2937"/>
          <w:sz w:val="30"/>
          <w:szCs w:val="30"/>
        </w:rPr>
        <w:t>16. Business Recommendations</w:t>
      </w:r>
    </w:p>
    <w:p w14:paraId="25893555">
      <w:pPr>
        <w:pStyle w:val="3"/>
        <w:spacing w:before="300" w:after="120"/>
      </w:pPr>
      <w:r>
        <w:rPr>
          <w:b/>
          <w:bCs/>
          <w:color w:val="2563EB"/>
          <w:sz w:val="24"/>
          <w:szCs w:val="24"/>
        </w:rPr>
        <w:t>Immediate Actions</w:t>
      </w:r>
    </w:p>
    <w:p w14:paraId="2C2ACD93">
      <w:pPr>
        <w:spacing w:after="160" w:line="276" w:lineRule="auto"/>
      </w:pPr>
      <w:r>
        <w:rPr>
          <w:color w:val="1F2937"/>
          <w:sz w:val="21"/>
          <w:szCs w:val="21"/>
        </w:rPr>
        <w:t>Insight → Recommendation → Expected Benefit → Priority</w:t>
      </w:r>
    </w:p>
    <w:p w14:paraId="3AD66FCD">
      <w:pPr>
        <w:pStyle w:val="16"/>
        <w:numPr>
          <w:ilvl w:val="0"/>
          <w:numId w:val="1"/>
        </w:numPr>
        <w:spacing w:after="90"/>
      </w:pPr>
      <w:r>
        <w:rPr>
          <w:sz w:val="21"/>
          <w:szCs w:val="21"/>
        </w:rPr>
        <w:t>SQL total_sales formula is understating net sales by ~4.5× → Correct the formula to use (1 − discount), or SUM(sales_amount) directly → Restores trustworthy reporting from the SQL layer → High</w:t>
      </w:r>
    </w:p>
    <w:p w14:paraId="2BD317D2">
      <w:pPr>
        <w:pStyle w:val="16"/>
        <w:numPr>
          <w:ilvl w:val="0"/>
          <w:numId w:val="1"/>
        </w:numPr>
        <w:spacing w:after="90"/>
      </w:pPr>
      <w:r>
        <w:rPr>
          <w:sz w:val="21"/>
          <w:szCs w:val="21"/>
        </w:rPr>
        <w:t>30%+ discount band produces the lowest net sales of any band → Cap or review discounts above 20–25% pending a controlled test → Protects revenue without a confirmed offsetting volume gain → High</w:t>
      </w:r>
    </w:p>
    <w:p w14:paraId="69B3F2EC">
      <w:pPr>
        <w:pStyle w:val="16"/>
        <w:numPr>
          <w:ilvl w:val="0"/>
          <w:numId w:val="1"/>
        </w:numPr>
        <w:spacing w:after="90"/>
      </w:pPr>
      <w:r>
        <w:rPr>
          <w:sz w:val="21"/>
          <w:szCs w:val="21"/>
        </w:rPr>
        <w:t>South region is both slowest-delivery and lowest-sales → Review South's fulfillment process and demand drivers together → Identifies whether operations or demand is the binding constraint → Medium</w:t>
      </w:r>
    </w:p>
    <w:p w14:paraId="41F29DB7">
      <w:pPr>
        <w:pStyle w:val="3"/>
        <w:spacing w:before="300" w:after="120"/>
      </w:pPr>
      <w:r>
        <w:rPr>
          <w:b/>
          <w:bCs/>
          <w:color w:val="2563EB"/>
          <w:sz w:val="24"/>
          <w:szCs w:val="24"/>
        </w:rPr>
        <w:t>Medium-Term Actions</w:t>
      </w:r>
    </w:p>
    <w:p w14:paraId="05A1A35D">
      <w:pPr>
        <w:pStyle w:val="16"/>
        <w:numPr>
          <w:ilvl w:val="0"/>
          <w:numId w:val="1"/>
        </w:numPr>
        <w:spacing w:after="90"/>
      </w:pPr>
      <w:r>
        <w:rPr>
          <w:sz w:val="21"/>
          <w:szCs w:val="21"/>
        </w:rPr>
        <w:t>Home and Beauty trail on order volume despite comparable per-order economics → Test demand-generation initiatives (marketing reach, placement) for these categories → Potential to narrow the 2.4× category revenue gap → Medium</w:t>
      </w:r>
    </w:p>
    <w:p w14:paraId="114DD30F">
      <w:pPr>
        <w:pStyle w:val="16"/>
        <w:numPr>
          <w:ilvl w:val="0"/>
          <w:numId w:val="1"/>
        </w:numPr>
        <w:spacing w:after="90"/>
      </w:pPr>
      <w:r>
        <w:rPr>
          <w:sz w:val="21"/>
          <w:szCs w:val="21"/>
        </w:rPr>
        <w:t>Repeat-purchase rate is high (96.1%) but broadly distributed → Build a retention program targeted at the broad repeat base rather than a small VIP tier → Reinforces an already-healthy, low-concentration revenue base → Medium</w:t>
      </w:r>
    </w:p>
    <w:p w14:paraId="44D3FD3C">
      <w:pPr>
        <w:pStyle w:val="3"/>
        <w:spacing w:before="300" w:after="120"/>
      </w:pPr>
      <w:r>
        <w:rPr>
          <w:b/>
          <w:bCs/>
          <w:color w:val="2563EB"/>
          <w:sz w:val="24"/>
          <w:szCs w:val="24"/>
        </w:rPr>
        <w:t>Long-Term Strategy</w:t>
      </w:r>
    </w:p>
    <w:p w14:paraId="3D2537B2">
      <w:pPr>
        <w:pStyle w:val="16"/>
        <w:numPr>
          <w:ilvl w:val="0"/>
          <w:numId w:val="1"/>
        </w:numPr>
        <w:spacing w:after="90"/>
      </w:pPr>
      <w:r>
        <w:rPr>
          <w:sz w:val="21"/>
          <w:szCs w:val="21"/>
        </w:rPr>
        <w:t>No measurable sales trend exists in the current data → Establish a proper time-series data pipeline (true daily/weekly order volumes over a real trading period, with cost and marketing-spend context) before attempting forecasting → Enables trend and seasonality analysis that this dataset cannot currently support → Long-term</w:t>
      </w:r>
    </w:p>
    <w:p w14:paraId="758184A6">
      <w:pPr>
        <w:pStyle w:val="16"/>
        <w:numPr>
          <w:ilvl w:val="0"/>
          <w:numId w:val="1"/>
        </w:numPr>
        <w:spacing w:after="90"/>
      </w:pPr>
      <w:r>
        <w:rPr>
          <w:sz w:val="21"/>
          <w:szCs w:val="21"/>
        </w:rPr>
        <w:t>Dataset lacks cost, margin, and customer-demographic fields → Extend the schema to capture cost of goods, marketing spend, and customer acquisition source → Enables profitability and ROI analysis beyond top-line sales → Long-term</w:t>
      </w:r>
    </w:p>
    <w:p w14:paraId="1993A3EA">
      <w:pPr>
        <w:pStyle w:val="2"/>
        <w:pBdr>
          <w:bottom w:val="single" w:color="2563EB" w:sz="6" w:space="4"/>
        </w:pBdr>
        <w:spacing w:before="480" w:after="200"/>
      </w:pPr>
      <w:r>
        <w:rPr>
          <w:b/>
          <w:bCs/>
          <w:color w:val="1F2937"/>
          <w:sz w:val="30"/>
          <w:szCs w:val="30"/>
        </w:rPr>
        <w:t>17. Limitations</w:t>
      </w:r>
    </w:p>
    <w:p w14:paraId="09E1B4F2">
      <w:pPr>
        <w:pStyle w:val="16"/>
        <w:numPr>
          <w:ilvl w:val="0"/>
          <w:numId w:val="1"/>
        </w:numPr>
        <w:spacing w:after="90"/>
      </w:pPr>
      <w:r>
        <w:rPr>
          <w:sz w:val="21"/>
          <w:szCs w:val="21"/>
        </w:rPr>
        <w:t>No cost or margin data: only revenue-side fields (price, quantity, discount) are present, so profitability cannot be assessed — all figures in this report are sales/revenue metrics, not profit metrics.</w:t>
      </w:r>
    </w:p>
    <w:p w14:paraId="68DBA056">
      <w:pPr>
        <w:pStyle w:val="16"/>
        <w:numPr>
          <w:ilvl w:val="0"/>
          <w:numId w:val="1"/>
        </w:numPr>
        <w:spacing w:after="90"/>
      </w:pPr>
      <w:r>
        <w:rPr>
          <w:sz w:val="21"/>
          <w:szCs w:val="21"/>
        </w:rPr>
        <w:t>No customer demographic or acquisition data: age, location detail beyond region, channel of acquisition, and marketing touchpoints are not available, limiting customer analysis to order frequency and spend.</w:t>
      </w:r>
    </w:p>
    <w:p w14:paraId="64A9BC7A">
      <w:pPr>
        <w:pStyle w:val="16"/>
        <w:numPr>
          <w:ilvl w:val="0"/>
          <w:numId w:val="1"/>
        </w:numPr>
        <w:spacing w:after="90"/>
      </w:pPr>
      <w:r>
        <w:rPr>
          <w:sz w:val="21"/>
          <w:szCs w:val="21"/>
        </w:rPr>
        <w:t>Unusual date structure: exactly one order per calendar day across 5,000 consecutive days (2022–2035) is not typical of a real order feed, which limits how much confidence should be placed in the trend and seasonality findings as representative of a real business.</w:t>
      </w:r>
    </w:p>
    <w:p w14:paraId="5F740F35">
      <w:pPr>
        <w:pStyle w:val="16"/>
        <w:numPr>
          <w:ilvl w:val="0"/>
          <w:numId w:val="1"/>
        </w:numPr>
        <w:spacing w:after="90"/>
      </w:pPr>
      <w:r>
        <w:rPr>
          <w:sz w:val="21"/>
          <w:szCs w:val="21"/>
        </w:rPr>
        <w:t>No target, budget, or forecast data: results can be described but not benchmarked against goals.</w:t>
      </w:r>
    </w:p>
    <w:p w14:paraId="01FF6DEF">
      <w:pPr>
        <w:pStyle w:val="16"/>
        <w:numPr>
          <w:ilvl w:val="0"/>
          <w:numId w:val="1"/>
        </w:numPr>
        <w:spacing w:after="90"/>
      </w:pPr>
      <w:r>
        <w:rPr>
          <w:sz w:val="21"/>
          <w:szCs w:val="21"/>
        </w:rPr>
        <w:t>No inventory or stock-level data: category and regional demand cannot be assessed against supply constraints.</w:t>
      </w:r>
    </w:p>
    <w:p w14:paraId="59B1CA4A">
      <w:pPr>
        <w:pStyle w:val="16"/>
        <w:numPr>
          <w:ilvl w:val="0"/>
          <w:numId w:val="1"/>
        </w:numPr>
        <w:spacing w:after="90"/>
      </w:pPr>
      <w:r>
        <w:rPr>
          <w:sz w:val="21"/>
          <w:szCs w:val="21"/>
        </w:rPr>
        <w:t>Order-level granularity only: there is no line-item detail (an order is a single product/category/quantity combination), so basket composition and cross-category purchasing cannot be analyzed.</w:t>
      </w:r>
    </w:p>
    <w:p w14:paraId="4B822929">
      <w:pPr>
        <w:pStyle w:val="16"/>
        <w:numPr>
          <w:ilvl w:val="0"/>
          <w:numId w:val="1"/>
        </w:numPr>
        <w:spacing w:after="90"/>
      </w:pPr>
      <w:r>
        <w:rPr>
          <w:sz w:val="21"/>
          <w:szCs w:val="21"/>
        </w:rPr>
        <w:t>SQL analysis file formula issue: as documented in Section 6, the SQL “total_sales” outputs in the original file are not usable at face value and were not carried into the KPI figures in this report; only Excel/Python/Power BI net-sales figures (which agree with each other) were used.</w:t>
      </w:r>
    </w:p>
    <w:p w14:paraId="5A1267A9">
      <w:pPr>
        <w:pStyle w:val="2"/>
        <w:pBdr>
          <w:bottom w:val="single" w:color="2563EB" w:sz="6" w:space="4"/>
        </w:pBdr>
        <w:spacing w:before="480" w:after="200"/>
      </w:pPr>
      <w:r>
        <w:rPr>
          <w:b/>
          <w:bCs/>
          <w:color w:val="1F2937"/>
          <w:sz w:val="30"/>
          <w:szCs w:val="30"/>
        </w:rPr>
        <w:t>18. Future Scope</w:t>
      </w:r>
    </w:p>
    <w:p w14:paraId="66EDAEB2">
      <w:pPr>
        <w:pStyle w:val="16"/>
        <w:numPr>
          <w:ilvl w:val="0"/>
          <w:numId w:val="1"/>
        </w:numPr>
        <w:spacing w:after="90"/>
      </w:pPr>
      <w:r>
        <w:rPr>
          <w:sz w:val="21"/>
          <w:szCs w:val="21"/>
        </w:rPr>
        <w:t>Sales forecasting — feasible only after establishing a genuine time-series with real trend/seasonality; not appropriate on the current flat, noise-dominated series.</w:t>
      </w:r>
    </w:p>
    <w:p w14:paraId="6F5E82E6">
      <w:pPr>
        <w:pStyle w:val="16"/>
        <w:numPr>
          <w:ilvl w:val="0"/>
          <w:numId w:val="1"/>
        </w:numPr>
        <w:spacing w:after="90"/>
      </w:pPr>
      <w:r>
        <w:rPr>
          <w:sz w:val="21"/>
          <w:szCs w:val="21"/>
        </w:rPr>
        <w:t>Customer segmentation (e.g., RFM analysis) — recency, frequency, and monetary value can be calculated from the existing order_date, customer_id, and sales_amount fields.</w:t>
      </w:r>
    </w:p>
    <w:p w14:paraId="5901A5A4">
      <w:pPr>
        <w:pStyle w:val="16"/>
        <w:numPr>
          <w:ilvl w:val="0"/>
          <w:numId w:val="1"/>
        </w:numPr>
        <w:spacing w:after="90"/>
      </w:pPr>
      <w:r>
        <w:rPr>
          <w:sz w:val="21"/>
          <w:szCs w:val="21"/>
        </w:rPr>
        <w:t>Discount effectiveness testing — a controlled experiment (A/B test) on discount depth by category/region to move beyond the correlational finding in Section 10.</w:t>
      </w:r>
    </w:p>
    <w:p w14:paraId="1BE23B72">
      <w:pPr>
        <w:pStyle w:val="16"/>
        <w:numPr>
          <w:ilvl w:val="0"/>
          <w:numId w:val="1"/>
        </w:numPr>
        <w:spacing w:after="90"/>
      </w:pPr>
      <w:r>
        <w:rPr>
          <w:sz w:val="21"/>
          <w:szCs w:val="21"/>
        </w:rPr>
        <w:t>Profitability analysis — achievable once cost-of-goods data is added to the schema.</w:t>
      </w:r>
    </w:p>
    <w:p w14:paraId="5F6453EC">
      <w:pPr>
        <w:pStyle w:val="16"/>
        <w:numPr>
          <w:ilvl w:val="0"/>
          <w:numId w:val="1"/>
        </w:numPr>
        <w:spacing w:after="90"/>
      </w:pPr>
      <w:r>
        <w:rPr>
          <w:sz w:val="21"/>
          <w:szCs w:val="21"/>
        </w:rPr>
        <w:t>Delivery-time root-cause analysis — would benefit from carrier, warehouse, or order-size data not currently captured.</w:t>
      </w:r>
    </w:p>
    <w:p w14:paraId="531BB0D7">
      <w:pPr>
        <w:pStyle w:val="16"/>
        <w:numPr>
          <w:ilvl w:val="0"/>
          <w:numId w:val="1"/>
        </w:numPr>
        <w:spacing w:after="90"/>
      </w:pPr>
      <w:r>
        <w:rPr>
          <w:sz w:val="21"/>
          <w:szCs w:val="21"/>
        </w:rPr>
        <w:t>Anomaly detection on individual high-value or high-discount orders, extending the existing “orders above average sales” SQL query into an automated monitoring view.</w:t>
      </w:r>
    </w:p>
    <w:p w14:paraId="1C146A9C">
      <w:pPr>
        <w:pStyle w:val="16"/>
        <w:numPr>
          <w:ilvl w:val="0"/>
          <w:numId w:val="1"/>
        </w:numPr>
        <w:spacing w:after="90"/>
      </w:pPr>
      <w:r>
        <w:rPr>
          <w:sz w:val="21"/>
          <w:szCs w:val="21"/>
        </w:rPr>
        <w:t>Automated reporting pipeline — scheduling the Python cleaning/feature-engineering script to refresh the Power BI dataset on a recurring basis rather than as a one-time export.</w:t>
      </w:r>
    </w:p>
    <w:p w14:paraId="130E3561">
      <w:pPr>
        <w:pStyle w:val="2"/>
        <w:pBdr>
          <w:bottom w:val="single" w:color="2563EB" w:sz="6" w:space="4"/>
        </w:pBdr>
        <w:spacing w:before="480" w:after="200"/>
      </w:pPr>
      <w:r>
        <w:rPr>
          <w:b/>
          <w:bCs/>
          <w:color w:val="1F2937"/>
          <w:sz w:val="30"/>
          <w:szCs w:val="30"/>
        </w:rPr>
        <w:t>19. Technical Architecture / Workflow</w:t>
      </w:r>
    </w:p>
    <w:p w14:paraId="226C04C4">
      <w:pPr>
        <w:spacing w:after="160" w:line="276" w:lineRule="auto"/>
      </w:pPr>
      <w:r>
        <w:rPr>
          <w:color w:val="1F2937"/>
          <w:sz w:val="21"/>
          <w:szCs w:val="21"/>
        </w:rPr>
        <w:t>Raw Dataset → Excel Data Cleaning → SQL Data Analysis → Python / Pandas Analysis → Power BI Data Visualization → Business Insights → Recommendations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650"/>
      </w:tblGrid>
      <w:tr w14:paraId="3C8C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shd w:val="clear" w:color="auto" w:fill="1F2937"/>
            <w:tcMar>
              <w:top w:w="80" w:type="dxa"/>
              <w:left w:w="120" w:type="dxa"/>
              <w:bottom w:w="80" w:type="dxa"/>
              <w:right w:w="120" w:type="dxa"/>
            </w:tcMar>
            <w:vAlign w:val="center"/>
          </w:tcPr>
          <w:p w14:paraId="0E3CAA05">
            <w:pPr>
              <w:jc w:val="left"/>
            </w:pPr>
            <w:r>
              <w:rPr>
                <w:b/>
                <w:bCs/>
                <w:color w:val="FFFFFF"/>
                <w:sz w:val="20"/>
                <w:szCs w:val="20"/>
              </w:rPr>
              <w:t>Stage</w:t>
            </w:r>
          </w:p>
        </w:tc>
        <w:tc>
          <w:tcPr>
            <w:tcW w:w="6650" w:type="dxa"/>
            <w:shd w:val="clear" w:color="auto" w:fill="1F2937"/>
            <w:tcMar>
              <w:top w:w="80" w:type="dxa"/>
              <w:left w:w="120" w:type="dxa"/>
              <w:bottom w:w="80" w:type="dxa"/>
              <w:right w:w="120" w:type="dxa"/>
            </w:tcMar>
            <w:vAlign w:val="center"/>
          </w:tcPr>
          <w:p w14:paraId="78479D8F">
            <w:pPr>
              <w:jc w:val="left"/>
            </w:pPr>
            <w:r>
              <w:rPr>
                <w:b/>
                <w:bCs/>
                <w:color w:val="FFFFFF"/>
                <w:sz w:val="20"/>
                <w:szCs w:val="20"/>
              </w:rPr>
              <w:t>Purpose</w:t>
            </w:r>
          </w:p>
        </w:tc>
      </w:tr>
      <w:tr w14:paraId="6AFB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EFF3FB"/>
            <w:tcMar>
              <w:top w:w="80" w:type="dxa"/>
              <w:left w:w="120" w:type="dxa"/>
              <w:bottom w:w="80" w:type="dxa"/>
              <w:right w:w="120" w:type="dxa"/>
            </w:tcMar>
            <w:vAlign w:val="center"/>
          </w:tcPr>
          <w:p w14:paraId="0BB5C87D">
            <w:pPr>
              <w:jc w:val="left"/>
            </w:pPr>
            <w:r>
              <w:rPr>
                <w:b w:val="0"/>
                <w:bCs w:val="0"/>
                <w:color w:val="1F2937"/>
                <w:sz w:val="20"/>
                <w:szCs w:val="20"/>
              </w:rPr>
              <w:t>Raw Dataset</w:t>
            </w:r>
          </w:p>
        </w:tc>
        <w:tc>
          <w:tcPr>
            <w:tcW w:w="6650" w:type="dxa"/>
            <w:shd w:val="clear" w:color="auto" w:fill="EFF3FB"/>
            <w:tcMar>
              <w:top w:w="80" w:type="dxa"/>
              <w:left w:w="120" w:type="dxa"/>
              <w:bottom w:w="80" w:type="dxa"/>
              <w:right w:w="120" w:type="dxa"/>
            </w:tcMar>
            <w:vAlign w:val="center"/>
          </w:tcPr>
          <w:p w14:paraId="169B9562">
            <w:pPr>
              <w:jc w:val="left"/>
            </w:pPr>
            <w:r>
              <w:rPr>
                <w:b w:val="0"/>
                <w:bCs w:val="0"/>
                <w:color w:val="1F2937"/>
                <w:sz w:val="20"/>
                <w:szCs w:val="20"/>
              </w:rPr>
              <w:t>Single source of truth: 5,000 order-level records with 10 source fields, ingested as-is for validation.</w:t>
            </w:r>
          </w:p>
        </w:tc>
      </w:tr>
      <w:tr w14:paraId="6210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FFFFFF"/>
            <w:tcMar>
              <w:top w:w="80" w:type="dxa"/>
              <w:left w:w="120" w:type="dxa"/>
              <w:bottom w:w="80" w:type="dxa"/>
              <w:right w:w="120" w:type="dxa"/>
            </w:tcMar>
            <w:vAlign w:val="center"/>
          </w:tcPr>
          <w:p w14:paraId="6A1FE932">
            <w:pPr>
              <w:jc w:val="left"/>
            </w:pPr>
            <w:r>
              <w:rPr>
                <w:b w:val="0"/>
                <w:bCs w:val="0"/>
                <w:color w:val="1F2937"/>
                <w:sz w:val="20"/>
                <w:szCs w:val="20"/>
              </w:rPr>
              <w:t>Excel Data Cleaning</w:t>
            </w:r>
          </w:p>
        </w:tc>
        <w:tc>
          <w:tcPr>
            <w:tcW w:w="6650" w:type="dxa"/>
            <w:shd w:val="clear" w:color="auto" w:fill="FFFFFF"/>
            <w:tcMar>
              <w:top w:w="80" w:type="dxa"/>
              <w:left w:w="120" w:type="dxa"/>
              <w:bottom w:w="80" w:type="dxa"/>
              <w:right w:w="120" w:type="dxa"/>
            </w:tcMar>
            <w:vAlign w:val="center"/>
          </w:tcPr>
          <w:p w14:paraId="537C306E">
            <w:pPr>
              <w:jc w:val="left"/>
            </w:pPr>
            <w:r>
              <w:rPr>
                <w:b w:val="0"/>
                <w:bCs w:val="0"/>
                <w:color w:val="1F2937"/>
                <w:sz w:val="20"/>
                <w:szCs w:val="20"/>
              </w:rPr>
              <w:t>Standardize date types and pre-calculate a net-sales (sales_amount) field for consistent downstream use.</w:t>
            </w:r>
          </w:p>
        </w:tc>
      </w:tr>
      <w:tr w14:paraId="67D2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EFF3FB"/>
            <w:tcMar>
              <w:top w:w="80" w:type="dxa"/>
              <w:left w:w="120" w:type="dxa"/>
              <w:bottom w:w="80" w:type="dxa"/>
              <w:right w:w="120" w:type="dxa"/>
            </w:tcMar>
            <w:vAlign w:val="center"/>
          </w:tcPr>
          <w:p w14:paraId="6F96BE29">
            <w:pPr>
              <w:jc w:val="left"/>
            </w:pPr>
            <w:r>
              <w:rPr>
                <w:b w:val="0"/>
                <w:bCs w:val="0"/>
                <w:color w:val="1F2937"/>
                <w:sz w:val="20"/>
                <w:szCs w:val="20"/>
              </w:rPr>
              <w:t>SQL Data Analysis</w:t>
            </w:r>
          </w:p>
        </w:tc>
        <w:tc>
          <w:tcPr>
            <w:tcW w:w="6650" w:type="dxa"/>
            <w:shd w:val="clear" w:color="auto" w:fill="EFF3FB"/>
            <w:tcMar>
              <w:top w:w="80" w:type="dxa"/>
              <w:left w:w="120" w:type="dxa"/>
              <w:bottom w:w="80" w:type="dxa"/>
              <w:right w:w="120" w:type="dxa"/>
            </w:tcMar>
            <w:vAlign w:val="center"/>
          </w:tcPr>
          <w:p w14:paraId="2D17188C">
            <w:pPr>
              <w:jc w:val="left"/>
            </w:pPr>
            <w:r>
              <w:rPr>
                <w:b w:val="0"/>
                <w:bCs w:val="0"/>
                <w:color w:val="1F2937"/>
                <w:sz w:val="20"/>
                <w:szCs w:val="20"/>
              </w:rPr>
              <w:t>Answer structured business questions via aggregation, ranking, and window functions across performance, category, customer, regional, payment, and time dimensions.</w:t>
            </w:r>
          </w:p>
        </w:tc>
      </w:tr>
      <w:tr w14:paraId="6AA1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FFFFFF"/>
            <w:tcMar>
              <w:top w:w="80" w:type="dxa"/>
              <w:left w:w="120" w:type="dxa"/>
              <w:bottom w:w="80" w:type="dxa"/>
              <w:right w:w="120" w:type="dxa"/>
            </w:tcMar>
            <w:vAlign w:val="center"/>
          </w:tcPr>
          <w:p w14:paraId="7C39E5BB">
            <w:pPr>
              <w:jc w:val="left"/>
            </w:pPr>
            <w:r>
              <w:rPr>
                <w:b w:val="0"/>
                <w:bCs w:val="0"/>
                <w:color w:val="1F2937"/>
                <w:sz w:val="20"/>
                <w:szCs w:val="20"/>
              </w:rPr>
              <w:t>Python / Pandas Analysis</w:t>
            </w:r>
          </w:p>
        </w:tc>
        <w:tc>
          <w:tcPr>
            <w:tcW w:w="6650" w:type="dxa"/>
            <w:shd w:val="clear" w:color="auto" w:fill="FFFFFF"/>
            <w:tcMar>
              <w:top w:w="80" w:type="dxa"/>
              <w:left w:w="120" w:type="dxa"/>
              <w:bottom w:w="80" w:type="dxa"/>
              <w:right w:w="120" w:type="dxa"/>
            </w:tcMar>
            <w:vAlign w:val="center"/>
          </w:tcPr>
          <w:p w14:paraId="0D23FDD7">
            <w:pPr>
              <w:jc w:val="left"/>
            </w:pPr>
            <w:r>
              <w:rPr>
                <w:b w:val="0"/>
                <w:bCs w:val="0"/>
                <w:color w:val="1F2937"/>
                <w:sz w:val="20"/>
                <w:szCs w:val="20"/>
              </w:rPr>
              <w:t>Independently re-validate data quality, engineer additional features (gross sales, discount amount, year/month), and enable statistical checks (correlations) not covered by SQL or Excel.</w:t>
            </w:r>
          </w:p>
        </w:tc>
      </w:tr>
      <w:tr w14:paraId="3D3F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EFF3FB"/>
            <w:tcMar>
              <w:top w:w="80" w:type="dxa"/>
              <w:left w:w="120" w:type="dxa"/>
              <w:bottom w:w="80" w:type="dxa"/>
              <w:right w:w="120" w:type="dxa"/>
            </w:tcMar>
            <w:vAlign w:val="center"/>
          </w:tcPr>
          <w:p w14:paraId="305684F0">
            <w:pPr>
              <w:jc w:val="left"/>
            </w:pPr>
            <w:r>
              <w:rPr>
                <w:b w:val="0"/>
                <w:bCs w:val="0"/>
                <w:color w:val="1F2937"/>
                <w:sz w:val="20"/>
                <w:szCs w:val="20"/>
              </w:rPr>
              <w:t>Power BI Data Visualization</w:t>
            </w:r>
          </w:p>
        </w:tc>
        <w:tc>
          <w:tcPr>
            <w:tcW w:w="6650" w:type="dxa"/>
            <w:shd w:val="clear" w:color="auto" w:fill="EFF3FB"/>
            <w:tcMar>
              <w:top w:w="80" w:type="dxa"/>
              <w:left w:w="120" w:type="dxa"/>
              <w:bottom w:w="80" w:type="dxa"/>
              <w:right w:w="120" w:type="dxa"/>
            </w:tcMar>
            <w:vAlign w:val="center"/>
          </w:tcPr>
          <w:p w14:paraId="3FCFA98A">
            <w:pPr>
              <w:jc w:val="left"/>
            </w:pPr>
            <w:r>
              <w:rPr>
                <w:b w:val="0"/>
                <w:bCs w:val="0"/>
                <w:color w:val="1F2937"/>
                <w:sz w:val="20"/>
                <w:szCs w:val="20"/>
              </w:rPr>
              <w:t>Consolidate KPIs and comparisons into an interactive, five-page dashboard suite for business consumption.</w:t>
            </w:r>
          </w:p>
        </w:tc>
      </w:tr>
      <w:tr w14:paraId="6130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FFFFFF"/>
            <w:tcMar>
              <w:top w:w="80" w:type="dxa"/>
              <w:left w:w="120" w:type="dxa"/>
              <w:bottom w:w="80" w:type="dxa"/>
              <w:right w:w="120" w:type="dxa"/>
            </w:tcMar>
            <w:vAlign w:val="center"/>
          </w:tcPr>
          <w:p w14:paraId="07B60C73">
            <w:pPr>
              <w:jc w:val="left"/>
            </w:pPr>
            <w:r>
              <w:rPr>
                <w:b w:val="0"/>
                <w:bCs w:val="0"/>
                <w:color w:val="1F2937"/>
                <w:sz w:val="20"/>
                <w:szCs w:val="20"/>
              </w:rPr>
              <w:t>Business Insights</w:t>
            </w:r>
          </w:p>
        </w:tc>
        <w:tc>
          <w:tcPr>
            <w:tcW w:w="6650" w:type="dxa"/>
            <w:shd w:val="clear" w:color="auto" w:fill="FFFFFF"/>
            <w:tcMar>
              <w:top w:w="80" w:type="dxa"/>
              <w:left w:w="120" w:type="dxa"/>
              <w:bottom w:w="80" w:type="dxa"/>
              <w:right w:w="120" w:type="dxa"/>
            </w:tcMar>
            <w:vAlign w:val="center"/>
          </w:tcPr>
          <w:p w14:paraId="0AA1DBAD">
            <w:pPr>
              <w:jc w:val="left"/>
            </w:pPr>
            <w:r>
              <w:rPr>
                <w:b w:val="0"/>
                <w:bCs w:val="0"/>
                <w:color w:val="1F2937"/>
                <w:sz w:val="20"/>
                <w:szCs w:val="20"/>
              </w:rPr>
              <w:t>Synthesize cross-tool findings (Section 10) with evidence-based interpretation, including the cross-tool SQL/Python discrepancy this report identified.</w:t>
            </w:r>
          </w:p>
        </w:tc>
      </w:tr>
      <w:tr w14:paraId="5DA89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EFF3FB"/>
            <w:tcMar>
              <w:top w:w="80" w:type="dxa"/>
              <w:left w:w="120" w:type="dxa"/>
              <w:bottom w:w="80" w:type="dxa"/>
              <w:right w:w="120" w:type="dxa"/>
            </w:tcMar>
            <w:vAlign w:val="center"/>
          </w:tcPr>
          <w:p w14:paraId="1B1A7EB1">
            <w:pPr>
              <w:jc w:val="left"/>
            </w:pPr>
            <w:r>
              <w:rPr>
                <w:b w:val="0"/>
                <w:bCs w:val="0"/>
                <w:color w:val="1F2937"/>
                <w:sz w:val="20"/>
                <w:szCs w:val="20"/>
              </w:rPr>
              <w:t>Recommendations</w:t>
            </w:r>
          </w:p>
        </w:tc>
        <w:tc>
          <w:tcPr>
            <w:tcW w:w="6650" w:type="dxa"/>
            <w:shd w:val="clear" w:color="auto" w:fill="EFF3FB"/>
            <w:tcMar>
              <w:top w:w="80" w:type="dxa"/>
              <w:left w:w="120" w:type="dxa"/>
              <w:bottom w:w="80" w:type="dxa"/>
              <w:right w:w="120" w:type="dxa"/>
            </w:tcMar>
            <w:vAlign w:val="center"/>
          </w:tcPr>
          <w:p w14:paraId="602DD83B">
            <w:pPr>
              <w:jc w:val="left"/>
            </w:pPr>
            <w:r>
              <w:rPr>
                <w:b w:val="0"/>
                <w:bCs w:val="0"/>
                <w:color w:val="1F2937"/>
                <w:sz w:val="20"/>
                <w:szCs w:val="20"/>
              </w:rPr>
              <w:t>Translate insights into prioritized, actionable next steps for management (Section 16).</w:t>
            </w:r>
          </w:p>
        </w:tc>
      </w:tr>
    </w:tbl>
    <w:p w14:paraId="1E1E7834">
      <w:pPr>
        <w:pStyle w:val="2"/>
        <w:pBdr>
          <w:bottom w:val="single" w:color="2563EB" w:sz="6" w:space="4"/>
        </w:pBdr>
        <w:spacing w:before="480" w:after="200"/>
      </w:pPr>
      <w:r>
        <w:rPr>
          <w:b/>
          <w:bCs/>
          <w:color w:val="1F2937"/>
          <w:sz w:val="30"/>
          <w:szCs w:val="30"/>
        </w:rPr>
        <w:t>20. Tools &amp; Technologies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50"/>
      </w:tblGrid>
      <w:tr w14:paraId="5CCC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2937"/>
            <w:tcMar>
              <w:top w:w="80" w:type="dxa"/>
              <w:left w:w="120" w:type="dxa"/>
              <w:bottom w:w="80" w:type="dxa"/>
              <w:right w:w="120" w:type="dxa"/>
            </w:tcMar>
            <w:vAlign w:val="center"/>
          </w:tcPr>
          <w:p w14:paraId="3BC7D0E2">
            <w:pPr>
              <w:jc w:val="left"/>
            </w:pPr>
            <w:r>
              <w:rPr>
                <w:b/>
                <w:bCs/>
                <w:color w:val="FFFFFF"/>
                <w:sz w:val="20"/>
                <w:szCs w:val="20"/>
              </w:rPr>
              <w:t>Tool</w:t>
            </w:r>
          </w:p>
        </w:tc>
        <w:tc>
          <w:tcPr>
            <w:tcW w:w="6150" w:type="dxa"/>
            <w:shd w:val="clear" w:color="auto" w:fill="1F2937"/>
            <w:tcMar>
              <w:top w:w="80" w:type="dxa"/>
              <w:left w:w="120" w:type="dxa"/>
              <w:bottom w:w="80" w:type="dxa"/>
              <w:right w:w="120" w:type="dxa"/>
            </w:tcMar>
            <w:vAlign w:val="center"/>
          </w:tcPr>
          <w:p w14:paraId="0506C804">
            <w:pPr>
              <w:jc w:val="left"/>
            </w:pPr>
            <w:r>
              <w:rPr>
                <w:b/>
                <w:bCs/>
                <w:color w:val="FFFFFF"/>
                <w:sz w:val="20"/>
                <w:szCs w:val="20"/>
              </w:rPr>
              <w:t>Purpose</w:t>
            </w:r>
          </w:p>
        </w:tc>
      </w:tr>
      <w:tr w14:paraId="4CAA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FF3FB"/>
            <w:tcMar>
              <w:top w:w="80" w:type="dxa"/>
              <w:left w:w="120" w:type="dxa"/>
              <w:bottom w:w="80" w:type="dxa"/>
              <w:right w:w="120" w:type="dxa"/>
            </w:tcMar>
            <w:vAlign w:val="center"/>
          </w:tcPr>
          <w:p w14:paraId="250A63B7">
            <w:pPr>
              <w:jc w:val="left"/>
            </w:pPr>
            <w:r>
              <w:rPr>
                <w:b w:val="0"/>
                <w:bCs w:val="0"/>
                <w:color w:val="1F2937"/>
                <w:sz w:val="20"/>
                <w:szCs w:val="20"/>
              </w:rPr>
              <w:t>Excel</w:t>
            </w:r>
          </w:p>
        </w:tc>
        <w:tc>
          <w:tcPr>
            <w:tcW w:w="6150" w:type="dxa"/>
            <w:shd w:val="clear" w:color="auto" w:fill="EFF3FB"/>
            <w:tcMar>
              <w:top w:w="80" w:type="dxa"/>
              <w:left w:w="120" w:type="dxa"/>
              <w:bottom w:w="80" w:type="dxa"/>
              <w:right w:w="120" w:type="dxa"/>
            </w:tcMar>
            <w:vAlign w:val="center"/>
          </w:tcPr>
          <w:p w14:paraId="3B869F41">
            <w:pPr>
              <w:jc w:val="left"/>
            </w:pPr>
            <w:r>
              <w:rPr>
                <w:b w:val="0"/>
                <w:bCs w:val="0"/>
                <w:color w:val="1F2937"/>
                <w:sz w:val="20"/>
                <w:szCs w:val="20"/>
              </w:rPr>
              <w:t>Data cleaning, date standardization, and net-sales calculation</w:t>
            </w:r>
          </w:p>
        </w:tc>
      </w:tr>
      <w:tr w14:paraId="18DB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20" w:type="dxa"/>
              <w:bottom w:w="80" w:type="dxa"/>
              <w:right w:w="120" w:type="dxa"/>
            </w:tcMar>
            <w:vAlign w:val="center"/>
          </w:tcPr>
          <w:p w14:paraId="094735F7">
            <w:pPr>
              <w:jc w:val="left"/>
            </w:pPr>
            <w:r>
              <w:rPr>
                <w:b w:val="0"/>
                <w:bCs w:val="0"/>
                <w:color w:val="1F2937"/>
                <w:sz w:val="20"/>
                <w:szCs w:val="20"/>
              </w:rPr>
              <w:t>SQL (PostgreSQL syntax)</w:t>
            </w:r>
          </w:p>
        </w:tc>
        <w:tc>
          <w:tcPr>
            <w:tcW w:w="6150" w:type="dxa"/>
            <w:shd w:val="clear" w:color="auto" w:fill="FFFFFF"/>
            <w:tcMar>
              <w:top w:w="80" w:type="dxa"/>
              <w:left w:w="120" w:type="dxa"/>
              <w:bottom w:w="80" w:type="dxa"/>
              <w:right w:w="120" w:type="dxa"/>
            </w:tcMar>
            <w:vAlign w:val="center"/>
          </w:tcPr>
          <w:p w14:paraId="62301082">
            <w:pPr>
              <w:jc w:val="left"/>
            </w:pPr>
            <w:r>
              <w:rPr>
                <w:b w:val="0"/>
                <w:bCs w:val="0"/>
                <w:color w:val="1F2937"/>
                <w:sz w:val="20"/>
                <w:szCs w:val="20"/>
              </w:rPr>
              <w:t>Data querying, aggregation, ranking (RANK()), and window functions (LAG())</w:t>
            </w:r>
          </w:p>
        </w:tc>
      </w:tr>
      <w:tr w14:paraId="6B922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FF3FB"/>
            <w:tcMar>
              <w:top w:w="80" w:type="dxa"/>
              <w:left w:w="120" w:type="dxa"/>
              <w:bottom w:w="80" w:type="dxa"/>
              <w:right w:w="120" w:type="dxa"/>
            </w:tcMar>
            <w:vAlign w:val="center"/>
          </w:tcPr>
          <w:p w14:paraId="4C7D20B1">
            <w:pPr>
              <w:jc w:val="left"/>
            </w:pPr>
            <w:r>
              <w:rPr>
                <w:b w:val="0"/>
                <w:bCs w:val="0"/>
                <w:color w:val="1F2937"/>
                <w:sz w:val="20"/>
                <w:szCs w:val="20"/>
              </w:rPr>
              <w:t>Python</w:t>
            </w:r>
          </w:p>
        </w:tc>
        <w:tc>
          <w:tcPr>
            <w:tcW w:w="6150" w:type="dxa"/>
            <w:shd w:val="clear" w:color="auto" w:fill="EFF3FB"/>
            <w:tcMar>
              <w:top w:w="80" w:type="dxa"/>
              <w:left w:w="120" w:type="dxa"/>
              <w:bottom w:w="80" w:type="dxa"/>
              <w:right w:w="120" w:type="dxa"/>
            </w:tcMar>
            <w:vAlign w:val="center"/>
          </w:tcPr>
          <w:p w14:paraId="0C175FAE">
            <w:pPr>
              <w:jc w:val="left"/>
            </w:pPr>
            <w:r>
              <w:rPr>
                <w:b w:val="0"/>
                <w:bCs w:val="0"/>
                <w:color w:val="1F2937"/>
                <w:sz w:val="20"/>
                <w:szCs w:val="20"/>
              </w:rPr>
              <w:t>Data processing, validation, feature engineering, and exploratory analysis</w:t>
            </w:r>
          </w:p>
        </w:tc>
      </w:tr>
      <w:tr w14:paraId="642C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20" w:type="dxa"/>
              <w:bottom w:w="80" w:type="dxa"/>
              <w:right w:w="120" w:type="dxa"/>
            </w:tcMar>
            <w:vAlign w:val="center"/>
          </w:tcPr>
          <w:p w14:paraId="17709C95">
            <w:pPr>
              <w:jc w:val="left"/>
            </w:pPr>
            <w:r>
              <w:rPr>
                <w:b w:val="0"/>
                <w:bCs w:val="0"/>
                <w:color w:val="1F2937"/>
                <w:sz w:val="20"/>
                <w:szCs w:val="20"/>
              </w:rPr>
              <w:t>Pandas</w:t>
            </w:r>
          </w:p>
        </w:tc>
        <w:tc>
          <w:tcPr>
            <w:tcW w:w="6150" w:type="dxa"/>
            <w:shd w:val="clear" w:color="auto" w:fill="FFFFFF"/>
            <w:tcMar>
              <w:top w:w="80" w:type="dxa"/>
              <w:left w:w="120" w:type="dxa"/>
              <w:bottom w:w="80" w:type="dxa"/>
              <w:right w:w="120" w:type="dxa"/>
            </w:tcMar>
            <w:vAlign w:val="center"/>
          </w:tcPr>
          <w:p w14:paraId="0436FE90">
            <w:pPr>
              <w:jc w:val="left"/>
            </w:pPr>
            <w:r>
              <w:rPr>
                <w:b w:val="0"/>
                <w:bCs w:val="0"/>
                <w:color w:val="1F2937"/>
                <w:sz w:val="20"/>
                <w:szCs w:val="20"/>
              </w:rPr>
              <w:t>Data manipulation, grouping, and statistical calculations within Python</w:t>
            </w:r>
          </w:p>
        </w:tc>
      </w:tr>
      <w:tr w14:paraId="2CAC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FF3FB"/>
            <w:tcMar>
              <w:top w:w="80" w:type="dxa"/>
              <w:left w:w="120" w:type="dxa"/>
              <w:bottom w:w="80" w:type="dxa"/>
              <w:right w:w="120" w:type="dxa"/>
            </w:tcMar>
            <w:vAlign w:val="center"/>
          </w:tcPr>
          <w:p w14:paraId="64D6BCCD">
            <w:pPr>
              <w:jc w:val="left"/>
            </w:pPr>
            <w:r>
              <w:rPr>
                <w:b w:val="0"/>
                <w:bCs w:val="0"/>
                <w:color w:val="1F2937"/>
                <w:sz w:val="20"/>
                <w:szCs w:val="20"/>
              </w:rPr>
              <w:t>Power BI</w:t>
            </w:r>
          </w:p>
        </w:tc>
        <w:tc>
          <w:tcPr>
            <w:tcW w:w="6150" w:type="dxa"/>
            <w:shd w:val="clear" w:color="auto" w:fill="EFF3FB"/>
            <w:tcMar>
              <w:top w:w="80" w:type="dxa"/>
              <w:left w:w="120" w:type="dxa"/>
              <w:bottom w:w="80" w:type="dxa"/>
              <w:right w:w="120" w:type="dxa"/>
            </w:tcMar>
            <w:vAlign w:val="center"/>
          </w:tcPr>
          <w:p w14:paraId="098A4720">
            <w:pPr>
              <w:jc w:val="left"/>
            </w:pPr>
            <w:r>
              <w:rPr>
                <w:b w:val="0"/>
                <w:bCs w:val="0"/>
                <w:color w:val="1F2937"/>
                <w:sz w:val="20"/>
                <w:szCs w:val="20"/>
              </w:rPr>
              <w:t>Interactive dashboarding and business intelligence visualization</w:t>
            </w:r>
          </w:p>
        </w:tc>
      </w:tr>
    </w:tbl>
    <w:p w14:paraId="51E05571">
      <w:pPr>
        <w:pStyle w:val="2"/>
        <w:pBdr>
          <w:bottom w:val="single" w:color="2563EB" w:sz="6" w:space="4"/>
        </w:pBdr>
        <w:spacing w:before="480" w:after="200"/>
      </w:pPr>
      <w:r>
        <w:rPr>
          <w:b/>
          <w:bCs/>
          <w:color w:val="1F2937"/>
          <w:sz w:val="30"/>
          <w:szCs w:val="30"/>
        </w:rPr>
        <w:t>21. Final Conclusion</w:t>
      </w:r>
    </w:p>
    <w:p w14:paraId="1E982B3C">
      <w:pPr>
        <w:spacing w:after="160" w:line="276" w:lineRule="auto"/>
      </w:pPr>
      <w:r>
        <w:rPr>
          <w:color w:val="1F2937"/>
          <w:sz w:val="21"/>
          <w:szCs w:val="21"/>
        </w:rPr>
        <w:t>This project analyzed 5,000 sales orders across four product categories, four regions, and three payment methods, moving the same dataset through Excel, SQL, Python, and Power BI and cross-checking the results at each stage. The core commercial picture is consistent and well-supported: ₹5.11M in net sales, an average order value of ₹1,022, an 18.0% average discount rate, and a customer base with high repeat-purchase activity (96.1%) but low revenue concentration in any single account.</w:t>
      </w:r>
    </w:p>
    <w:p w14:paraId="0E28A6A8">
      <w:pPr>
        <w:spacing w:after="160" w:line="276" w:lineRule="auto"/>
      </w:pPr>
      <w:r>
        <w:rPr>
          <w:color w:val="1F2937"/>
          <w:sz w:val="21"/>
          <w:szCs w:val="21"/>
        </w:rPr>
        <w:t>The analysis also surfaced two findings that matter more than any single KPI: discounting in this dataset is associated with lower, not higher, net sales, and the SQL layer contains a formula error that materially understates reported sales unless corrected. Both were found precisely because the workflow ran the same numbers through multiple independent tools and compared them — the core value of the Excel → SQL → Python → Power BI pipeline demonstrated in this project is not any single stage, but the cross-validation that emerges from doing all four.</w:t>
      </w:r>
    </w:p>
    <w:p w14:paraId="08CD66B6">
      <w:pPr>
        <w:spacing w:after="160" w:line="276" w:lineRule="auto"/>
      </w:pPr>
      <w:r>
        <w:rPr>
          <w:color w:val="1F2937"/>
          <w:sz w:val="21"/>
          <w:szCs w:val="21"/>
        </w:rPr>
        <w:t>With the limitations in Section 17 addressed — particularly the addition of cost data and a genuine time-series — this same workflow is directly extensible to profitability analysis, forecasting, and customer segmentation, as outlined in Section 18.</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80373">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9B35B">
    <w:pPr>
      <w:jc w:val="right"/>
    </w:pPr>
    <w:r>
      <w:rPr>
        <w:color w:val="6B7280"/>
        <w:sz w:val="15"/>
        <w:szCs w:val="15"/>
      </w:rPr>
      <w:t>Sales Performance Analytics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739DB0"/>
    <w:multiLevelType w:val="singleLevel"/>
    <w:tmpl w:val="DA739DB0"/>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50F11E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518</Words>
  <Characters>3072</Characters>
  <TotalTime>8</TotalTime>
  <ScaleCrop>false</ScaleCrop>
  <LinksUpToDate>false</LinksUpToDate>
  <CharactersWithSpaces>3546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2026-08-29T03:31:00Z</dcterms:created>
  <dc:creator>Un-named</dc:creator>
  <cp:lastModifiedBy>masum</cp:lastModifiedBy>
  <dcterms:modified xsi:type="dcterms:W3CDTF">2026-08-29T06:16:15Z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eyJoZGlkIjoiOGRlYzM4OGVhNGY1NmViMDAwOTQ5OWEyOTc0ZWM3NTIifQ==</vt:lpwstr>
  </property>
  <property fmtid="{D5CDD505-2E9C-101B-9397-08002B2CF9AE}" pid="3" name="KSOProductBuildVer">
    <vt:lpwstr>1033-12.1.0.28032</vt:lpwstr>
  </property>
  <property fmtid="{D5CDD505-2E9C-101B-9397-08002B2CF9AE}" pid="4" name="ICV">
    <vt:lpwstr>B512621C9087483089F4ED6B43A57BD6_12</vt:lpwstr>
  </property>
</Properties>
</file>