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Yu Gothic" w:cs="Yu Gothic" w:eastAsia="Yu Gothic" w:hAnsi="Yu Gothic"/>
          <w:sz w:val="22"/>
          <w:szCs w:val="22"/>
        </w:rPr>
        <w:t xml:space="preserve">研究計画書</w:t>
      </w:r>
    </w:p>
    <w:p>
      <w:pPr>
        <w:spacing w:after="60"/>
        <w:jc w:val="center"/>
      </w:pPr>
      <w:r>
        <w:rPr>
          <w:rFonts w:ascii="Yu Gothic" w:cs="Yu Gothic" w:eastAsia="Yu Gothic" w:hAnsi="Yu Gothic"/>
          <w:b/>
          <w:bCs/>
          <w:sz w:val="30"/>
          <w:szCs w:val="30"/>
        </w:rPr>
        <w:t xml:space="preserve">Tonal World Models: 音楽生成 Transformer における調の内部状態の因果的検証</w:t>
      </w:r>
    </w:p>
    <w:p>
      <w:pPr>
        <w:spacing w:after="40"/>
        <w:jc w:val="center"/>
      </w:pPr>
      <w:r>
        <w:rPr>
          <w:rFonts w:ascii="Yu Gothic" w:cs="Yu Gothic" w:eastAsia="Yu Gothic" w:hAnsi="Yu Gothic"/>
          <w:i/>
          <w:iCs/>
          <w:sz w:val="22"/>
          <w:szCs w:val="22"/>
        </w:rPr>
        <w:t xml:space="preserve">Does a Music Transformer Know What Key It Is In?</w:t>
      </w:r>
    </w:p>
    <w:p>
      <w:pPr>
        <w:spacing w:after="240"/>
        <w:jc w:val="center"/>
      </w:pPr>
      <w:r>
        <w:rPr>
          <w:rFonts w:ascii="Yu Mincho" w:cs="Yu Mincho" w:eastAsia="Yu Mincho" w:hAnsi="Yu Mincho"/>
          <w:sz w:val="19"/>
          <w:szCs w:val="19"/>
        </w:rPr>
        <w:t xml:space="preserve">増山弦樹（北海道大学大学院 情報科学院 M1）　2026-07-11 draft v0.1　投稿先：ICASSP 2027 / IEEE OJSP</w:t>
      </w:r>
    </w:p>
    <w:p>
      <w:pPr>
        <w:pStyle w:val="Heading1"/>
        <w:spacing w:after="140" w:before="280"/>
      </w:pPr>
      <w:r>
        <w:rPr>
          <w:rFonts w:ascii="Yu Gothic" w:cs="Yu Gothic" w:eastAsia="Yu Gothic" w:hAnsi="Yu Gothic"/>
          <w:b/>
          <w:bCs/>
          <w:sz w:val="26"/>
          <w:szCs w:val="26"/>
        </w:rPr>
        <w:t xml:space="preserve">要旨</w:t>
      </w:r>
    </w:p>
    <w:p>
      <w:pPr>
        <w:spacing w:after="120" w:line="300"/>
        <w:jc w:val="both"/>
      </w:pPr>
      <w:r>
        <w:rPr>
          <w:rFonts w:ascii="Yu Mincho" w:cs="Yu Mincho" w:eastAsia="Yu Mincho" w:hAnsi="Yu Mincho"/>
          <w:b w:val="false"/>
          <w:bCs w:val="false"/>
          <w:i w:val="false"/>
          <w:iCs w:val="false"/>
          <w:sz w:val="21"/>
          <w:szCs w:val="21"/>
        </w:rPr>
        <w:t xml:space="preserve">音楽生成 Transformer が「現在の調（key）」という潜在状態を内部に保持し、生成に因果的に使用しているかを検証する。方法論は Othello-GPT（Li et al., 2023）で確立された世界モデル介入パラダイム——状態の probing に留まらず、状態表現を書き換えて下流の生成が書き換え後の状態に整合するかを見る——の音楽への初の適用である。機能和声文法による合成コーパス（全トークンに正解 key ラベル）で小型 GPT を統制訓練し、(A) 入力表層ベースラインを統制した key probing と移調同変性の幾何解析、(B) key 部分空間への標的編集による継続生成の転調誘導、(C) 編集後状態の持続動態、を測定する。介入成功の判定は、rank・norm を揃えたランダム部分空間統制との差、および参照モデル perplexity による musicality guard を条件とする事前登録型の決定規則に従う。本研究は、生成モデルの調性処理が状態のシミュレーションか表層統計かという音楽 AI の基礎的問いに初の因果的証拠を与えるとともに、転調という状態遷移文法の存在により、Othello 型世界モデル研究を「遷移に文法がある状態空間」へ拡張する。</w:t>
      </w:r>
    </w:p>
    <w:p>
      <w:pPr>
        <w:pStyle w:val="Heading1"/>
        <w:spacing w:after="140" w:before="280"/>
      </w:pPr>
      <w:r>
        <w:rPr>
          <w:rFonts w:ascii="Yu Gothic" w:cs="Yu Gothic" w:eastAsia="Yu Gothic" w:hAnsi="Yu Gothic"/>
          <w:b/>
          <w:bCs/>
          <w:sz w:val="26"/>
          <w:szCs w:val="26"/>
        </w:rPr>
        <w:t xml:space="preserve">1. 背景と問い</w:t>
      </w:r>
    </w:p>
    <w:p>
      <w:pPr>
        <w:spacing w:after="120" w:line="300"/>
        <w:jc w:val="both"/>
      </w:pPr>
      <w:r>
        <w:rPr>
          <w:rFonts w:ascii="Yu Mincho" w:cs="Yu Mincho" w:eastAsia="Yu Mincho" w:hAnsi="Yu Mincho"/>
          <w:b w:val="false"/>
          <w:bCs w:val="false"/>
          <w:i w:val="false"/>
          <w:iCs w:val="false"/>
          <w:sz w:val="21"/>
          <w:szCs w:val="21"/>
        </w:rPr>
        <w:t xml:space="preserve">大規模生成モデルが訓練データの背後にある世界の状態を内部にシミュレートするか（世界モデル仮説）は、interpretability の中心的問いである。Othello-GPT は棋譜のみから盤面状態の線形表現が創発し、その表現への介入が以降の予測を整合的に変えることを示した。この「probe で読む → 介入で書く → 下流整合性で検証する」というパラダイムは、その後チェス、迷路、強化学習世界モデル、マルチモーダル LLM、時系列基盤モデルへと展開されたが、音楽への適用は存在しない（2026 年 7 月時点の調査）。</w:t>
      </w:r>
    </w:p>
    <w:p>
      <w:pPr>
        <w:spacing w:after="120" w:line="300"/>
        <w:jc w:val="both"/>
      </w:pPr>
      <w:r>
        <w:rPr>
          <w:rFonts w:ascii="Yu Mincho" w:cs="Yu Mincho" w:eastAsia="Yu Mincho" w:hAnsi="Yu Mincho"/>
          <w:b w:val="false"/>
          <w:bCs w:val="false"/>
          <w:i w:val="false"/>
          <w:iCs w:val="false"/>
          <w:sz w:val="21"/>
          <w:szCs w:val="21"/>
        </w:rPr>
        <w:t xml:space="preserve">音楽はこの問いに対し例外的に良い基質である。第一に、状態（調・拍節位置・和声機能）が音楽理論と知覚心理学（Krumhansl 系）によりモデルから独立に定義済みである。第二に、機能和声文法からの合成データにより全トークンに正解状態ラベルが付与できる（Othello の合成棋譜と同型）。第三に、diatonic scale membership（in-key ratio）という「合法手率」の自然な対応物が存在する。第四に——Othello を超える点として——状態遷移（転調）自体に文法があり、介入後にモデルが即座に飛ぶか音楽的経過を挿入するかという、状態遷移の様式に関する新しい問いが立つ。</w:t>
      </w:r>
    </w:p>
    <w:p>
      <w:pPr>
        <w:spacing w:after="120" w:line="300"/>
        <w:jc w:val="both"/>
      </w:pPr>
      <w:r>
        <w:rPr>
          <w:rFonts w:ascii="Yu Mincho" w:cs="Yu Mincho" w:eastAsia="Yu Mincho" w:hAnsi="Yu Mincho"/>
          <w:b w:val="false"/>
          <w:bCs w:val="false"/>
          <w:i w:val="false"/>
          <w:iCs w:val="false"/>
          <w:sz w:val="21"/>
          <w:szCs w:val="21"/>
        </w:rPr>
        <w:t xml:space="preserve">申請者の先行研究（ISMIR 2026 投稿 #214・ITE MTA 投稿中）は、表層的な音楽因子（note-onset density）について「probe で読める場所と介入が効く場所は一致しない」ことを示した。本研究はその問いを表層因子から状態変数へ昇格させるものであり、activation caching・probing・介入・統計検定のパイプライン資産を直接継承する。</w:t>
      </w:r>
    </w:p>
    <w:p>
      <w:pPr>
        <w:pStyle w:val="Heading1"/>
        <w:spacing w:after="140" w:before="280"/>
      </w:pPr>
      <w:r>
        <w:rPr>
          <w:rFonts w:ascii="Yu Gothic" w:cs="Yu Gothic" w:eastAsia="Yu Gothic" w:hAnsi="Yu Gothic"/>
          <w:b/>
          <w:bCs/>
          <w:sz w:val="26"/>
          <w:szCs w:val="26"/>
        </w:rPr>
        <w:t xml:space="preserve">2. 関連研究と新規性</w:t>
      </w:r>
    </w:p>
    <w:p>
      <w:pPr>
        <w:pStyle w:val="ListParagraph"/>
        <w:numPr>
          <w:ilvl w:val="0"/>
          <w:numId w:val="2"/>
        </w:numPr>
        <w:spacing w:after="80" w:line="300"/>
      </w:pPr>
      <w:r>
        <w:rPr>
          <w:rFonts w:ascii="Yu Mincho" w:cs="Yu Mincho" w:eastAsia="Yu Mincho" w:hAnsi="Yu Mincho"/>
          <w:sz w:val="21"/>
          <w:szCs w:val="21"/>
        </w:rPr>
        <w:t xml:space="preserve">世界モデル介入：Othello-GPT（Li et al. 2023）、線形再解析（Nanda 2023：符号化座標系を mine/yours に変えると線形化）、チェス（McGrath et al.; Karvonen 2024）、迷路（2024–25）、RL 世界モデル（IRIS/DIAMOND 解析, 2026）、MetaOthello（2026）。</w:t>
      </w:r>
    </w:p>
    <w:p>
      <w:pPr>
        <w:pStyle w:val="ListParagraph"/>
        <w:numPr>
          <w:ilvl w:val="0"/>
          <w:numId w:val="2"/>
        </w:numPr>
        <w:spacing w:after="80" w:line="300"/>
      </w:pPr>
      <w:r>
        <w:rPr>
          <w:rFonts w:ascii="Yu Mincho" w:cs="Yu Mincho" w:eastAsia="Yu Mincho" w:hAnsi="Yu Mincho"/>
          <w:sz w:val="21"/>
          <w:szCs w:val="21"/>
        </w:rPr>
        <w:t xml:space="preserve">音楽モデルの probing（readability 側のみ）：SynTheory（Wei et al. 2024）、Ma &amp; Xia（2024）ほか。介入による状態検証は未実施。</w:t>
      </w:r>
    </w:p>
    <w:p>
      <w:pPr>
        <w:pStyle w:val="ListParagraph"/>
        <w:numPr>
          <w:ilvl w:val="0"/>
          <w:numId w:val="2"/>
        </w:numPr>
        <w:spacing w:after="80" w:line="300"/>
      </w:pPr>
      <w:r>
        <w:rPr>
          <w:rFonts w:ascii="Yu Mincho" w:cs="Yu Mincho" w:eastAsia="Yu Mincho" w:hAnsi="Yu Mincho"/>
          <w:sz w:val="21"/>
          <w:szCs w:val="21"/>
        </w:rPr>
        <w:t xml:space="preserve">音楽モデルの steering：MusicRFM（ICLR 2026）、SMITIN（2024）等は属性制御が目的であり、状態変数の因果的検証という問題設定を持たない。</w:t>
      </w:r>
    </w:p>
    <w:p>
      <w:pPr>
        <w:spacing w:after="160" w:line="300"/>
        <w:jc w:val="both"/>
      </w:pPr>
      <w:r>
        <w:rPr>
          <w:rFonts w:ascii="Yu Mincho" w:cs="Yu Mincho" w:eastAsia="Yu Mincho" w:hAnsi="Yu Mincho"/>
          <w:b w:val="false"/>
          <w:bCs w:val="false"/>
          <w:i w:val="false"/>
          <w:iCs w:val="false"/>
          <w:sz w:val="21"/>
          <w:szCs w:val="21"/>
        </w:rPr>
        <w:t xml:space="preserve">新規性：(1) 世界モデル介入パラダイムの音楽への初適用、(2) 移調同変性という群構造を用いた符号化形式の検定（Nanda の mine/yours 発見の音楽版）、(3) 訓練時 augmentation を操作変数とした符号化形式の因果的検証（H2b）、(4) 状態遷移文法を持つ状態空間への世界モデル研究の拡張（H4）。</w:t>
      </w:r>
    </w:p>
    <w:p>
      <w:pPr>
        <w:pStyle w:val="Heading1"/>
        <w:spacing w:after="140" w:before="280"/>
      </w:pPr>
      <w:r>
        <w:rPr>
          <w:rFonts w:ascii="Yu Gothic" w:cs="Yu Gothic" w:eastAsia="Yu Gothic" w:hAnsi="Yu Gothic"/>
          <w:b/>
          <w:bCs/>
          <w:sz w:val="26"/>
          <w:szCs w:val="26"/>
        </w:rPr>
        <w:t xml:space="preserve">3. 仮説と判定規則</w:t>
      </w:r>
    </w:p>
    <w:p>
      <w:pPr>
        <w:spacing w:after="140" w:line="300"/>
        <w:jc w:val="both"/>
      </w:pPr>
      <w:r>
        <w:rPr>
          <w:rFonts w:ascii="Yu Mincho" w:cs="Yu Mincho" w:eastAsia="Yu Mincho" w:hAnsi="Yu Mincho"/>
          <w:b w:val="false"/>
          <w:bCs w:val="false"/>
          <w:i w:val="false"/>
          <w:iCs w:val="false"/>
          <w:sz w:val="21"/>
          <w:szCs w:val="21"/>
        </w:rPr>
        <w:t xml:space="preserve">全仮説は反証可能な形で定式化し、判定規則（decision rule）は実験開始前に SPEC.md に凍結する。閾値は結果の予測ではなく事前の決定規則である。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shd w:fill="EFEFEF" w:val="clear"/>
            <w:tcMar>
              <w:top w:type="dxa" w:w="60"/>
              <w:left w:type="dxa" w:w="100"/>
              <w:bottom w:type="dxa" w:w="60"/>
              <w:right w:type="dxa" w:w="100"/>
            </w:tcMar>
          </w:tcPr>
          <w:p>
            <w:pPr>
              <w:spacing w:after="0" w:line="260"/>
            </w:pPr>
            <w:r>
              <w:rPr>
                <w:rFonts w:ascii="Yu Mincho" w:cs="Yu Mincho" w:eastAsia="Yu Mincho" w:hAnsi="Yu Mincho"/>
                <w:b/>
                <w:bCs/>
                <w:sz w:val="19"/>
                <w:szCs w:val="19"/>
              </w:rPr>
              <w:t xml:space="preserve">ID</w:t>
            </w:r>
          </w:p>
        </w:tc>
        <w:tc>
          <w:tcPr>
            <w:tcW w:type="dxa" w:w="3200"/>
            <w:shd w:fill="EFEFEF" w:val="clear"/>
            <w:tcMar>
              <w:top w:type="dxa" w:w="60"/>
              <w:left w:type="dxa" w:w="100"/>
              <w:bottom w:type="dxa" w:w="60"/>
              <w:right w:type="dxa" w:w="100"/>
            </w:tcMar>
          </w:tcPr>
          <w:p>
            <w:pPr>
              <w:spacing w:after="0" w:line="260"/>
            </w:pPr>
            <w:r>
              <w:rPr>
                <w:rFonts w:ascii="Yu Mincho" w:cs="Yu Mincho" w:eastAsia="Yu Mincho" w:hAnsi="Yu Mincho"/>
                <w:b/>
                <w:bCs/>
                <w:sz w:val="19"/>
                <w:szCs w:val="19"/>
              </w:rPr>
              <w:t xml:space="preserve">仮説</w:t>
            </w:r>
          </w:p>
        </w:tc>
        <w:tc>
          <w:tcPr>
            <w:tcW w:type="dxa" w:w="5260"/>
            <w:shd w:fill="EFEFEF" w:val="clear"/>
            <w:tcMar>
              <w:top w:type="dxa" w:w="60"/>
              <w:left w:type="dxa" w:w="100"/>
              <w:bottom w:type="dxa" w:w="60"/>
              <w:right w:type="dxa" w:w="100"/>
            </w:tcMar>
          </w:tcPr>
          <w:p>
            <w:pPr>
              <w:spacing w:after="0" w:line="260"/>
            </w:pPr>
            <w:r>
              <w:rPr>
                <w:rFonts w:ascii="Yu Mincho" w:cs="Yu Mincho" w:eastAsia="Yu Mincho" w:hAnsi="Yu Mincho"/>
                <w:b/>
                <w:bCs/>
                <w:sz w:val="19"/>
                <w:szCs w:val="19"/>
              </w:rPr>
              <w:t xml:space="preserve">反証条件 / 判定規則（SPEC 記載の事前決定規則）</w:t>
            </w:r>
          </w:p>
        </w:tc>
      </w:tr>
      <w:tr>
        <w:tc>
          <w:tcPr>
            <w:tcW w:type="dxa" w:w="9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H1</w:t>
            </w:r>
          </w:p>
        </w:tc>
        <w:tc>
          <w:tcPr>
            <w:tcW w:type="dxa" w:w="32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存在：内部活性から key が復号でき、入力表層ベースライン（PC ヒストグラム / Krumhansl-Schmuckler）を上回る</w:t>
            </w:r>
          </w:p>
        </w:tc>
        <w:tc>
          <w:tcPr>
            <w:tcW w:type="dxa" w:w="526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全層で selectivity 補正後 probe が最良入力ベースラインを上回らなければ不支持（DR-H1、系列単位 bootstrap 95%CI）</w:t>
            </w:r>
          </w:p>
        </w:tc>
      </w:tr>
      <w:tr>
        <w:tc>
          <w:tcPr>
            <w:tcW w:type="dxa" w:w="9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H2</w:t>
            </w:r>
          </w:p>
        </w:tc>
        <w:tc>
          <w:tcPr>
            <w:tcW w:type="dxa" w:w="32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符号化形式：key 表現は移調同変（線形写像 R_k が巡回群構造をなす）。H2b：移調 augmentation が同変性を強める</w:t>
            </w:r>
          </w:p>
        </w:tc>
        <w:tc>
          <w:tcPr>
            <w:tcW w:type="dxa" w:w="526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巡回性誤差 ε_cyc の R-Aug &lt; R-NoAug 比較（DR-H2b、seed 横断 Wilcoxon 片側）</w:t>
            </w:r>
          </w:p>
        </w:tc>
      </w:tr>
      <w:tr>
        <w:tc>
          <w:tcPr>
            <w:tcW w:type="dxa" w:w="9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H3</w:t>
            </w:r>
          </w:p>
        </w:tc>
        <w:tc>
          <w:tcPr>
            <w:tcW w:type="dxa" w:w="32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因果性：key 部分空間の編集が継続生成の key を標的へ移す</w:t>
            </w:r>
          </w:p>
        </w:tc>
        <w:tc>
          <w:tcPr>
            <w:tcW w:type="dxa" w:w="526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TKR(edit) − TKR(統制) &gt; 0 が 12 標的中 8 以上で Holm 補正 p&lt;.05、かつ musicality guard 予算内（DR-H3）</w:t>
            </w:r>
          </w:p>
        </w:tc>
      </w:tr>
      <w:tr>
        <w:tc>
          <w:tcPr>
            <w:tcW w:type="dxa" w:w="9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H4</w:t>
            </w:r>
          </w:p>
        </w:tc>
        <w:tc>
          <w:tcPr>
            <w:tcW w:type="dxa" w:w="32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動態：one-shot 編集後の状態は持続 / 再主張 / 経過的遷移のいずれかに分類できる（OJSP 拡張）</w:t>
            </w:r>
          </w:p>
        </w:tc>
        <w:tc>
          <w:tcPr>
            <w:tcW w:type="dxa" w:w="526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分類不能・全パターン混在でも記述的知見として報告（探索的）</w:t>
            </w:r>
          </w:p>
        </w:tc>
      </w:tr>
      <w:tr>
        <w:tc>
          <w:tcPr>
            <w:tcW w:type="dxa" w:w="9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H5</w:t>
            </w:r>
          </w:p>
        </w:tc>
        <w:tc>
          <w:tcPr>
            <w:tcW w:type="dxa" w:w="32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局在：causal に有効な編集層は限られた層帯に局在する</w:t>
            </w:r>
          </w:p>
        </w:tc>
        <w:tc>
          <w:tcPr>
            <w:tcW w:type="dxa" w:w="526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最良層効果量が層中央値を bootstrap CI で上回るか（DR-H5）</w:t>
            </w:r>
          </w:p>
        </w:tc>
      </w:tr>
    </w:tbl>
    <w:p>
      <w:pPr>
        <w:spacing w:after="60" w:line="300"/>
        <w:jc w:val="both"/>
      </w:pPr>
      <w:r>
        <w:rPr>
          <w:rFonts w:ascii="Yu Mincho" w:cs="Yu Mincho" w:eastAsia="Yu Mincho" w:hAnsi="Yu Mincho"/>
          <w:b w:val="false"/>
          <w:bCs w:val="false"/>
          <w:i w:val="false"/>
          <w:iCs w:val="false"/>
          <w:sz w:val="21"/>
          <w:szCs w:val="21"/>
        </w:rPr>
        <w:t xml:space="preserve"/>
      </w:r>
    </w:p>
    <w:p>
      <w:pPr>
        <w:pStyle w:val="Heading1"/>
        <w:spacing w:after="140" w:before="280"/>
      </w:pPr>
      <w:r>
        <w:rPr>
          <w:rFonts w:ascii="Yu Gothic" w:cs="Yu Gothic" w:eastAsia="Yu Gothic" w:hAnsi="Yu Gothic"/>
          <w:b/>
          <w:bCs/>
          <w:sz w:val="26"/>
          <w:szCs w:val="26"/>
        </w:rPr>
        <w:t xml:space="preserve">4. 手法</w:t>
      </w:r>
    </w:p>
    <w:p>
      <w:pPr>
        <w:pStyle w:val="Heading2"/>
        <w:spacing w:after="100" w:before="220"/>
      </w:pPr>
      <w:r>
        <w:rPr>
          <w:rFonts w:ascii="Yu Gothic" w:cs="Yu Gothic" w:eastAsia="Yu Gothic" w:hAnsi="Yu Gothic"/>
          <w:b/>
          <w:bCs/>
          <w:sz w:val="23"/>
          <w:szCs w:val="23"/>
        </w:rPr>
        <w:t xml:space="preserve">4.1 データ（D-SYN：合成・主データ）</w:t>
      </w:r>
    </w:p>
    <w:p>
      <w:pPr>
        <w:spacing w:after="120" w:line="300"/>
        <w:jc w:val="both"/>
      </w:pPr>
      <w:r>
        <w:rPr>
          <w:rFonts w:ascii="Yu Mincho" w:cs="Yu Mincho" w:eastAsia="Yu Mincho" w:hAnsi="Yu Mincho"/>
          <w:b w:val="false"/>
          <w:bCs w:val="false"/>
          <w:i w:val="false"/>
          <w:iCs w:val="false"/>
          <w:sz w:val="21"/>
          <w:szCs w:val="21"/>
        </w:rPr>
        <w:t xml:space="preserve">機能和声の状態機械（T→S→D→T、代理和音、4 声体＋メロディ声部）から系列を生成。転調は pivot / direct / sequential を五度圏距離 1–6 で層化サンプリングし、全トークンに正解 key を付与する。規模は train 200k / val 10k / test 10k 系列。tokenizer の語彙は絶対ピッチと時間情報のみとし、key・コード・ローマ数字トークンを含めない（状態漏洩の禁止、単体テストで機械検査）。注釈付き実データ（Hooktheory 系・When-in-Rome・Bach chorales）は probe の生態学的検証に限定して secondary に用いる（ライセンスは実装時に確認・記録）。</w:t>
      </w:r>
    </w:p>
    <w:p>
      <w:pPr>
        <w:pStyle w:val="Heading2"/>
        <w:spacing w:after="100" w:before="220"/>
      </w:pPr>
      <w:r>
        <w:rPr>
          <w:rFonts w:ascii="Yu Gothic" w:cs="Yu Gothic" w:eastAsia="Yu Gothic" w:hAnsi="Yu Gothic"/>
          <w:b/>
          <w:bCs/>
          <w:sz w:val="23"/>
          <w:szCs w:val="23"/>
        </w:rPr>
        <w:t xml:space="preserve">4.2 モデル</w:t>
      </w:r>
    </w:p>
    <w:p>
      <w:pPr>
        <w:spacing w:after="120" w:line="300"/>
        <w:jc w:val="both"/>
      </w:pPr>
      <w:r>
        <w:rPr>
          <w:rFonts w:ascii="Yu Mincho" w:cs="Yu Mincho" w:eastAsia="Yu Mincho" w:hAnsi="Yu Mincho"/>
          <w:b w:val="false"/>
          <w:bCs w:val="false"/>
          <w:i w:val="false"/>
          <w:iCs w:val="false"/>
          <w:sz w:val="21"/>
          <w:szCs w:val="21"/>
        </w:rPr>
        <w:t xml:space="preserve">M-CTRL：GPT-2 型 decoder（8 層・8 head・d=512、Othello-GPT 準拠）。訓練条件として移調 augmentation の有無（R-Aug / R-NoAug）を操作し、各条件 seed ≥ 2。musicality guard 専用の参照モデル M-REF は別 seed・別分割で訓練し、評価の循環を避ける。公開事前学習モデル（M-WILD）への一般化は Phase C。</w:t>
      </w:r>
    </w:p>
    <w:p>
      <w:pPr>
        <w:pStyle w:val="Heading2"/>
        <w:spacing w:after="100" w:before="220"/>
      </w:pPr>
      <w:r>
        <w:rPr>
          <w:rFonts w:ascii="Yu Gothic" w:cs="Yu Gothic" w:eastAsia="Yu Gothic" w:hAnsi="Yu Gothic"/>
          <w:b/>
          <w:bCs/>
          <w:sz w:val="23"/>
          <w:szCs w:val="23"/>
        </w:rPr>
        <w:t xml:space="preserve">4.3 Phase A：存在と符号化形式（H1, H2）</w:t>
      </w:r>
    </w:p>
    <w:p>
      <w:pPr>
        <w:spacing w:after="120" w:line="300"/>
        <w:jc w:val="both"/>
      </w:pPr>
      <w:r>
        <w:rPr>
          <w:rFonts w:ascii="Yu Mincho" w:cs="Yu Mincho" w:eastAsia="Yu Mincho" w:hAnsi="Yu Mincho"/>
          <w:b w:val="false"/>
          <w:bCs w:val="false"/>
          <w:i w:val="false"/>
          <w:iCs w:val="false"/>
          <w:sz w:val="21"/>
          <w:szCs w:val="21"/>
        </w:rPr>
        <w:t xml:space="preserve">各層・各位置の残差ストリームから key（24 クラス）を線形 probe で復号。統制として (C1) ラベルシャッフルによる selectivity、(C2) 未訓練モデル、(C3) 入力表層ベースライン（直近窓のピッチクラスヒストグラム回帰および Krumhansl-Schmuckler 法、窓長 sweep）を常時併記し、主張を「ベースライン超過分」に限定する。曖昧度（KS 事後エントロピー）で層別し、転調点近傍の内部状態反転ラグを追跡する。符号化形式は、移調ペアの表現間 Procrustes 写像 R_k の巡回群性（ε_cyc）で検定し、tonic 方向 12 本の幾何（半音円 / 五度圏）を記述的に報告する。</w:t>
      </w:r>
    </w:p>
    <w:p>
      <w:pPr>
        <w:pStyle w:val="Heading2"/>
        <w:spacing w:after="100" w:before="220"/>
      </w:pPr>
      <w:r>
        <w:rPr>
          <w:rFonts w:ascii="Yu Gothic" w:cs="Yu Gothic" w:eastAsia="Yu Gothic" w:hAnsi="Yu Gothic"/>
          <w:b/>
          <w:bCs/>
          <w:sz w:val="23"/>
          <w:szCs w:val="23"/>
        </w:rPr>
        <w:t xml:space="preserve">4.4 Phase B：因果介入（H3, H5）</w:t>
      </w:r>
    </w:p>
    <w:p>
      <w:pPr>
        <w:spacing w:after="120" w:line="300"/>
        <w:jc w:val="both"/>
      </w:pPr>
      <w:r>
        <w:rPr>
          <w:rFonts w:ascii="Yu Mincho" w:cs="Yu Mincho" w:eastAsia="Yu Mincho" w:hAnsi="Yu Mincho"/>
          <w:b w:val="false"/>
          <w:bCs w:val="false"/>
          <w:i w:val="false"/>
          <w:iCs w:val="false"/>
          <w:sz w:val="21"/>
          <w:szCs w:val="21"/>
        </w:rPr>
        <w:t xml:space="preserve">key 部分空間を 3 法（V-PROBE：probe 行空間、V-MEAN：クラス条件付き平均、V-DAS：interchange intervention accuracy を目的に学習した低ランク直交部分空間）で構成し、小節境界以降の生成ステップで部分空間成分を標的 key に置換する。評価は TKR（継続の推定 key が標的に一致する率）、IKR（標的 / 元 key ダイアトニック率）、12 標的の特異性行列、五度圏距離—成功率曲線。統制は (K1) rank・norm 整合ランダム部分空間、(K2) sham edit（clean 出力との bit 一致を実装検証を兼ねて要求）、(K3) 層シャッフル、(K4) 移調プロンプトによる行動的上限。musicality guard の perplexity 予算は、合成データ中の自然転調直後の perplexity 上昇分布から介入実験前に算出・凍結する。層 sweep により causal 局在プロファイル（H5）を得る。</w:t>
      </w:r>
    </w:p>
    <w:p>
      <w:pPr>
        <w:pStyle w:val="Heading2"/>
        <w:spacing w:after="100" w:before="220"/>
      </w:pPr>
      <w:r>
        <w:rPr>
          <w:rFonts w:ascii="Yu Gothic" w:cs="Yu Gothic" w:eastAsia="Yu Gothic" w:hAnsi="Yu Gothic"/>
          <w:b/>
          <w:bCs/>
          <w:sz w:val="23"/>
          <w:szCs w:val="23"/>
        </w:rPr>
        <w:t xml:space="preserve">4.5 Phase C：動態と一般化（OJSP 拡張）</w:t>
      </w:r>
    </w:p>
    <w:p>
      <w:pPr>
        <w:spacing w:after="120" w:line="300"/>
        <w:jc w:val="both"/>
      </w:pPr>
      <w:r>
        <w:rPr>
          <w:rFonts w:ascii="Yu Mincho" w:cs="Yu Mincho" w:eastAsia="Yu Mincho" w:hAnsi="Yu Mincho"/>
          <w:b w:val="false"/>
          <w:bCs w:val="false"/>
          <w:i w:val="false"/>
          <w:iCs w:val="false"/>
          <w:sz w:val="21"/>
          <w:szCs w:val="21"/>
        </w:rPr>
        <w:t xml:space="preserve">one-shot 編集後の in-key ratio 軌跡から状態の半減期と再主張率を測定し（H4）、第二状態変数として拍節位相を同一パイプラインで検証、M-WILD・実データへ一般化する。編集直後の遷移の音楽的性質（経過句の有無等）は探索的アノテーションとして小規模に実施し、exploratory と明記する。</w:t>
      </w:r>
    </w:p>
    <w:p>
      <w:pPr>
        <w:pStyle w:val="Heading1"/>
        <w:spacing w:after="140" w:before="280"/>
      </w:pPr>
      <w:r>
        <w:rPr>
          <w:rFonts w:ascii="Yu Gothic" w:cs="Yu Gothic" w:eastAsia="Yu Gothic" w:hAnsi="Yu Gothic"/>
          <w:b/>
          <w:bCs/>
          <w:sz w:val="26"/>
          <w:szCs w:val="26"/>
        </w:rPr>
        <w:t xml:space="preserve">5. 統計</w:t>
      </w:r>
    </w:p>
    <w:p>
      <w:pPr>
        <w:spacing w:after="120" w:line="300"/>
        <w:jc w:val="both"/>
      </w:pPr>
      <w:r>
        <w:rPr>
          <w:rFonts w:ascii="Yu Mincho" w:cs="Yu Mincho" w:eastAsia="Yu Mincho" w:hAnsi="Yu Mincho"/>
          <w:b w:val="false"/>
          <w:bCs w:val="false"/>
          <w:i w:val="false"/>
          <w:iCs w:val="false"/>
          <w:sz w:val="21"/>
          <w:szCs w:val="21"/>
        </w:rPr>
        <w:t xml:space="preserve">対応あり比較は prompt 単位でペア化し、Wilcoxon signed-rank・Holm 補正・rank-biserial 効果量・BCa bootstrap 95%CI（10,000 回）を既定とする。検定は SPEC 記載のものに限り、追加分析は exploratory と明記して主張には用いない。</w:t>
      </w:r>
    </w:p>
    <w:p>
      <w:pPr>
        <w:pStyle w:val="Heading1"/>
        <w:spacing w:after="140" w:before="280"/>
      </w:pPr>
      <w:r>
        <w:rPr>
          <w:rFonts w:ascii="Yu Gothic" w:cs="Yu Gothic" w:eastAsia="Yu Gothic" w:hAnsi="Yu Gothic"/>
          <w:b/>
          <w:bCs/>
          <w:sz w:val="26"/>
          <w:szCs w:val="26"/>
        </w:rPr>
        <w:t xml:space="preserve">6. 研究公正（改竄防止プロトコル）</w:t>
      </w:r>
    </w:p>
    <w:p>
      <w:pPr>
        <w:pStyle w:val="ListParagraph"/>
        <w:numPr>
          <w:ilvl w:val="0"/>
          <w:numId w:val="2"/>
        </w:numPr>
        <w:spacing w:after="80" w:line="300"/>
      </w:pPr>
      <w:r>
        <w:rPr>
          <w:rFonts w:ascii="Yu Mincho" w:cs="Yu Mincho" w:eastAsia="Yu Mincho" w:hAnsi="Yu Mincho"/>
          <w:sz w:val="21"/>
          <w:szCs w:val="21"/>
        </w:rPr>
        <w:t xml:space="preserve">報告する全数値は results/ 配下の実行生成物に由来するものに限る。プレースホルダ数値・期待値の記入を禁止し、未実行欄は TBD と表記する。</w:t>
      </w:r>
    </w:p>
    <w:p>
      <w:pPr>
        <w:pStyle w:val="ListParagraph"/>
        <w:numPr>
          <w:ilvl w:val="0"/>
          <w:numId w:val="2"/>
        </w:numPr>
        <w:spacing w:after="80" w:line="300"/>
      </w:pPr>
      <w:r>
        <w:rPr>
          <w:rFonts w:ascii="Yu Mincho" w:cs="Yu Mincho" w:eastAsia="Yu Mincho" w:hAnsi="Yu Mincho"/>
          <w:sz w:val="21"/>
          <w:szCs w:val="21"/>
        </w:rPr>
        <w:t xml:space="preserve">全実行を追記型 RESULTS_LEDGER.md に記録（日時・git hash・config hash・seed・生成物パス）。過去エントリの書き換え禁止。</w:t>
      </w:r>
    </w:p>
    <w:p>
      <w:pPr>
        <w:pStyle w:val="ListParagraph"/>
        <w:numPr>
          <w:ilvl w:val="0"/>
          <w:numId w:val="2"/>
        </w:numPr>
        <w:spacing w:after="80" w:line="300"/>
      </w:pPr>
      <w:r>
        <w:rPr>
          <w:rFonts w:ascii="Yu Mincho" w:cs="Yu Mincho" w:eastAsia="Yu Mincho" w:hAnsi="Yu Mincho"/>
          <w:sz w:val="21"/>
          <w:szCs w:val="21"/>
        </w:rPr>
        <w:t xml:space="preserve">負の結果・guard 超過・失敗 run を含めて報告する。除外は事前基準（SPEC）によるものに限る。</w:t>
      </w:r>
    </w:p>
    <w:p>
      <w:pPr>
        <w:pStyle w:val="ListParagraph"/>
        <w:numPr>
          <w:ilvl w:val="0"/>
          <w:numId w:val="2"/>
        </w:numPr>
        <w:spacing w:after="80" w:line="300"/>
      </w:pPr>
      <w:r>
        <w:rPr>
          <w:rFonts w:ascii="Yu Mincho" w:cs="Yu Mincho" w:eastAsia="Yu Mincho" w:hAnsi="Yu Mincho"/>
          <w:sz w:val="21"/>
          <w:szCs w:val="21"/>
        </w:rPr>
        <w:t xml:space="preserve">seed は configs に固定・列挙し、報告図の背後の全 seed 分布を付録に掲載する（cherry-picking の自己検査）。</w:t>
      </w:r>
    </w:p>
    <w:p>
      <w:pPr>
        <w:pStyle w:val="ListParagraph"/>
        <w:numPr>
          <w:ilvl w:val="0"/>
          <w:numId w:val="2"/>
        </w:numPr>
        <w:spacing w:after="80" w:line="300"/>
      </w:pPr>
      <w:r>
        <w:rPr>
          <w:rFonts w:ascii="Yu Mincho" w:cs="Yu Mincho" w:eastAsia="Yu Mincho" w:hAnsi="Yu Mincho"/>
          <w:sz w:val="21"/>
          <w:szCs w:val="21"/>
        </w:rPr>
        <w:t xml:space="preserve">SPEC の実験着手後の変更は CHANGELOG.md に日付・理由付きで記録する（事前登録の透明性）。</w:t>
      </w:r>
    </w:p>
    <w:p>
      <w:pPr>
        <w:pStyle w:val="Heading1"/>
        <w:spacing w:after="140" w:before="280"/>
      </w:pPr>
      <w:r>
        <w:rPr>
          <w:rFonts w:ascii="Yu Gothic" w:cs="Yu Gothic" w:eastAsia="Yu Gothic" w:hAnsi="Yu Gothic"/>
          <w:b/>
          <w:bCs/>
          <w:sz w:val="26"/>
          <w:szCs w:val="26"/>
        </w:rPr>
        <w:t xml:space="preserve">7. スケジュールと投稿戦略</w:t>
      </w:r>
    </w:p>
    <w:p>
      <w:pPr>
        <w:spacing w:after="140" w:line="300"/>
        <w:jc w:val="both"/>
      </w:pPr>
      <w:r>
        <w:rPr>
          <w:rFonts w:ascii="Yu Mincho" w:cs="Yu Mincho" w:eastAsia="Yu Mincho" w:hAnsi="Yu Mincho"/>
          <w:b w:val="false"/>
          <w:bCs w:val="false"/>
          <w:i w:val="false"/>
          <w:iCs w:val="false"/>
          <w:sz w:val="21"/>
          <w:szCs w:val="21"/>
        </w:rPr>
        <w:t xml:space="preserve">ICASSP 2027（Toronto、締切 2026-09-16 AoE）に Phase A+B を 4 ページで投稿し、Phase C を加えた完全版を IEEE OJSP（regular submission）に 2027 年第 1 四半期を目標に投稿する。ICASSP 2027 には OJSP 特別トラック（8+1 ページ・同一締切）も存在するが、9 週間での 8 ページ品質はリスクが高く、4 ページ →OJSP 完全版の二段構えを既定路線とする。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FEFEF" w:val="clear"/>
            <w:tcMar>
              <w:top w:type="dxa" w:w="60"/>
              <w:left w:type="dxa" w:w="100"/>
              <w:bottom w:type="dxa" w:w="60"/>
              <w:right w:type="dxa" w:w="100"/>
            </w:tcMar>
          </w:tcPr>
          <w:p>
            <w:pPr>
              <w:spacing w:after="0" w:line="260"/>
            </w:pPr>
            <w:r>
              <w:rPr>
                <w:rFonts w:ascii="Yu Mincho" w:cs="Yu Mincho" w:eastAsia="Yu Mincho" w:hAnsi="Yu Mincho"/>
                <w:b/>
                <w:bCs/>
                <w:sz w:val="19"/>
                <w:szCs w:val="19"/>
              </w:rPr>
              <w:t xml:space="preserve">期間</w:t>
            </w:r>
          </w:p>
        </w:tc>
        <w:tc>
          <w:tcPr>
            <w:tcW w:type="dxa" w:w="7160"/>
            <w:shd w:fill="EFEFEF" w:val="clear"/>
            <w:tcMar>
              <w:top w:type="dxa" w:w="60"/>
              <w:left w:type="dxa" w:w="100"/>
              <w:bottom w:type="dxa" w:w="60"/>
              <w:right w:type="dxa" w:w="100"/>
            </w:tcMar>
          </w:tcPr>
          <w:p>
            <w:pPr>
              <w:spacing w:after="0" w:line="260"/>
            </w:pPr>
            <w:r>
              <w:rPr>
                <w:rFonts w:ascii="Yu Mincho" w:cs="Yu Mincho" w:eastAsia="Yu Mincho" w:hAnsi="Yu Mincho"/>
                <w:b/>
                <w:bCs/>
                <w:sz w:val="19"/>
                <w:szCs w:val="19"/>
              </w:rPr>
              <w:t xml:space="preserve">マイルストーン</w:t>
            </w:r>
          </w:p>
        </w:tc>
      </w:tr>
      <w:tr>
        <w:tc>
          <w:tcPr>
            <w:tcW w:type="dxa" w:w="22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W1–2（〜7/26）</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D-SYN 生成器・tokenizer・単体テスト、M-CTRL 訓練開始（R-Aug / R-NoAug × seed ≥ 2、M-REF 別訓練）</w:t>
            </w:r>
          </w:p>
        </w:tc>
      </w:tr>
      <w:tr>
        <w:tc>
          <w:tcPr>
            <w:tcW w:type="dxa" w:w="22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W3–4（〜8/9）</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Phase A：probing＋統制 C1–C3、曖昧度層別、同変性解析（転居期間のバッファを含む）</w:t>
            </w:r>
          </w:p>
        </w:tc>
      </w:tr>
      <w:tr>
        <w:tc>
          <w:tcPr>
            <w:tcW w:type="dxa" w:w="22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W5–6（〜8/23）</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Phase B：guard 予算の事前凍結 → 部分空間構成（V-PROBE / V-MEAN / V-DAS）→ 介入 sweep＋統制 K1–K4</w:t>
            </w:r>
          </w:p>
        </w:tc>
      </w:tr>
      <w:tr>
        <w:tc>
          <w:tcPr>
            <w:tcW w:type="dxa" w:w="22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W7–8（〜9/6）</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統計・図版・執筆（ISMIR #214 の教訓：Fig.1 具体例先行、用語表、反復検査）</w:t>
            </w:r>
          </w:p>
        </w:tc>
      </w:tr>
      <w:tr>
        <w:tc>
          <w:tcPr>
            <w:tcW w:type="dxa" w:w="22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W9（〜9/16）</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研究室内レビュー → ICASSP 2027 提出（締切 2026-09-16 AoE）</w:t>
            </w:r>
          </w:p>
        </w:tc>
      </w:tr>
      <w:tr>
        <w:tc>
          <w:tcPr>
            <w:tcW w:type="dxa" w:w="220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2026-10 〜 2027-Q1</w:t>
            </w:r>
          </w:p>
        </w:tc>
        <w:tc>
          <w:tcPr>
            <w:tcW w:type="dxa" w:w="7160"/>
            <w:tcMar>
              <w:top w:type="dxa" w:w="60"/>
              <w:left w:type="dxa" w:w="100"/>
              <w:bottom w:type="dxa" w:w="60"/>
              <w:right w:type="dxa" w:w="100"/>
            </w:tcMar>
          </w:tcPr>
          <w:p>
            <w:pPr>
              <w:spacing w:after="0" w:line="260"/>
            </w:pPr>
            <w:r>
              <w:rPr>
                <w:rFonts w:ascii="Yu Mincho" w:cs="Yu Mincho" w:eastAsia="Yu Mincho" w:hAnsi="Yu Mincho"/>
                <w:b w:val="false"/>
                <w:bCs w:val="false"/>
                <w:sz w:val="19"/>
                <w:szCs w:val="19"/>
              </w:rPr>
              <w:t xml:space="preserve">Phase C（持続動態・拍節位相・M-WILD・D-REAL・R-Aug/NoAug 完全比較）→ OJSP regular 投稿</w:t>
            </w:r>
          </w:p>
        </w:tc>
      </w:tr>
    </w:tbl>
    <w:p>
      <w:pPr>
        <w:spacing w:after="60" w:line="300"/>
        <w:jc w:val="both"/>
      </w:pPr>
      <w:r>
        <w:rPr>
          <w:rFonts w:ascii="Yu Mincho" w:cs="Yu Mincho" w:eastAsia="Yu Mincho" w:hAnsi="Yu Mincho"/>
          <w:b w:val="false"/>
          <w:bCs w:val="false"/>
          <w:i w:val="false"/>
          <w:iCs w:val="false"/>
          <w:sz w:val="21"/>
          <w:szCs w:val="21"/>
        </w:rPr>
        <w:t xml:space="preserve"/>
      </w:r>
    </w:p>
    <w:p>
      <w:pPr>
        <w:pStyle w:val="Heading1"/>
        <w:spacing w:after="140" w:before="280"/>
      </w:pPr>
      <w:r>
        <w:rPr>
          <w:rFonts w:ascii="Yu Gothic" w:cs="Yu Gothic" w:eastAsia="Yu Gothic" w:hAnsi="Yu Gothic"/>
          <w:b/>
          <w:bCs/>
          <w:sz w:val="26"/>
          <w:szCs w:val="26"/>
        </w:rPr>
        <w:t xml:space="preserve">8. リスクと緩和</w:t>
      </w:r>
    </w:p>
    <w:p>
      <w:pPr>
        <w:pStyle w:val="ListParagraph"/>
        <w:numPr>
          <w:ilvl w:val="0"/>
          <w:numId w:val="2"/>
        </w:numPr>
        <w:spacing w:after="80" w:line="300"/>
      </w:pPr>
      <w:r>
        <w:rPr>
          <w:rFonts w:ascii="Yu Mincho" w:cs="Yu Mincho" w:eastAsia="Yu Mincho" w:hAnsi="Yu Mincho"/>
          <w:sz w:val="21"/>
          <w:szCs w:val="21"/>
        </w:rPr>
        <w:t xml:space="preserve">probe が入力の透過を読むだけ（H1 棄却）：C3 ベースラインと曖昧度層別で切り分け可能。棄却自体が「調性らしさは状態なしで実現される」という知見。</w:t>
      </w:r>
    </w:p>
    <w:p>
      <w:pPr>
        <w:pStyle w:val="ListParagraph"/>
        <w:numPr>
          <w:ilvl w:val="0"/>
          <w:numId w:val="2"/>
        </w:numPr>
        <w:spacing w:after="80" w:line="300"/>
      </w:pPr>
      <w:r>
        <w:rPr>
          <w:rFonts w:ascii="Yu Mincho" w:cs="Yu Mincho" w:eastAsia="Yu Mincho" w:hAnsi="Yu Mincho"/>
          <w:sz w:val="21"/>
          <w:szCs w:val="21"/>
        </w:rPr>
        <w:t xml:space="preserve">介入が効かない（H3 棄却）：readability–actionability 乖離の状態変数版として申請者の先行 finding に接続し報告する。</w:t>
      </w:r>
    </w:p>
    <w:p>
      <w:pPr>
        <w:pStyle w:val="ListParagraph"/>
        <w:numPr>
          <w:ilvl w:val="0"/>
          <w:numId w:val="2"/>
        </w:numPr>
        <w:spacing w:after="80" w:line="300"/>
      </w:pPr>
      <w:r>
        <w:rPr>
          <w:rFonts w:ascii="Yu Mincho" w:cs="Yu Mincho" w:eastAsia="Yu Mincho" w:hAnsi="Yu Mincho"/>
          <w:sz w:val="21"/>
          <w:szCs w:val="21"/>
        </w:rPr>
        <w:t xml:space="preserve">合成データの人工性：D-REAL 検証と M-WILD 一般化（Phase C）で外的妥当性を担保。主張は訓練条件を明示して限定。</w:t>
      </w:r>
    </w:p>
    <w:p>
      <w:pPr>
        <w:pStyle w:val="ListParagraph"/>
        <w:numPr>
          <w:ilvl w:val="0"/>
          <w:numId w:val="2"/>
        </w:numPr>
        <w:spacing w:after="80" w:line="300"/>
      </w:pPr>
      <w:r>
        <w:rPr>
          <w:rFonts w:ascii="Yu Mincho" w:cs="Yu Mincho" w:eastAsia="Yu Mincho" w:hAnsi="Yu Mincho"/>
          <w:sz w:val="21"/>
          <w:szCs w:val="21"/>
        </w:rPr>
        <w:t xml:space="preserve">計算予算超過：層 stride 2 → 峰周辺精査に縮退（縮退判断も LEDGER に記録）。</w:t>
      </w:r>
    </w:p>
    <w:p>
      <w:pPr>
        <w:pStyle w:val="ListParagraph"/>
        <w:numPr>
          <w:ilvl w:val="0"/>
          <w:numId w:val="2"/>
        </w:numPr>
        <w:spacing w:after="80" w:line="300"/>
      </w:pPr>
      <w:r>
        <w:rPr>
          <w:rFonts w:ascii="Yu Mincho" w:cs="Yu Mincho" w:eastAsia="Yu Mincho" w:hAnsi="Yu Mincho"/>
          <w:sz w:val="21"/>
          <w:szCs w:val="21"/>
        </w:rPr>
        <w:t xml:space="preserve">競合：世界モデル介入研究の展開速度は速い（MetaOthello 等）。W1–6 の部分結果で preprint を先行させる選択肢を保持。</w:t>
      </w:r>
    </w:p>
    <w:p>
      <w:pPr>
        <w:pStyle w:val="Heading1"/>
        <w:spacing w:after="140" w:before="280"/>
      </w:pPr>
      <w:r>
        <w:rPr>
          <w:rFonts w:ascii="Yu Gothic" w:cs="Yu Gothic" w:eastAsia="Yu Gothic" w:hAnsi="Yu Gothic"/>
          <w:b/>
          <w:bCs/>
          <w:sz w:val="26"/>
          <w:szCs w:val="26"/>
        </w:rPr>
        <w:t xml:space="preserve">主要参考文献</w:t>
      </w:r>
    </w:p>
    <w:p>
      <w:pPr>
        <w:spacing w:after="120" w:line="300"/>
        <w:jc w:val="both"/>
      </w:pPr>
      <w:r>
        <w:rPr>
          <w:rFonts w:ascii="Yu Mincho" w:cs="Yu Mincho" w:eastAsia="Yu Mincho" w:hAnsi="Yu Mincho"/>
          <w:b w:val="false"/>
          <w:bCs w:val="false"/>
          <w:i w:val="false"/>
          <w:iCs w:val="false"/>
          <w:sz w:val="19"/>
          <w:szCs w:val="19"/>
        </w:rPr>
        <w:t xml:space="preserve">Li et al. (2023) Emergent World Representations (Othello-GPT), ICLR. / Nanda (2023) Actually, Othello-GPT Has A Linear Emergent World Model. / Wei et al. (2024) SynTheory: Do Music Generation Models Encode Music Theory?, ISMIR. / Zhao et al. (2026) MusicRFM, ICLR. / Hewitt &amp; Liang (2019) Control Tasks, EMNLP. / Geiger et al. (2023–24) DAS / causal abstraction. / Krumhansl (1990) Cognitive Foundations of Musical Pitch. / McGrath et al. (2023) Hydra Effect. / MetaOthello (2026). / 申請者：ISMIR 2026 #214 投稿・ITE MTA 投稿中（steering direction の統制比較）。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2026-07-11T11:35:48.076Z</dcterms:created>
  <dcterms:modified xsi:type="dcterms:W3CDTF">2026-07-11T11:35:48.100Z</dcterms:modified>
</cp:coreProperties>
</file>

<file path=docProps/custom.xml><?xml version="1.0" encoding="utf-8"?>
<Properties xmlns="http://schemas.openxmlformats.org/officeDocument/2006/custom-properties" xmlns:vt="http://schemas.openxmlformats.org/officeDocument/2006/docPropsVTypes"/>
</file>