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Additional file 1 — Late S-wave energy in Utah FORGE downhole microearthquakes is not reproduced by smooth elastic models: 3-D tests against stochastic small-scale heterogeneity</w:t>
      </w:r>
    </w:p>
    <w:p>
      <w:pPr>
        <w:jc w:val="center"/>
      </w:pPr>
      <w:r>
        <w:rPr>
          <w:b w:val="0"/>
          <w:i w:val="0"/>
        </w:rPr>
        <w:t>Wiwit Suryanto, Peter Leary, [AUTHOR LIST TO BE CONFIRMED]</w:t>
      </w:r>
    </w:p>
    <w:p>
      <w:pPr>
        <w:jc w:val="both"/>
      </w:pPr>
      <w:r>
        <w:rPr>
          <w:b w:val="0"/>
          <w:i w:val="0"/>
        </w:rPr>
        <w:t>This file contains the diagnostics referred to in the main text. Figures S3, S4 and S10–S12 and Table S14 come from the original analysis (fixed σ = 0.13 for the exponential and Gaussian media, 150 events); they are retained for completeness and are superseded in the main text by the per-event test on all events, the common-grid comparison and the cluster-bootstrap coherence analysis.</w:t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76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recipr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7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S1 </w:t>
      </w:r>
      <w:r>
        <w:rPr>
          <w:b w:val="0"/>
          <w:i w:val="0"/>
        </w:rPr>
        <w:t>Reciprocity validation in a heterogeneous VTI pink-noise medium (σ = 0.045, ε = 0.05, δ = 0.02, γ = 0.05). a–c) East, north and vertical velocity at a sensor from a direct double-couple simulation (black) and from the strain-Green's-tensor reciprocity synthetic (red dashed). Correlation and amplitude ratio are 0.995.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38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56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S2 </w:t>
      </w:r>
      <w:r>
        <w:rPr>
          <w:b w:val="0"/>
          <w:i w:val="0"/>
        </w:rPr>
        <w:t xml:space="preserve">The 56-32 sonic log. a) Sonic-derived </w:t>
      </w:r>
      <w:r>
        <w:rPr>
          <w:b w:val="0"/>
          <w:i/>
        </w:rPr>
        <w:t>V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(grey) and its 50-m block average (black); dashed lines mark the depths of sensors A and B. b) Distribution of the detrended, 6-m-averaged δln </w:t>
      </w:r>
      <w:r>
        <w:rPr>
          <w:b w:val="0"/>
          <w:i/>
        </w:rPr>
        <w:t>V</w:t>
      </w:r>
      <w:r>
        <w:rPr>
          <w:b w:val="0"/>
          <w:i w:val="0"/>
        </w:rPr>
        <w:t xml:space="preserve">. c) Periodogram of δln </w:t>
      </w:r>
      <w:r>
        <w:rPr>
          <w:b w:val="0"/>
          <w:i/>
        </w:rPr>
        <w:t>V</w:t>
      </w:r>
      <w:r>
        <w:rPr>
          <w:b w:val="0"/>
          <w:i w:val="0"/>
        </w:rPr>
        <w:t xml:space="preserve"> with the original power-law fit over 1–200 m. Slope uncertainty is given in Table S15 and main-text Fig.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6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sfit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S3 </w:t>
      </w:r>
      <w:r>
        <w:rPr>
          <w:b w:val="0"/>
          <w:i w:val="0"/>
        </w:rPr>
        <w:t>Original statistical-misfit ranking (Φ) for a) the synthetic pink truth T1 (σ = 0.045), b) the layered-VTI truth T2 and c) FORGE (original model set: exponential and Gaussian media only at σ = 0.13). Grey: smooth media; orange: pink; blue: exponential and Gaussian. Lower is better. Superseded for FORGE by main-text Fig.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43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velo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S4 </w:t>
      </w:r>
      <w:r>
        <w:rPr>
          <w:b w:val="0"/>
          <w:i w:val="0"/>
        </w:rPr>
        <w:t>Median S-coda envelopes aligned on the S peak and normalised by it: a) sensor A, 20–40 Hz; b) sensor A, 40–80 Hz; c) sensor B, 40–80 Hz. Black: FORGE; H homogeneous; A VTI; E50/G50 exponential/Gaussian (</w:t>
      </w:r>
      <w:r>
        <w:rPr>
          <w:b w:val="0"/>
          <w:i/>
        </w:rPr>
        <w:t>a</w:t>
      </w:r>
      <w:r>
        <w:rPr>
          <w:b w:val="0"/>
          <w:i w:val="0"/>
        </w:rPr>
        <w:t xml:space="preserve"> = 50 m, σ = 0.13); P3/P9 pink (σ = 0.09/0.18).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54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vent_spectrog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S5 </w:t>
      </w:r>
      <w:r>
        <w:rPr>
          <w:b w:val="0"/>
          <w:i w:val="0"/>
        </w:rPr>
        <w:t>Four example events (magnitude −0.61 to +0.24) at sensor B, 4 kHz. a, d, g, j) Horizontal velocity (&gt; 5 Hz) with P (blue) and S (red). b, e, h, k) Spectrograms to 2 kHz on a common dB scale relative to each event's maximum; white dashed and dotted lines mark 100 and 50 Hz, the Nyquist frequencies of 200 and 100 sample/s recording. c, f, i, l) S-window spectrum (black) and pre-event noise (grey); shaded: FD analysis band.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94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ndwid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S6 </w:t>
      </w:r>
      <w:r>
        <w:rPr>
          <w:b w:val="0"/>
          <w:i w:val="0"/>
        </w:rPr>
        <w:t>a, b) Median (solid) and interquartile range (dotted) of the S-window amplitude SNR spectrum for sensors A and B; horizontal line at SNR = 3. c) Peak frequency of the S-window velocity spectrum for all events. The clustering near 330, 480 and 920 Hz indicates tool or coupling resonances; the share of recorded velocity energy above 100 Hz is therefore not a source or path property.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68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da_multiocta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S7 </w:t>
      </w:r>
      <w:r>
        <w:rPr>
          <w:b w:val="0"/>
          <w:i w:val="0"/>
        </w:rPr>
        <w:t>FORGE coda measures in seven octave bands (25 Hz to 1.3 kHz): a) coda level, b) single-scattering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(finite-window diagnostic; at 25 Hz the window spans one to three periods), c) rms S-pulse width. Median and interquartile range for sensors A and B. Shaded (&gt; 200 Hz): affected by the resonances.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2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c_slo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S8 </w:t>
      </w:r>
      <w:r>
        <w:rPr>
          <w:b w:val="0"/>
          <w:i w:val="0"/>
        </w:rPr>
        <w:t>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frequency slope log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[Q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>(50 Hz)/Q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>(25 Hz)] at sensor A, FORGE (black line, grey 95 % bootstrap band) and simulated media (dots). A finite-window diagnostic: data and synthetics are measured identically, but the absolute values are not medium properties.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727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reak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S9 </w:t>
      </w:r>
      <w:r>
        <w:rPr>
          <w:b w:val="0"/>
          <w:i w:val="0"/>
        </w:rPr>
        <w:t>Exploratory high-frequency series (2.5-m grid, sensor B, reduced volume, noise-free synthetics, σ = 0.13). a)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normalised at 50 Hz from the 25–50 Hz (sensor A, 5-m grid) and 50–100 Hz (sensor B, 2.5-m grid) slopes. b) Curvature of Q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  <w:vertAlign w:val="superscript"/>
        </w:rPr>
        <w:t>−1</w:t>
      </w:r>
      <w:r>
        <w:rPr>
          <w:b w:val="0"/>
          <w:i w:val="0"/>
        </w:rPr>
        <w:t xml:space="preserve"> versus correlation length. c) Coda level at 100 Hz versus correlation length; black line: FORGE. Grid, domain, sensor and event subset change together between the two octaves, so the comparison is not a pure frequency effect.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97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e_da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S10 </w:t>
      </w:r>
      <w:r>
        <w:rPr>
          <w:b w:val="0"/>
          <w:i w:val="0"/>
        </w:rPr>
        <w:t>Original D1 (coda level at 40–80 Hz minus 20–40 Hz, sensor A) and D2 (median coda coherence versus separation) without uncertainty; superseded by main-text Fig.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42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_vs_med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S11 </w:t>
      </w:r>
      <w:r>
        <w:rPr>
          <w:b w:val="0"/>
          <w:i w:val="0"/>
        </w:rPr>
        <w:t>Vertical fluctuation spectra of the 56-32 sonic log (black) and of the model media over 12–200 m, normalised at 50 m. The rms log difference in the legend is a descriptive distance, not a likelihood.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4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gma_p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S12 </w:t>
      </w:r>
      <w:r>
        <w:rPr>
          <w:b w:val="0"/>
          <w:i w:val="0"/>
        </w:rPr>
        <w:t xml:space="preserve">Original Φ over the pink-family parameters (σ, </w:t>
      </w:r>
      <w:r>
        <w:rPr>
          <w:b w:val="0"/>
          <w:i/>
        </w:rPr>
        <w:t>p</w:t>
      </w:r>
      <w:r>
        <w:rPr>
          <w:b w:val="0"/>
          <w:i w:val="0"/>
        </w:rPr>
        <w:t>) for FORGE; mean and range where several realisations exist. σ = 0.22 and 0.25 have fewer than five grid points per minimum S wavelength at 80 Hz.</w:t>
      </w:r>
    </w:p>
    <w:p>
      <w:pPr>
        <w:pStyle w:val="Heading1"/>
      </w:pPr>
      <w:r>
        <w:t>Supplementary tables</w:t>
      </w:r>
    </w:p>
    <w:p>
      <w:pPr>
        <w:keepNext/>
      </w:pPr>
      <w:r>
        <w:rPr>
          <w:b/>
        </w:rPr>
        <w:t xml:space="preserve">Table S1 </w:t>
      </w:r>
      <w:r>
        <w:rPr>
          <w:b/>
          <w:i w:val="0"/>
        </w:rPr>
        <w:t>Window sensitivity of the per-event coda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Fit end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Coda (ms)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H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GRAD3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FZ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A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−2.21/−1.41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−1.99/−1.39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−1.46/−0.64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−2.11/−1.44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−1.33/−0.65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−0.90/−0.08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−0.30/+0.50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+0.14/+0.76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+0.16/+0.49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−1.11/−0.48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−1.49/−1.02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−0.82/−0.19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−1.55/−1.05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−0.60/+0.05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−0.03/+0.45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+0.39/+0.72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+0.35/+0.55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−1.77/−1.07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−1.29/−0.52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−1.65/−1.09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−0.59/+0.03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−0.07/+0.58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+0.33/+0.88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+0.31/+0.59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−2.17/−1.41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−1.99/−1.40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−1.44/−0.64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−2.09/−1.43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−1.32/−0.61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−0.78/−0.08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−0.22/+0.52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+0.17/+0.84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+0.16/+0.54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−1.57/−0.96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−1.12/−0.48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−1.47/−0.99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−0.82/−0.16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−1.58/−1.05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−0.50/+0.04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+0.04/+0.52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+0.41/+0.84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+0.37/+0.58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−1.79/−1.08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−1.07/−0.39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−0.72/−0.00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−0.15/+0.50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+0.28/+0.78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+0.26/+0.50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−2.21/−1.41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−2.00/−1.41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−1.45/−0.62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−2.11/−1.44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−1.32/−0.67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−2.15/−1.42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−0.90/−0.10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−0.34/+0.48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+0.14/+0.75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+0.11/+0.45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+ 20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−1.46/−1.04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−1.11/−0.47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−1.49/−1.02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−0.85/−0.20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−0.58/+0.02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−0.02/+0.42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+0.36/+0.68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+0.31/+0.50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+ 40–100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−1.79/−1.09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−1.65/−1.18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−1.13/−0.48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−1.89/−1.20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−0.86/−0.17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−0.34/+0.28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+0.10/+0.50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+0.16/+0.25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+ 50–110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−2.22/−1.41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−1.98/−1.40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−1.45/−0.63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−2.12/−1.45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−1.40/−0.74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−2.14/−1.42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−1.04/−0.21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−0.48/+0.28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+0.00/+0.53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+0.07/+0.16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 + 30–100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−1.59/−0.99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−1.45/−1.03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−1.12/−0.50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−1.50/−1.03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−0.93/−0.29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−1.54/−1.03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−0.73/−0.15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−0.21/+0.25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+0.23/+0.44</w:t>
            </w:r>
          </w:p>
        </w:tc>
        <w:tc>
          <w:tcPr>
            <w:tcW w:type="dxa" w:w="765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+0.22/+0.22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(predicted/observed late energy), sensor A/B. The fit window starts at P − 10 ms. Rows with fit end S + 60 ms overlap the coda window (original analysis).</w:t>
      </w:r>
    </w:p>
    <w:p>
      <w:pPr>
        <w:keepNext/>
      </w:pPr>
      <w:r>
        <w:rPr>
          <w:b/>
        </w:rPr>
        <w:t xml:space="preserve">Table S2 </w:t>
      </w:r>
      <w:r>
        <w:rPr>
          <w:b/>
          <w:i w:val="0"/>
        </w:rPr>
        <w:t>Moment-tensor variants: coda prediction, fit, conditioning and decomposition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Full A/B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Deviatoric A/B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DC A/B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full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dev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VR DC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Cond. median (p90)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|ISO|/|CLVD|/DC (%)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−1.83/−1.09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−1.82/−1.11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17.6 (19.3)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28/28/41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−1.70/−1.16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−1.71/−1.18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17.4 (18.8)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29/31/38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−1.33/−0.51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−1.34/−0.51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17.8 (19.4)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29/35/37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GRAD3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−1.69/−1.11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−1.69/−1.13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17.4 (19.0)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28/26/42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FZ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−1.19/−0.49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−1.24/−0.58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0.73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15.4 (18.5)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30/27/41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−2.04/−1.21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−2.10/−1.25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16.4 (24.7)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28/35/36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−0.91/−0.16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−0.93/−0.29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0.72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12.0 (17.0)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34/28/36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−0.22/+0.41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−0.26/+0.35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0.67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0.60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8.1 (13.6)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36/24/37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+0.28/+0.73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+0.23/+0.72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6.6 (11.1)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35/22/41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+0.28/+0.94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+0.34/+0.88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+0.31/+0.84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6.2 (9.5)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34/23/39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+0.24/+0.69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+0.23/+0.64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0.59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6.5 (10.6)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30/21/42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+0.42/+1.12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+0.41/+1.03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+0.39/+0.98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0.64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6.5 (9.5)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36/22/37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+0.30/+0.57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+0.30/+0.52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5.7 (8.1)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31/24/41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VSD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−0.13/+0.54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−0.14/+0.49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−0.19/+0.46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0.66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8.8 (14.7)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25/27/41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VSO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+0.32/+0.79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+0.27/+0.74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+0.22/+0.68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0.62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0.55</w:t>
            </w:r>
          </w:p>
        </w:tc>
        <w:tc>
          <w:tcPr>
            <w:tcW w:type="dxa" w:w="62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6.3 (11.3)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31/23/42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(pred/obs) at the primary windows. Condition number of the column-normalised design matrix. Decomposition of the full solutions (median absolute percentages); with two sensors in one well the non-DC parts are poorly resolved and are not interpreted.</w:t>
      </w:r>
    </w:p>
    <w:p>
      <w:pPr>
        <w:keepNext/>
      </w:pPr>
      <w:r>
        <w:rPr>
          <w:b/>
        </w:rPr>
        <w:t xml:space="preserve">Table S3 </w:t>
      </w:r>
      <w:r>
        <w:rPr>
          <w:b/>
          <w:i w:val="0"/>
        </w:rPr>
        <w:t>Per-event coda test for well-timed event subsets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All (416)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peak ±10 ms (250)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peak ±5 ms (168)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−1.80/−1.09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−1.64/−0.98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−1.58/−0.98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−1.64/−1.17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−1.42/−1.14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−1.35/−1.13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−1.28/−0.53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−1.10/−0.53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−1.04/−0.55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−1.67/−1.11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−1.52/−1.04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−1.41/−1.05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−1.04/−0.39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−0.88/−0.35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−0.87/−0.42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−1.91/−1.19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−1.70/−1.17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−1.62/−1.20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−0.74/+0.02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−0.46/+0.08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−0.36/+0.05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−0.14/+0.53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+0.02/+0.53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+0.08/+0.51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+0.38/+0.81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+0.40/+0.80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+0.28/+0.94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+0.39/+0.98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+0.40/+0.95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+0.31/+0.71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+0.45/+0.72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+0.52/+0.68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+0.42/+1.12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+0.64/+1.12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+0.70/+1.09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+0.29/+0.54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+0.51/+0.53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+0.52/+0.53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Median log</w:t>
      </w:r>
      <w:r>
        <w:rPr>
          <w:b w:val="0"/>
          <w:i w:val="0"/>
          <w:sz w:val="16"/>
          <w:vertAlign w:val="subscript"/>
        </w:rPr>
        <w:t>10</w:t>
      </w:r>
      <w:r>
        <w:rPr>
          <w:b w:val="0"/>
          <w:i w:val="0"/>
          <w:sz w:val="16"/>
        </w:rPr>
        <w:t>(pred/obs), sensor A/B. Subsets: events whose observed 40–80 Hz S-envelope peak lies within the stated interval of the predicted S time on both sensors.</w:t>
      </w:r>
    </w:p>
    <w:p>
      <w:pPr>
        <w:keepNext/>
      </w:pPr>
      <w:r>
        <w:rPr>
          <w:b/>
        </w:rPr>
        <w:t xml:space="preserve">Table S4 </w:t>
      </w:r>
      <w:r>
        <w:rPr>
          <w:b/>
          <w:i w:val="0"/>
        </w:rPr>
        <w:t>Sensor self-calibration: event bootstrap and leave-one-stage-out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Parameter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Estimate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Bootstrap s.d.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95 % interval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Without stage 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Without stage 3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East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833.4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2.3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[827.7, 836.7]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826.0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834.0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North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−5.9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3.1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[−11.0, 2.2]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−9.9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9.0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Depth A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2179.5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6.1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[2166.5, 2191.4]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2182.1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2231.4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Depth B (m)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2522.5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[2519.4, 2526.3]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2519.4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2573.9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Clock A (ms)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−5.0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0.9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[−7.5, −3.7]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−6.7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−7.6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Clock B (ms)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[−4.5, −2.3]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−4.4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−11.7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</w:pPr>
            <w:r>
              <w:rPr>
                <w:b w:val="0"/>
                <w:i/>
                <w:sz w:val="16"/>
              </w:rPr>
              <w:t>V</w:t>
            </w:r>
            <w:r>
              <w:rPr>
                <w:b w:val="0"/>
                <w:i w:val="0"/>
                <w:sz w:val="16"/>
                <w:vertAlign w:val="subscript"/>
              </w:rPr>
              <w:t>P</w:t>
            </w:r>
            <w:r>
              <w:rPr>
                <w:b w:val="0"/>
                <w:i w:val="0"/>
                <w:sz w:val="16"/>
              </w:rPr>
              <w:t xml:space="preserve"> (m/s)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5808.3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42.7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[5710.2, 5873.0]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5653.1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5372.6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 xml:space="preserve">Event bootstrap (500 resamples). Leaving out stage 3 (most events) shifts both sensors ~50 m deeper and lowers </w:t>
      </w:r>
      <w:r>
        <w:rPr>
          <w:b w:val="0"/>
          <w:i/>
          <w:sz w:val="16"/>
        </w:rPr>
        <w:t>V</w:t>
      </w:r>
      <w:r>
        <w:rPr>
          <w:b w:val="0"/>
          <w:i w:val="0"/>
          <w:sz w:val="16"/>
          <w:vertAlign w:val="subscript"/>
        </w:rPr>
        <w:t>P</w:t>
      </w:r>
      <w:r>
        <w:rPr>
          <w:b w:val="0"/>
          <w:i w:val="0"/>
          <w:sz w:val="16"/>
        </w:rPr>
        <w:t xml:space="preserve"> by 8 %: depth, clock and velocity trade off with the catalogue locations, so the bootstrap intervals understate the true uncertainty.</w:t>
      </w:r>
    </w:p>
    <w:p>
      <w:pPr>
        <w:keepNext/>
      </w:pPr>
      <w:r>
        <w:rPr>
          <w:b/>
        </w:rPr>
        <w:t xml:space="preserve">Table S5 </w:t>
      </w:r>
      <w:r>
        <w:rPr>
          <w:b/>
          <w:i w:val="0"/>
        </w:rPr>
        <w:t>Apparent corner frequencies of S-window displacement spectra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Magnitude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Events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corner ≤ 300 Hz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corner (Hz)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corner &lt; 80 Hz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Slope 30–150 Hz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all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550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−0.45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 to −0.3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381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−0.21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 to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−0.75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≥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−1.27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all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533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−0.52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 to −0.3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366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34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−0.39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−0.3 to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163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−0.74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≥ 0.3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58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75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−1.28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Apparent corner: first frequency above 50 Hz at which the smoothed displacement spectrum falls 6 dB below its 30–50 Hz level (searched to 300 Hz, below the resonances). It includes path attenuation and is therefore a lower bound on the source corner. Slope: log–log displacement-spectrum slope where amplitude SNR &gt; 3.</w:t>
      </w:r>
    </w:p>
    <w:p>
      <w:pPr>
        <w:keepNext/>
      </w:pPr>
      <w:r>
        <w:rPr>
          <w:b/>
        </w:rPr>
        <w:t xml:space="preserve">Table S6 </w:t>
      </w:r>
      <w:r>
        <w:rPr>
          <w:b/>
          <w:i w:val="0"/>
        </w:rPr>
        <w:t>Sensitivity of synthetic late energy and S width to source duration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Brune corner (Hz)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log</w:t>
            </w:r>
            <w:r>
              <w:rPr>
                <w:b/>
                <w:i w:val="0"/>
                <w:sz w:val="16"/>
                <w:vertAlign w:val="subscript"/>
              </w:rPr>
              <w:t>10</w:t>
            </w:r>
            <w:r>
              <w:rPr>
                <w:b/>
                <w:i w:val="0"/>
                <w:sz w:val="16"/>
              </w:rPr>
              <w:t xml:space="preserve"> coda/S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 width (ms)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8.9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−3.06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−2.92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−2.87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−2.84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−2.74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−2.71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9.6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12.3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impulsive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10.9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11.0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12.5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11.1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12.7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−1.44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11.2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Homogeneous (H) and pink σ = 0.13 (P6) synthetics with double-couple sources, convolved with Brune moment-rate functions; median over events; windows as in the main text.</w:t>
      </w:r>
    </w:p>
    <w:p>
      <w:pPr>
        <w:keepNext/>
      </w:pPr>
      <w:r>
        <w:rPr>
          <w:b/>
        </w:rPr>
        <w:t xml:space="preserve">Table S7 </w:t>
      </w:r>
      <w:r>
        <w:rPr>
          <w:b/>
          <w:i w:val="0"/>
        </w:rPr>
        <w:t>Ringing tests: spectral-peak prominence and null-ringing deficits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Sensor /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Band / resonance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S-spectrum peak prominence (dB)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Coda/S ratio peak prominence (dB)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30-120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280-380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420-560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850-1000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30-120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280-380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5.29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420-560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7.86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1.92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B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850-1000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−1.99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−1.33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−1.32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−1.93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40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−1.91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−1.63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−0.97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−1.61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−0.96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−1.67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−1.02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50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−1.72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−1.06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−1.90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−1.23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60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−1.87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−1.21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70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10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20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−1.84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null test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/>
                <w:sz w:val="14"/>
              </w:rPr>
              <w:t>f</w:t>
            </w:r>
            <w:r>
              <w:rPr>
                <w:b w:val="0"/>
                <w:i w:val="0"/>
                <w:sz w:val="14"/>
                <w:vertAlign w:val="subscript"/>
              </w:rPr>
              <w:t>r</w:t>
            </w:r>
            <w:r>
              <w:rPr>
                <w:b w:val="0"/>
                <w:i w:val="0"/>
                <w:sz w:val="14"/>
              </w:rPr>
              <w:t xml:space="preserve"> 80 Hz, </w:t>
            </w:r>
            <w:r>
              <w:rPr>
                <w:b w:val="0"/>
                <w:i/>
                <w:sz w:val="14"/>
              </w:rPr>
              <w:t>Q</w:t>
            </w:r>
            <w:r>
              <w:rPr>
                <w:b w:val="0"/>
                <w:i w:val="0"/>
                <w:sz w:val="14"/>
              </w:rPr>
              <w:t xml:space="preserve"> 40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A −1.85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deficit B −1.19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Upper rows: maximum prominence of peaks in the smoothed median S spectrum and coda/S spectral ratio. Lower rows: homogeneous synthetics convolved with a single resonance scaled so that its spectral peak equals the observed 30–120 Hz prominence; deficit = log</w:t>
      </w:r>
      <w:r>
        <w:rPr>
          <w:b w:val="0"/>
          <w:i w:val="0"/>
          <w:sz w:val="14"/>
          <w:vertAlign w:val="subscript"/>
        </w:rPr>
        <w:t>10</w:t>
      </w:r>
      <w:r>
        <w:rPr>
          <w:b w:val="0"/>
          <w:i w:val="0"/>
          <w:sz w:val="14"/>
        </w:rPr>
        <w:t xml:space="preserve"> of predicted/observed median coda/S.</w:t>
      </w:r>
    </w:p>
    <w:p>
      <w:pPr>
        <w:keepNext/>
      </w:pPr>
      <w:r>
        <w:rPr>
          <w:b/>
        </w:rPr>
        <w:t xml:space="preserve">Table S8 </w:t>
      </w:r>
      <w:r>
        <w:rPr>
          <w:b/>
          <w:i w:val="0"/>
        </w:rPr>
        <w:t>Observed late energy by stimulation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Sensor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Stage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Events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log</w:t>
            </w:r>
            <w:r>
              <w:rPr>
                <w:b/>
                <w:i w:val="0"/>
                <w:sz w:val="16"/>
                <w:vertAlign w:val="subscript"/>
              </w:rPr>
              <w:t>10</w:t>
            </w:r>
            <w:r>
              <w:rPr>
                <w:b/>
                <w:i w:val="0"/>
                <w:sz w:val="16"/>
              </w:rPr>
              <w:t xml:space="preserve"> coda/S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Median distance (m)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−1.52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484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402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−1.23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392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−1.62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379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402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−1.88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300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Stage 2 has only 14 events and differs from stage 3 also in distance; a stage-by-stage test of stimulation-dependent scattering is not possible with these data.</w:t>
      </w:r>
    </w:p>
    <w:p>
      <w:pPr>
        <w:keepNext/>
      </w:pPr>
      <w:r>
        <w:rPr>
          <w:b/>
        </w:rPr>
        <w:t xml:space="preserve">Table S9 </w:t>
      </w:r>
      <w:r>
        <w:rPr>
          <w:b/>
          <w:i w:val="0"/>
        </w:rPr>
        <w:t>Random-field statistics after truncation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Medium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 xml:space="preserve">σ(ln </w:t>
            </w: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</w:rPr>
              <w:t>) after truncation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cells truncated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  <w:vertAlign w:val="subscript"/>
              </w:rPr>
              <w:t>P</w:t>
            </w:r>
            <w:r>
              <w:rPr>
                <w:b/>
                <w:i w:val="0"/>
                <w:sz w:val="16"/>
              </w:rPr>
              <w:t xml:space="preserve"> range (m/s)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/>
                <w:sz w:val="16"/>
              </w:rPr>
              <w:t>V</w:t>
            </w:r>
            <w:r>
              <w:rPr>
                <w:b/>
                <w:i w:val="0"/>
                <w:sz w:val="16"/>
                <w:vertAlign w:val="subscript"/>
              </w:rPr>
              <w:t>S</w:t>
            </w:r>
            <w:r>
              <w:rPr>
                <w:b/>
                <w:i w:val="0"/>
                <w:sz w:val="16"/>
              </w:rPr>
              <w:t xml:space="preserve"> range (m/s)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s.13 p1.5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s.18 p1.5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0.1780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3704–9109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2141–5265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 a15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 a50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 a15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 a50 s.13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0.1297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3933–8579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2273–4959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Truncation at ±3σ (±2.5σ for σ &gt; 0.15) without renormalisation; density is constant (2650 kg/m³).</w:t>
      </w:r>
    </w:p>
    <w:p>
      <w:pPr>
        <w:keepNext/>
      </w:pPr>
      <w:r>
        <w:rPr>
          <w:b/>
        </w:rPr>
        <w:t xml:space="preserve">Table S10 </w:t>
      </w:r>
      <w:r>
        <w:rPr>
          <w:b/>
          <w:i w:val="0"/>
        </w:rPr>
        <w:t>Numerical convergence of coda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Case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Measure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Band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5-m reference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case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difference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Robust s.d. of difference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Events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+0.156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+0.036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−0.953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0.076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−0.749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+0.057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0.144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−0.991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0.072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−0.004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0.228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−3.082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4.920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C25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50.8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+2.141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5.484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0.279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−0.982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+0.403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0.240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−0.687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+0.011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0.097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+0.187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0.175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−0.983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−0.262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0.239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−0.669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−0.023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0.194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−14.958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11.486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CBIG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−26.329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13.229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0.210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coda/S (S+40-100 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−1.41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+0.125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−0.704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coda level (log10)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−0.945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−0.904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+0.052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0.082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−0.699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+0.076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0.158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log10 Qc^−1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−1.02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−1.12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−0.095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16.4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0.050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 width (ms)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14.5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14.6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0.125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20-40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−1.337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8.200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CSP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decay rate (1/s)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40-80 Hz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96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41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−6.333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4.949</w:t>
            </w:r>
          </w:p>
        </w:tc>
        <w:tc>
          <w:tcPr>
            <w:tcW w:type="dxa" w:w="68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358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C25: 2.5-m grid; CBIG: domain enlarged by 150 m on every side; CSP: sponge of 40 instead of 20 nodes. Same band-limited medium (σ = 0.13), sensor B, events and double-couple mechanisms as the 5-m reference C5. Differences are per event.</w:t>
      </w:r>
    </w:p>
    <w:p>
      <w:pPr>
        <w:keepNext/>
      </w:pPr>
      <w:r>
        <w:rPr>
          <w:b/>
        </w:rPr>
        <w:t xml:space="preserve">Table S11 </w:t>
      </w:r>
      <w:r>
        <w:rPr>
          <w:b/>
          <w:i w:val="0"/>
        </w:rPr>
        <w:t>Median predicted/observed late energy versus σ, and σ</w:t>
      </w:r>
      <w:r>
        <w:rPr>
          <w:b/>
          <w:i w:val="0"/>
          <w:vertAlign w:val="subscript"/>
        </w:rPr>
        <w:t>eff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Family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Realisations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log</w:t>
            </w:r>
            <w:r>
              <w:rPr>
                <w:b/>
                <w:i w:val="0"/>
                <w:sz w:val="14"/>
                <w:vertAlign w:val="subscript"/>
              </w:rPr>
              <w:t>10</w:t>
            </w:r>
            <w:r>
              <w:rPr>
                <w:b/>
                <w:i w:val="0"/>
                <w:sz w:val="14"/>
              </w:rPr>
              <w:t>(pred/obs), A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Median, B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+0.79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+0.44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+1.28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0.053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pink18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0.048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outside grid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σ</w:t>
            </w:r>
            <w:r>
              <w:rPr>
                <w:b w:val="0"/>
                <w:i w:val="0"/>
                <w:sz w:val="14"/>
                <w:vertAlign w:val="subscript"/>
              </w:rPr>
              <w:t>eff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0.131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Averaged over realisations; σ</w:t>
      </w:r>
      <w:r>
        <w:rPr>
          <w:b w:val="0"/>
          <w:i w:val="0"/>
          <w:sz w:val="14"/>
          <w:vertAlign w:val="subscript"/>
        </w:rPr>
        <w:t>eff</w:t>
      </w:r>
      <w:r>
        <w:rPr>
          <w:b w:val="0"/>
          <w:i w:val="0"/>
          <w:sz w:val="14"/>
        </w:rPr>
        <w:t xml:space="preserve"> interpolated linearly in ln σ at the zero crossing.</w:t>
      </w:r>
    </w:p>
    <w:p>
      <w:pPr>
        <w:keepNext/>
      </w:pPr>
      <w:r>
        <w:rPr>
          <w:b/>
        </w:rPr>
        <w:t xml:space="preserve">Table S12 </w:t>
      </w:r>
      <w:r>
        <w:rPr>
          <w:b/>
          <w:i w:val="0"/>
        </w:rPr>
        <w:t>Statistical misfit Φ with event-bootstrap 95 % intervals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Family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σ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/>
                <w:sz w:val="14"/>
              </w:rPr>
              <w:t>p</w:t>
            </w:r>
            <w:r>
              <w:rPr>
                <w:b/>
                <w:i w:val="0"/>
                <w:sz w:val="14"/>
              </w:rPr>
              <w:t xml:space="preserve"> or </w:t>
            </w:r>
            <w:r>
              <w:rPr>
                <w:b/>
                <w:i/>
                <w:sz w:val="14"/>
              </w:rPr>
              <w:t>a</w:t>
            </w:r>
            <w:r>
              <w:rPr>
                <w:b/>
                <w:i w:val="0"/>
                <w:sz w:val="14"/>
              </w:rPr>
              <w:t xml:space="preserve"> (m)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95 % interval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X_exp_0.13_50_33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0.246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[0.237, 0.297]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0.291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[0.273, 0.339]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[0.347, 0.432]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P8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0.397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[0.377, 0.451]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0.400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[0.370, 0.459]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0.402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[0.377, 0.459]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E15b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0.418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[0.394, 0.467]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[0.429, 0.512]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E50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0.459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[0.431, 0.516]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VSD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pink-VpVs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[0.437, 0.529]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0.469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[0.440, 0.522]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VSO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pink-VpVs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0.476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[0.457, 0.531]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0.483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[0.460, 0.536]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0.496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[0.466, 0.541]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[0.480, 0.581]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G50b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0.523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[0.493, 0.591]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0.535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[0.491, 0.610]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[0.522, 0.598]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[0.539, 0.617]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X_gau_0.13_15_33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[0.541, 0.619]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[0.535, 0.645]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[0.559, 0.665]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[0.552, 0.680]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X_pink_0.09_1.8_33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[0.559, 0.678]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[0.570, 0.673]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[0.579, 0.690]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P9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[0.605, 0.697]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[0.590, 0.726]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X_pink_0.18_1.8_33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[0.597, 0.712]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G15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0.130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[0.621, 0.705]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[0.626, 0.746]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pink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0.732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[0.684, 0.797]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[0.691, 0.802]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[0.685, 0.804]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0.745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[0.706, 0.802]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[0.735, 0.817]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X_exp_0.18_50_11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0.180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0.761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[0.719, 0.825]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X_gau_0.09_50_33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0.863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[0.814, 0.939]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deterministic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1.014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[0.962, 1.088]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deterministic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1.165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[1.113, 1.227]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1.328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[1.263, 1.403]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1.356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[1.293, 1.425]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1.459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[1.403, 1.526]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smooth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</w:p>
        </w:tc>
        <w:tc>
          <w:tcPr>
            <w:tcW w:type="dxa" w:w="1134"/>
          </w:tcPr>
          <w:p>
            <w:pPr>
              <w:spacing w:line="240" w:lineRule="auto"/>
            </w:pP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1.466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[1.406, 1.532]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200 event-bootstrap resamples (identical for every medium). Φ as defined in the main text.</w:t>
      </w:r>
    </w:p>
    <w:p>
      <w:pPr>
        <w:keepNext/>
      </w:pPr>
      <w:r>
        <w:rPr>
          <w:b/>
        </w:rPr>
        <w:t xml:space="preserve">Table S13 </w:t>
      </w:r>
      <w:r>
        <w:rPr>
          <w:b/>
          <w:i w:val="0"/>
        </w:rPr>
        <w:t>Family comparison: best member, bootstrap and holdout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Family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Best Φ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Bootstrap median [95 %]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% bootstrap wins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Held-out Φ median [range]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0.246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0.264 [0.237, 0.297]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98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0.265 [0.242, 0.353]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0.291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0.306 [0.273, 0.339]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0.307 [0.273, 0.399]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0.402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0.414 [0.377, 0.459]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0.416 [0.381, 0.709]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0.429 [0.394, 0.467]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0.427 [0.383, 0.526]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pink-VpVs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0.472 [0.437, 0.512]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0.498 [0.453, 0.670]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0.569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0.571 [0.538, 0.606]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0.589 [0.537, 0.669]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deterministic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1.014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1.020 [0.962, 1.088]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1.022 [0.941, 1.143]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smooth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1.328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1.333 [1.263, 1.403]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1.336 [1.247, 1.429]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Best member per bootstrap resample; holdout: best (σ, shape, seed) chosen on a training half and scored on the other half (20 random splits + near/far split, both directions).</w:t>
      </w:r>
    </w:p>
    <w:p>
      <w:pPr>
        <w:keepNext/>
      </w:pPr>
      <w:r>
        <w:rPr>
          <w:b/>
        </w:rPr>
        <w:t xml:space="preserve">Table S14 </w:t>
      </w:r>
      <w:r>
        <w:rPr>
          <w:b/>
          <w:i w:val="0"/>
        </w:rPr>
        <w:t>Equal-σ family test (σ = 0.13): family scores for nine synthetic truths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Truth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Pink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Exponential (a = 15 m)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Gaussian (a = 50 m)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6"/>
              </w:rPr>
              <w:t>Selected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0.27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(R6d)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0.40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(E15b)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exponential (E15d)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0.26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(G50b)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0.39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(G50c)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0.45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✓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Gaussian (G50d)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0.43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pink ✗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FORGE data (original set)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0.61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0.54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0.51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>
      <w:pPr>
        <w:jc w:val="both"/>
      </w:pPr>
      <w:r>
        <w:rPr>
          <w:b w:val="0"/>
          <w:i w:val="0"/>
          <w:sz w:val="16"/>
        </w:rPr>
        <w:t>Family score = mean Φ over candidate realisations whose seed differs from the truth. 5 of 9 correct; P(≥ 5 of 9 | p = 1/3) = 0.145. Pink and exponential fields built from the same seed are strongly correlated.</w:t>
      </w:r>
    </w:p>
    <w:p>
      <w:pPr>
        <w:keepNext/>
      </w:pPr>
      <w:r>
        <w:rPr>
          <w:b/>
        </w:rPr>
        <w:t xml:space="preserve">Table S15 </w:t>
      </w:r>
      <w:r>
        <w:rPr>
          <w:b/>
          <w:i w:val="0"/>
        </w:rPr>
        <w:t>Sonic-log spectral slope and spectral-model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Detrend / band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PSD / model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Segment / parameter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β (12–200 m) / rms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β (1–200 m) / ΔAIC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mean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linear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periodogram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welch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1.51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full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1 (1950-2221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1.18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2 (2221-2493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1.70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quadratic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multitaper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third 3 (2493-2764 m)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1.66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0.302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0.0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exponential ACF (Lorentzian)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0.344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3.4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Gaussian ACF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3.6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0.348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3.7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12-200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 with corner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177032.3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0.302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0.454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0.0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exponential ACF (Lorentzian)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2.3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0.483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2.2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Gaussian ACF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0.8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0.928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25.7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1-200 m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power law with corner</w:t>
            </w:r>
          </w:p>
        </w:tc>
        <w:tc>
          <w:tcPr>
            <w:tcW w:type="dxa" w:w="2268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 = 8.2 m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rms 0.447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ΔAIC 1.4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 xml:space="preserve">Upper rows: least-squares slope of ln PSD versus ln </w:t>
      </w:r>
      <w:r>
        <w:rPr>
          <w:b w:val="0"/>
          <w:i/>
          <w:sz w:val="14"/>
        </w:rPr>
        <w:t>k</w:t>
      </w:r>
      <w:r>
        <w:rPr>
          <w:b w:val="0"/>
          <w:i w:val="0"/>
          <w:sz w:val="14"/>
        </w:rPr>
        <w:t xml:space="preserve"> (unbinned). Lower rows: fits to log-binned multitaper spectra (equal weight per log bin), which give a flatter power-law slope over 12–200 m (0.54) than the unbinned fit; the slope over this 1.2-decade band is poorly determined.</w:t>
      </w:r>
    </w:p>
    <w:p>
      <w:pPr>
        <w:keepNext/>
      </w:pPr>
      <w:r>
        <w:rPr>
          <w:b/>
        </w:rPr>
        <w:t xml:space="preserve">Table S16 </w:t>
      </w:r>
      <w:r>
        <w:rPr>
          <w:b/>
          <w:i w:val="0"/>
        </w:rPr>
        <w:t>Per-event coda test for every medium and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/>
          <w:right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Medium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A/B (all 416)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% within ×3 A/B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VR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i w:val="0"/>
                <w:sz w:val="14"/>
              </w:rPr>
              <w:t>Median A/B (150 highest SNR)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A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−1.91/−1.19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1/11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−1.86/−1.26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+0.28/+0.94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+0.36/+0.84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E15b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+0.40/+0.64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37/29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+0.57/+0.58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E50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+0.31/+0.71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45/27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+0.32/+0.55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FZ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−1.04/−0.39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24/45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−0.77/−0.33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G15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+0.42/+1.12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+0.61/+1.05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+0.29/+0.54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+0.26/+0.47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G50b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+0.36/−0.58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34/38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+0.68/−0.69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GRAD3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−1.67/−1.11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3/9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−1.61/−1.12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−1.80/−1.09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2/9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−1.74/−1.09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−1.64/−1.17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5/5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−1.53/−1.21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−1.28/−0.53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15/41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−1.22/−0.65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−0.74/+0.02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−0.55/−0.05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+0.77/+1.06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29/15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+0.72/+0.96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P2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−0.73/−0.03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31/54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−0.61/−0.13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−0.14/+0.53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50/35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+0.00/+0.43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−1.20/−0.49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16/42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−1.08/−0.52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−0.74/−0.01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32/49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−0.60/−0.12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+0.31/+0.78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50/26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+0.34/+0.70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P8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−0.06/+0.50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51/36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+0.02/+0.41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P9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+0.61/+1.03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37/18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+0.57/+0.92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−0.65/−0.08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−0.45/−0.17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R2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−0.72/−0.04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−0.51/−0.16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−0.23/+0.24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−0.04/+0.05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R5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+0.82/+0.68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31/28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+0.94/+0.63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R6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+0.26/+0.40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47/40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+0.39/+0.22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T1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−0.89/−0.34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27/46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−0.68/−0.38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VSD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−0.13/+0.54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53/35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−0.13/+0.38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VSO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+0.32/+0.79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49/24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+0.41/+0.68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−0.07/+0.61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51/33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+0.01/+0.48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−0.00/+0.40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42/41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+0.24/+0.27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−0.16/+0.39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48/41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−0.12/+0.30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X_exp_0.09_50_33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−0.25/−0.06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40/50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−0.07/−0.15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X_exp_0.13_50_33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+0.45/+0.18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34/47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+0.63/+0.11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+0.70/+1.26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34/13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+0.71/+1.11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+0.84/+0.86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30/24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+1.10/+0.83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+0.81/+1.24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29/13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+0.80/+1.12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X_exp_0.18_50_33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+1.16/+0.57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22/33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+1.34/+0.46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+0.14/+0.79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48/22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+0.28/+0.76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+0.23/+0.62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45/36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+0.41/+0.52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−0.45/−0.35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39/44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−0.45/−0.54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X_gau_0.09_50_33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−0.50/−0.80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26/30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−0.28/−1.00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X_gau_0.13_15_33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+0.56/+0.89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36/22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+0.66/+0.75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+0.72/+1.37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32/10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+0.79/+1.28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X_gau_0.18_15_33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+0.91/+1.19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26/11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+1.01/+1.10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+0.85/+1.48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25/10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+0.86/+1.44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X_gau_0.18_50_33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+1.05/−0.08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25/53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+1.33/−0.21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X_pink_0.09_1.8_33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−0.19/+0.06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41/51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−0.03/−0.09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X_pink_0.13_1.8_11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+0.34/+0.76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43/28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+0.36/+0.64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X_pink_0.13_1.8_33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+0.43/+0.29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36/45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+0.50/+0.19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X_pink_0.18_1.8_33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+1.04/+0.64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24/32</w:t>
            </w:r>
          </w:p>
        </w:tc>
        <w:tc>
          <w:tcPr>
            <w:tcW w:type="dxa" w:w="794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i w:val="0"/>
                <w:sz w:val="14"/>
              </w:rPr>
              <w:t>+1.30/+0.60</w:t>
            </w:r>
          </w:p>
        </w:tc>
      </w:tr>
    </w:tbl>
    <w:p>
      <w:pPr>
        <w:jc w:val="both"/>
      </w:pPr>
      <w:r>
        <w:rPr>
          <w:b w:val="0"/>
          <w:i w:val="0"/>
          <w:sz w:val="14"/>
        </w:rPr>
        <w:t>Primary windows (fit P − 10 ms to S + 15 ms; coda S + 40 to S + 100 ms). Common-grid media are named X_&lt;family&gt;_&lt;σ&gt;_&lt;p or a&gt;_&lt;seed&gt;.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76" w:lineRule="auto"/>
      <w:outlineLvl w:val="0"/>
    </w:pPr>
    <w:rPr>
      <w:rFonts w:ascii="Times New Roman" w:hAnsi="Times New Roman" w:eastAsia="Times New Roman" w:cs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276" w:lineRule="auto"/>
      <w:outlineLvl w:val="1"/>
    </w:pPr>
    <w:rPr>
      <w:rFonts w:ascii="Times New Roman" w:hAnsi="Times New Roman" w:eastAsia="Times New Roman" w:cs="Times New Roman"/>
      <w:b/>
      <w:bCs/>
      <w:i w:val="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276" w:lineRule="auto"/>
      <w:outlineLvl w:val="2"/>
    </w:pPr>
    <w:rPr>
      <w:rFonts w:ascii="Times New Roman" w:hAnsi="Times New Roman" w:eastAsia="Times New Roman" w:cs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