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drawing>
          <wp:inline xmlns:a="http://schemas.openxmlformats.org/drawingml/2006/main" xmlns:pic="http://schemas.openxmlformats.org/drawingml/2006/picture">
            <wp:extent cx="822960" cy="469087"/>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822960" cy="469087"/>
                    </a:xfrm>
                    <a:prstGeom prst="rect"/>
                  </pic:spPr>
                </pic:pic>
              </a:graphicData>
            </a:graphic>
          </wp:inline>
        </w:drawing>
      </w:r>
    </w:p>
    <w:p>
      <w:pPr>
        <w:pStyle w:val="Title"/>
      </w:pPr>
      <w:r>
        <w:t>Dive Centre Website</w:t>
        <w:br/>
        <w:t>Security Measures</w:t>
      </w:r>
    </w:p>
    <w:p>
      <w:pPr>
        <w:pStyle w:val="Subtitle"/>
        <w:widowControl/>
      </w:pPr>
      <w:r>
        <w:t>Technical control reference for owners and administrators</w:t>
      </w:r>
    </w:p>
    <w:p>
      <w:pPr>
        <w:widowControl/>
      </w:pPr>
      <w:r>
        <w:t>22 October 2026  |  Version 1  |  Maldives time</w:t>
      </w:r>
    </w:p>
    <w:p>
      <w:pPr>
        <w:pStyle w:val="Heading2"/>
      </w:pPr>
      <w:r>
        <w:t>Purpose and current status</w:t>
      </w:r>
    </w:p>
    <w:p>
      <w:pPr>
        <w:widowControl/>
      </w:pPr>
      <w:r>
        <w:t>We protect the dive centre workspace through browser policies, authenticated APIs, server-side role and property checks, protected credentials, database controls, and deployment restrictions. This document explains the controls, their exact settings, where they are enforced, and the operational work required to keep them effective.</w:t>
      </w:r>
    </w:p>
    <w:p>
      <w:pPr>
        <w:widowControl/>
      </w:pPr>
      <w:r>
        <w:t>The reference describes the current repository working tree, including the three security patches implemented locally. Local tests and builds passed. Production rollout, public response headers, TLS configuration, and container smoke tests have not yet been verified. Configured controls must therefore be confirmed on the deployed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747"/>
      </w:tblGrid>
      <w:tr>
        <w:trPr>
          <w:tblHeader/>
          <w:cantSplit/>
        </w:trPr>
        <w:tc>
          <w:tcPr>
            <w:tcW w:type="dxa" w:w="2088"/>
            <w:vAlign w:val="center"/>
            <w:tcMar>
              <w:top w:w="80" w:type="dxa"/>
              <w:bottom w:w="80" w:type="dxa"/>
              <w:left w:w="105" w:type="dxa"/>
              <w:right w:w="105" w:type="dxa"/>
            </w:tcMar>
            <w:shd w:fill="243B53"/>
          </w:tcPr>
          <w:p>
            <w:pPr>
              <w:spacing w:after="20" w:before="20" w:line="247" w:lineRule="auto"/>
            </w:pPr>
            <w:r>
              <w:rPr>
                <w:b/>
                <w:color w:val="FFFFFF"/>
                <w:sz w:val="18"/>
              </w:rPr>
              <w:t>Layer</w:t>
            </w:r>
          </w:p>
        </w:tc>
        <w:tc>
          <w:tcPr>
            <w:tcW w:type="dxa" w:w="7747"/>
            <w:vAlign w:val="center"/>
            <w:tcMar>
              <w:top w:w="80" w:type="dxa"/>
              <w:bottom w:w="80" w:type="dxa"/>
              <w:left w:w="105" w:type="dxa"/>
              <w:right w:w="105" w:type="dxa"/>
            </w:tcMar>
            <w:shd w:fill="243B53"/>
          </w:tcPr>
          <w:p>
            <w:pPr>
              <w:spacing w:after="20" w:before="20" w:line="247" w:lineRule="auto"/>
            </w:pPr>
            <w:r>
              <w:rPr>
                <w:b/>
                <w:color w:val="FFFFFF"/>
                <w:sz w:val="18"/>
              </w:rPr>
              <w:t>Controls covered</w:t>
            </w:r>
          </w:p>
        </w:tc>
      </w:tr>
      <w:tr>
        <w:trPr>
          <w:cantSplit/>
        </w:trPr>
        <w:tc>
          <w:tcPr>
            <w:tcW w:type="dxa" w:w="2088"/>
            <w:vAlign w:val="center"/>
            <w:tcMar>
              <w:top w:w="80" w:type="dxa"/>
              <w:bottom w:w="80" w:type="dxa"/>
              <w:left w:w="105" w:type="dxa"/>
              <w:right w:w="105" w:type="dxa"/>
            </w:tcMar>
            <w:shd w:fill="FFFFFF"/>
          </w:tcPr>
          <w:p>
            <w:pPr>
              <w:spacing w:after="20" w:before="20" w:line="247" w:lineRule="auto"/>
            </w:pPr>
            <w:r>
              <w:rPr>
                <w:b w:val="0"/>
                <w:color w:val="000000"/>
                <w:sz w:val="18"/>
              </w:rPr>
              <w:t>Browser and edge</w:t>
            </w:r>
          </w:p>
        </w:tc>
        <w:tc>
          <w:tcPr>
            <w:tcW w:type="dxa" w:w="7747"/>
            <w:vAlign w:val="center"/>
            <w:tcMar>
              <w:top w:w="80" w:type="dxa"/>
              <w:bottom w:w="80" w:type="dxa"/>
              <w:left w:w="105" w:type="dxa"/>
              <w:right w:w="105" w:type="dxa"/>
            </w:tcMar>
            <w:shd w:fill="FFFFFF"/>
          </w:tcPr>
          <w:p>
            <w:pPr>
              <w:spacing w:after="20" w:before="20" w:line="247" w:lineRule="auto"/>
            </w:pPr>
            <w:r>
              <w:rPr>
                <w:b w:val="0"/>
                <w:color w:val="000000"/>
                <w:sz w:val="18"/>
              </w:rPr>
              <w:t>HTTPS, security headers, content policy, caching and same-origin API use</w:t>
            </w:r>
          </w:p>
        </w:tc>
      </w:tr>
      <w:tr>
        <w:trPr>
          <w:cantSplit/>
        </w:trPr>
        <w:tc>
          <w:tcPr>
            <w:tcW w:type="dxa" w:w="2088"/>
            <w:vAlign w:val="center"/>
            <w:tcMar>
              <w:top w:w="80" w:type="dxa"/>
              <w:bottom w:w="80" w:type="dxa"/>
              <w:left w:w="105" w:type="dxa"/>
              <w:right w:w="105" w:type="dxa"/>
            </w:tcMar>
            <w:shd w:fill="F2F5F8"/>
          </w:tcPr>
          <w:p>
            <w:pPr>
              <w:spacing w:after="20" w:before="20" w:line="247" w:lineRule="auto"/>
            </w:pPr>
            <w:r>
              <w:rPr>
                <w:b w:val="0"/>
                <w:color w:val="000000"/>
                <w:sz w:val="18"/>
              </w:rPr>
              <w:t>Accounts and API</w:t>
            </w:r>
          </w:p>
        </w:tc>
        <w:tc>
          <w:tcPr>
            <w:tcW w:type="dxa" w:w="7747"/>
            <w:vAlign w:val="center"/>
            <w:tcMar>
              <w:top w:w="80" w:type="dxa"/>
              <w:bottom w:w="80" w:type="dxa"/>
              <w:left w:w="105" w:type="dxa"/>
              <w:right w:w="105" w:type="dxa"/>
            </w:tcMar>
            <w:shd w:fill="F2F5F8"/>
          </w:tcPr>
          <w:p>
            <w:pPr>
              <w:spacing w:after="20" w:before="20" w:line="247" w:lineRule="auto"/>
            </w:pPr>
            <w:r>
              <w:rPr>
                <w:b w:val="0"/>
                <w:color w:val="000000"/>
                <w:sz w:val="18"/>
              </w:rPr>
              <w:t>Password hashing, session validation, recovery, roles, property isolation and quotas</w:t>
            </w:r>
          </w:p>
        </w:tc>
      </w:tr>
      <w:tr>
        <w:trPr>
          <w:cantSplit/>
        </w:trPr>
        <w:tc>
          <w:tcPr>
            <w:tcW w:type="dxa" w:w="2088"/>
            <w:vAlign w:val="center"/>
            <w:tcMar>
              <w:top w:w="80" w:type="dxa"/>
              <w:bottom w:w="80" w:type="dxa"/>
              <w:left w:w="105" w:type="dxa"/>
              <w:right w:w="105" w:type="dxa"/>
            </w:tcMar>
            <w:shd w:fill="FFFFFF"/>
          </w:tcPr>
          <w:p>
            <w:pPr>
              <w:spacing w:after="20" w:before="20" w:line="247" w:lineRule="auto"/>
            </w:pPr>
            <w:r>
              <w:rPr>
                <w:b w:val="0"/>
                <w:color w:val="000000"/>
                <w:sz w:val="18"/>
              </w:rPr>
              <w:t>Application data</w:t>
            </w:r>
          </w:p>
        </w:tc>
        <w:tc>
          <w:tcPr>
            <w:tcW w:type="dxa" w:w="7747"/>
            <w:vAlign w:val="center"/>
            <w:tcMar>
              <w:top w:w="80" w:type="dxa"/>
              <w:bottom w:w="80" w:type="dxa"/>
              <w:left w:w="105" w:type="dxa"/>
              <w:right w:w="105" w:type="dxa"/>
            </w:tcMar>
            <w:shd w:fill="FFFFFF"/>
          </w:tcPr>
          <w:p>
            <w:pPr>
              <w:spacing w:after="20" w:before="20" w:line="247" w:lineRule="auto"/>
            </w:pPr>
            <w:r>
              <w:rPr>
                <w:b w:val="0"/>
                <w:color w:val="000000"/>
                <w:sz w:val="18"/>
              </w:rPr>
              <w:t>Validated inputs, financial locks, safe spreadsheet handling and bounded imports</w:t>
            </w:r>
          </w:p>
        </w:tc>
      </w:tr>
      <w:tr>
        <w:trPr>
          <w:cantSplit/>
        </w:trPr>
        <w:tc>
          <w:tcPr>
            <w:tcW w:type="dxa" w:w="2088"/>
            <w:vAlign w:val="center"/>
            <w:tcMar>
              <w:top w:w="80" w:type="dxa"/>
              <w:bottom w:w="80" w:type="dxa"/>
              <w:left w:w="105" w:type="dxa"/>
              <w:right w:w="105" w:type="dxa"/>
            </w:tcMar>
            <w:shd w:fill="F2F5F8"/>
          </w:tcPr>
          <w:p>
            <w:pPr>
              <w:spacing w:after="20" w:before="20" w:line="247" w:lineRule="auto"/>
            </w:pPr>
            <w:r>
              <w:rPr>
                <w:b w:val="0"/>
                <w:color w:val="000000"/>
                <w:sz w:val="18"/>
              </w:rPr>
              <w:t>Infrastructure</w:t>
            </w:r>
          </w:p>
        </w:tc>
        <w:tc>
          <w:tcPr>
            <w:tcW w:type="dxa" w:w="7747"/>
            <w:vAlign w:val="center"/>
            <w:tcMar>
              <w:top w:w="80" w:type="dxa"/>
              <w:bottom w:w="80" w:type="dxa"/>
              <w:left w:w="105" w:type="dxa"/>
              <w:right w:w="105" w:type="dxa"/>
            </w:tcMar>
            <w:shd w:fill="F2F5F8"/>
          </w:tcPr>
          <w:p>
            <w:pPr>
              <w:spacing w:after="20" w:before="20" w:line="247" w:lineRule="auto"/>
            </w:pPr>
            <w:r>
              <w:rPr>
                <w:b w:val="0"/>
                <w:color w:val="000000"/>
                <w:sz w:val="18"/>
              </w:rPr>
              <w:t>Restricted containers, private database, file secrets, backups and release checks</w:t>
            </w:r>
          </w:p>
        </w:tc>
      </w:tr>
    </w:tbl>
    <w:p>
      <w:pPr>
        <w:widowControl/>
        <w:spacing w:after="0"/>
      </w:pPr>
    </w:p>
    <w:p>
      <w:pPr>
        <w:pStyle w:val="Heading2"/>
      </w:pPr>
      <w:r>
        <w:t>System boundary</w:t>
      </w:r>
    </w:p>
    <w:p>
      <w:pPr>
        <w:widowControl/>
      </w:pPr>
      <w:r>
        <w:t>Browser → HTTPS Caddy → Express API → PostgreSQL. The optional hotel PMS connection uses a fixed HTTPS destination and a server-held API key. Only Caddy publishes host ports in the base production Compose configuration. Internal Caddy-to-API traffic uses HTTP; database transport TLS is not explicitly configured by Compose.</w:t>
      </w:r>
    </w:p>
    <w:p>
      <w:pPr>
        <w:widowControl/>
      </w:pPr>
      <w:r>
        <w:t>Sections 2 to 4 give exact header and browser-policy values. Sections 5 to 11 describe account, data and infrastructure controls. Sections 12 and 13 record verification, operating duties and source references.</w:t>
      </w:r>
    </w:p>
    <w:p>
      <w:pPr>
        <w:widowControl/>
        <w:spacing w:before="160"/>
      </w:pPr>
      <w:r>
        <w:rPr>
          <w:color w:val="555555"/>
          <w:sz w:val="16"/>
        </w:rPr>
        <w:t>Evidence  Current working tree based on ca4726daca8f02a362536c6effb76b3666b42b4e plus local patches. Source references S1 to S22 are indexed in section 13.</w:t>
      </w:r>
    </w:p>
    <w:p>
      <w:pPr>
        <w:pStyle w:val="Heading1"/>
        <w:pageBreakBefore/>
        <w:spacing w:before="0"/>
      </w:pPr>
      <w:r>
        <w:t>2 HTTPS and edge response headers</w:t>
      </w:r>
    </w:p>
    <w:p>
      <w:pPr>
        <w:widowControl/>
      </w:pPr>
      <w:r>
        <w:t>Caddy is the public reverse proxy and static-file server. The production site address is explicitly https://{$APP_DOMAIN}. Preparation accepts a domain and generates its HTTPS origin. IP addresses, localhost and the former no-domain HTTP mode are rejected. Existing unsafe configuration is rejected before preparation changes files or keys. [S1, S2]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880"/>
        <w:gridCol w:w="4507"/>
      </w:tblGrid>
      <w:tr>
        <w:trPr>
          <w:tblHeader/>
          <w:cantSplit/>
        </w:trPr>
        <w:tc>
          <w:tcPr>
            <w:tcW w:type="dxa" w:w="2448"/>
            <w:vAlign w:val="center"/>
            <w:tcMar>
              <w:top w:w="80" w:type="dxa"/>
              <w:bottom w:w="80" w:type="dxa"/>
              <w:left w:w="105" w:type="dxa"/>
              <w:right w:w="105" w:type="dxa"/>
            </w:tcMar>
            <w:shd w:fill="243B53"/>
          </w:tcPr>
          <w:p>
            <w:pPr>
              <w:spacing w:after="20" w:before="20" w:line="247" w:lineRule="auto"/>
            </w:pPr>
            <w:r>
              <w:rPr>
                <w:b/>
                <w:color w:val="FFFFFF"/>
                <w:sz w:val="18"/>
              </w:rPr>
              <w:t>Header or setting</w:t>
            </w:r>
          </w:p>
        </w:tc>
        <w:tc>
          <w:tcPr>
            <w:tcW w:type="dxa" w:w="2880"/>
            <w:vAlign w:val="center"/>
            <w:tcMar>
              <w:top w:w="80" w:type="dxa"/>
              <w:bottom w:w="80" w:type="dxa"/>
              <w:left w:w="105" w:type="dxa"/>
              <w:right w:w="105" w:type="dxa"/>
            </w:tcMar>
            <w:shd w:fill="243B53"/>
          </w:tcPr>
          <w:p>
            <w:pPr>
              <w:spacing w:after="20" w:before="20" w:line="247" w:lineRule="auto"/>
            </w:pPr>
            <w:r>
              <w:rPr>
                <w:b/>
                <w:color w:val="FFFFFF"/>
                <w:sz w:val="18"/>
              </w:rPr>
              <w:t>Configured value</w:t>
            </w:r>
          </w:p>
        </w:tc>
        <w:tc>
          <w:tcPr>
            <w:tcW w:type="dxa" w:w="4507"/>
            <w:vAlign w:val="center"/>
            <w:tcMar>
              <w:top w:w="80" w:type="dxa"/>
              <w:bottom w:w="80" w:type="dxa"/>
              <w:left w:w="105" w:type="dxa"/>
              <w:right w:w="105" w:type="dxa"/>
            </w:tcMar>
            <w:shd w:fill="243B53"/>
          </w:tcPr>
          <w:p>
            <w:pPr>
              <w:spacing w:after="20" w:before="20" w:line="247" w:lineRule="auto"/>
            </w:pPr>
            <w:r>
              <w:rPr>
                <w:b/>
                <w:color w:val="FFFFFF"/>
                <w:sz w:val="18"/>
              </w:rPr>
              <w:t>Purpose and qualification</w:t>
            </w:r>
          </w:p>
        </w:tc>
      </w:tr>
      <w:tr>
        <w:trPr>
          <w:cantSplit/>
        </w:trPr>
        <w:tc>
          <w:tcPr>
            <w:tcW w:type="dxa" w:w="2448"/>
            <w:vAlign w:val="center"/>
            <w:tcMar>
              <w:top w:w="80" w:type="dxa"/>
              <w:bottom w:w="80" w:type="dxa"/>
              <w:left w:w="105" w:type="dxa"/>
              <w:right w:w="105" w:type="dxa"/>
            </w:tcMar>
            <w:shd w:fill="FFFFFF"/>
          </w:tcPr>
          <w:p>
            <w:pPr>
              <w:spacing w:after="20" w:before="20" w:line="247" w:lineRule="auto"/>
            </w:pPr>
            <w:r>
              <w:rPr>
                <w:b w:val="0"/>
                <w:color w:val="000000"/>
                <w:sz w:val="18"/>
              </w:rPr>
              <w:t>Strict-Transport-Security</w:t>
            </w:r>
          </w:p>
        </w:tc>
        <w:tc>
          <w:tcPr>
            <w:tcW w:type="dxa" w:w="2880"/>
            <w:vAlign w:val="center"/>
            <w:tcMar>
              <w:top w:w="80" w:type="dxa"/>
              <w:bottom w:w="80" w:type="dxa"/>
              <w:left w:w="105" w:type="dxa"/>
              <w:right w:w="105" w:type="dxa"/>
            </w:tcMar>
            <w:shd w:fill="FFFFFF"/>
          </w:tcPr>
          <w:p>
            <w:pPr>
              <w:spacing w:after="20" w:before="20" w:line="247" w:lineRule="auto"/>
            </w:pPr>
            <w:r>
              <w:rPr>
                <w:b w:val="0"/>
                <w:color w:val="000000"/>
                <w:sz w:val="18"/>
              </w:rPr>
              <w:t>max-age=31536000</w:t>
            </w:r>
          </w:p>
        </w:tc>
        <w:tc>
          <w:tcPr>
            <w:tcW w:type="dxa" w:w="4507"/>
            <w:vAlign w:val="center"/>
            <w:tcMar>
              <w:top w:w="80" w:type="dxa"/>
              <w:bottom w:w="80" w:type="dxa"/>
              <w:left w:w="105" w:type="dxa"/>
              <w:right w:w="105" w:type="dxa"/>
            </w:tcMar>
            <w:shd w:fill="FFFFFF"/>
          </w:tcPr>
          <w:p>
            <w:pPr>
              <w:spacing w:after="20" w:before="20" w:line="247" w:lineRule="auto"/>
            </w:pPr>
            <w:r>
              <w:rPr>
                <w:b w:val="0"/>
                <w:color w:val="000000"/>
                <w:sz w:val="18"/>
              </w:rPr>
              <w:t>HTTPS responses ask browsers to use HTTPS for one year. Edge value does not request includeSubDomains or preload.</w:t>
            </w:r>
          </w:p>
        </w:tc>
      </w:tr>
      <w:tr>
        <w:trPr>
          <w:cantSplit/>
        </w:trPr>
        <w:tc>
          <w:tcPr>
            <w:tcW w:type="dxa" w:w="2448"/>
            <w:vAlign w:val="center"/>
            <w:tcMar>
              <w:top w:w="80" w:type="dxa"/>
              <w:bottom w:w="80" w:type="dxa"/>
              <w:left w:w="105" w:type="dxa"/>
              <w:right w:w="105" w:type="dxa"/>
            </w:tcMar>
            <w:shd w:fill="F2F5F8"/>
          </w:tcPr>
          <w:p>
            <w:pPr>
              <w:spacing w:after="20" w:before="20" w:line="247" w:lineRule="auto"/>
            </w:pPr>
            <w:r>
              <w:rPr>
                <w:b w:val="0"/>
                <w:color w:val="000000"/>
                <w:sz w:val="18"/>
              </w:rPr>
              <w:t>X-Content-Type-Options</w:t>
            </w:r>
          </w:p>
        </w:tc>
        <w:tc>
          <w:tcPr>
            <w:tcW w:type="dxa" w:w="2880"/>
            <w:vAlign w:val="center"/>
            <w:tcMar>
              <w:top w:w="80" w:type="dxa"/>
              <w:bottom w:w="80" w:type="dxa"/>
              <w:left w:w="105" w:type="dxa"/>
              <w:right w:w="105" w:type="dxa"/>
            </w:tcMar>
            <w:shd w:fill="F2F5F8"/>
          </w:tcPr>
          <w:p>
            <w:pPr>
              <w:spacing w:after="20" w:before="20" w:line="247" w:lineRule="auto"/>
            </w:pPr>
            <w:r>
              <w:rPr>
                <w:b w:val="0"/>
                <w:color w:val="000000"/>
                <w:sz w:val="18"/>
              </w:rPr>
              <w:t>nosniff</w:t>
            </w:r>
          </w:p>
        </w:tc>
        <w:tc>
          <w:tcPr>
            <w:tcW w:type="dxa" w:w="4507"/>
            <w:vAlign w:val="center"/>
            <w:tcMar>
              <w:top w:w="80" w:type="dxa"/>
              <w:bottom w:w="80" w:type="dxa"/>
              <w:left w:w="105" w:type="dxa"/>
              <w:right w:w="105" w:type="dxa"/>
            </w:tcMar>
            <w:shd w:fill="F2F5F8"/>
          </w:tcPr>
          <w:p>
            <w:pPr>
              <w:spacing w:after="20" w:before="20" w:line="247" w:lineRule="auto"/>
            </w:pPr>
            <w:r>
              <w:rPr>
                <w:b w:val="0"/>
                <w:color w:val="000000"/>
                <w:sz w:val="18"/>
              </w:rPr>
              <w:t>Prevents MIME-type guessing that could reinterpret a response as executable content.</w:t>
            </w:r>
          </w:p>
        </w:tc>
      </w:tr>
      <w:tr>
        <w:trPr>
          <w:cantSplit/>
        </w:trPr>
        <w:tc>
          <w:tcPr>
            <w:tcW w:type="dxa" w:w="2448"/>
            <w:vAlign w:val="center"/>
            <w:tcMar>
              <w:top w:w="80" w:type="dxa"/>
              <w:bottom w:w="80" w:type="dxa"/>
              <w:left w:w="105" w:type="dxa"/>
              <w:right w:w="105" w:type="dxa"/>
            </w:tcMar>
            <w:shd w:fill="FFFFFF"/>
          </w:tcPr>
          <w:p>
            <w:pPr>
              <w:spacing w:after="20" w:before="20" w:line="247" w:lineRule="auto"/>
            </w:pPr>
            <w:r>
              <w:rPr>
                <w:b w:val="0"/>
                <w:color w:val="000000"/>
                <w:sz w:val="18"/>
              </w:rPr>
              <w:t>Referrer-Policy</w:t>
            </w:r>
          </w:p>
        </w:tc>
        <w:tc>
          <w:tcPr>
            <w:tcW w:type="dxa" w:w="2880"/>
            <w:vAlign w:val="center"/>
            <w:tcMar>
              <w:top w:w="80" w:type="dxa"/>
              <w:bottom w:w="80" w:type="dxa"/>
              <w:left w:w="105" w:type="dxa"/>
              <w:right w:w="105" w:type="dxa"/>
            </w:tcMar>
            <w:shd w:fill="FFFFFF"/>
          </w:tcPr>
          <w:p>
            <w:pPr>
              <w:spacing w:after="20" w:before="20" w:line="247" w:lineRule="auto"/>
            </w:pPr>
            <w:r>
              <w:rPr>
                <w:b w:val="0"/>
                <w:color w:val="000000"/>
                <w:sz w:val="18"/>
              </w:rPr>
              <w:t>strict-origin-when-cross-origin</w:t>
            </w:r>
          </w:p>
        </w:tc>
        <w:tc>
          <w:tcPr>
            <w:tcW w:type="dxa" w:w="4507"/>
            <w:vAlign w:val="center"/>
            <w:tcMar>
              <w:top w:w="80" w:type="dxa"/>
              <w:bottom w:w="80" w:type="dxa"/>
              <w:left w:w="105" w:type="dxa"/>
              <w:right w:w="105" w:type="dxa"/>
            </w:tcMar>
            <w:shd w:fill="FFFFFF"/>
          </w:tcPr>
          <w:p>
            <w:pPr>
              <w:spacing w:after="20" w:before="20" w:line="247" w:lineRule="auto"/>
            </w:pPr>
            <w:r>
              <w:rPr>
                <w:b w:val="0"/>
                <w:color w:val="000000"/>
                <w:sz w:val="18"/>
              </w:rPr>
              <w:t>Keeps full referrers for same-origin requests; limits cross-origin referrers and avoids insecure downgrade referrers.</w:t>
            </w:r>
          </w:p>
        </w:tc>
      </w:tr>
      <w:tr>
        <w:trPr>
          <w:cantSplit/>
        </w:trPr>
        <w:tc>
          <w:tcPr>
            <w:tcW w:type="dxa" w:w="2448"/>
            <w:vAlign w:val="center"/>
            <w:tcMar>
              <w:top w:w="80" w:type="dxa"/>
              <w:bottom w:w="80" w:type="dxa"/>
              <w:left w:w="105" w:type="dxa"/>
              <w:right w:w="105" w:type="dxa"/>
            </w:tcMar>
            <w:shd w:fill="F2F5F8"/>
          </w:tcPr>
          <w:p>
            <w:pPr>
              <w:spacing w:after="20" w:before="20" w:line="247" w:lineRule="auto"/>
            </w:pPr>
            <w:r>
              <w:rPr>
                <w:b w:val="0"/>
                <w:color w:val="000000"/>
                <w:sz w:val="18"/>
              </w:rPr>
              <w:t>X-Frame-Options</w:t>
            </w:r>
          </w:p>
        </w:tc>
        <w:tc>
          <w:tcPr>
            <w:tcW w:type="dxa" w:w="2880"/>
            <w:vAlign w:val="center"/>
            <w:tcMar>
              <w:top w:w="80" w:type="dxa"/>
              <w:bottom w:w="80" w:type="dxa"/>
              <w:left w:w="105" w:type="dxa"/>
              <w:right w:w="105" w:type="dxa"/>
            </w:tcMar>
            <w:shd w:fill="F2F5F8"/>
          </w:tcPr>
          <w:p>
            <w:pPr>
              <w:spacing w:after="20" w:before="20" w:line="247" w:lineRule="auto"/>
            </w:pPr>
            <w:r>
              <w:rPr>
                <w:b w:val="0"/>
                <w:color w:val="000000"/>
                <w:sz w:val="18"/>
              </w:rPr>
              <w:t>DENY</w:t>
            </w:r>
          </w:p>
        </w:tc>
        <w:tc>
          <w:tcPr>
            <w:tcW w:type="dxa" w:w="4507"/>
            <w:vAlign w:val="center"/>
            <w:tcMar>
              <w:top w:w="80" w:type="dxa"/>
              <w:bottom w:w="80" w:type="dxa"/>
              <w:left w:w="105" w:type="dxa"/>
              <w:right w:w="105" w:type="dxa"/>
            </w:tcMar>
            <w:shd w:fill="F2F5F8"/>
          </w:tcPr>
          <w:p>
            <w:pPr>
              <w:spacing w:after="20" w:before="20" w:line="247" w:lineRule="auto"/>
            </w:pPr>
            <w:r>
              <w:rPr>
                <w:b w:val="0"/>
                <w:color w:val="000000"/>
                <w:sz w:val="18"/>
              </w:rPr>
              <w:t>Disallows embedding the site in frames, reducing clickjacking exposure.</w:t>
            </w:r>
          </w:p>
        </w:tc>
      </w:tr>
      <w:tr>
        <w:trPr>
          <w:cantSplit/>
        </w:trPr>
        <w:tc>
          <w:tcPr>
            <w:tcW w:type="dxa" w:w="2448"/>
            <w:vAlign w:val="center"/>
            <w:tcMar>
              <w:top w:w="80" w:type="dxa"/>
              <w:bottom w:w="80" w:type="dxa"/>
              <w:left w:w="105" w:type="dxa"/>
              <w:right w:w="105" w:type="dxa"/>
            </w:tcMar>
            <w:shd w:fill="FFFFFF"/>
          </w:tcPr>
          <w:p>
            <w:pPr>
              <w:spacing w:after="20" w:before="20" w:line="247" w:lineRule="auto"/>
            </w:pPr>
            <w:r>
              <w:rPr>
                <w:b w:val="0"/>
                <w:color w:val="000000"/>
                <w:sz w:val="18"/>
              </w:rPr>
              <w:t>Permissions-Policy</w:t>
            </w:r>
          </w:p>
        </w:tc>
        <w:tc>
          <w:tcPr>
            <w:tcW w:type="dxa" w:w="2880"/>
            <w:vAlign w:val="center"/>
            <w:tcMar>
              <w:top w:w="80" w:type="dxa"/>
              <w:bottom w:w="80" w:type="dxa"/>
              <w:left w:w="105" w:type="dxa"/>
              <w:right w:w="105" w:type="dxa"/>
            </w:tcMar>
            <w:shd w:fill="FFFFFF"/>
          </w:tcPr>
          <w:p>
            <w:pPr>
              <w:spacing w:after="20" w:before="20" w:line="247" w:lineRule="auto"/>
            </w:pPr>
            <w:r>
              <w:rPr>
                <w:b w:val="0"/>
                <w:color w:val="000000"/>
                <w:sz w:val="18"/>
              </w:rPr>
              <w:t>camera=(), microphone=(), geolocation=()</w:t>
            </w:r>
          </w:p>
        </w:tc>
        <w:tc>
          <w:tcPr>
            <w:tcW w:type="dxa" w:w="4507"/>
            <w:vAlign w:val="center"/>
            <w:tcMar>
              <w:top w:w="80" w:type="dxa"/>
              <w:bottom w:w="80" w:type="dxa"/>
              <w:left w:w="105" w:type="dxa"/>
              <w:right w:w="105" w:type="dxa"/>
            </w:tcMar>
            <w:shd w:fill="FFFFFF"/>
          </w:tcPr>
          <w:p>
            <w:pPr>
              <w:spacing w:after="20" w:before="20" w:line="247" w:lineRule="auto"/>
            </w:pPr>
            <w:r>
              <w:rPr>
                <w:b w:val="0"/>
                <w:color w:val="000000"/>
                <w:sz w:val="18"/>
              </w:rPr>
              <w:t>Disables these browser capabilities for the site.</w:t>
            </w:r>
          </w:p>
        </w:tc>
      </w:tr>
      <w:tr>
        <w:trPr>
          <w:cantSplit/>
        </w:trPr>
        <w:tc>
          <w:tcPr>
            <w:tcW w:type="dxa" w:w="2448"/>
            <w:vAlign w:val="center"/>
            <w:tcMar>
              <w:top w:w="80" w:type="dxa"/>
              <w:bottom w:w="80" w:type="dxa"/>
              <w:left w:w="105" w:type="dxa"/>
              <w:right w:w="105" w:type="dxa"/>
            </w:tcMar>
            <w:shd w:fill="F2F5F8"/>
          </w:tcPr>
          <w:p>
            <w:pPr>
              <w:spacing w:after="20" w:before="20" w:line="247" w:lineRule="auto"/>
            </w:pPr>
            <w:r>
              <w:rPr>
                <w:b w:val="0"/>
                <w:color w:val="000000"/>
                <w:sz w:val="18"/>
              </w:rPr>
              <w:t>Content-Security-Policy</w:t>
            </w:r>
          </w:p>
        </w:tc>
        <w:tc>
          <w:tcPr>
            <w:tcW w:type="dxa" w:w="2880"/>
            <w:vAlign w:val="center"/>
            <w:tcMar>
              <w:top w:w="80" w:type="dxa"/>
              <w:bottom w:w="80" w:type="dxa"/>
              <w:left w:w="105" w:type="dxa"/>
              <w:right w:w="105" w:type="dxa"/>
            </w:tcMar>
            <w:shd w:fill="F2F5F8"/>
          </w:tcPr>
          <w:p>
            <w:pPr>
              <w:spacing w:after="20" w:before="20" w:line="247" w:lineRule="auto"/>
            </w:pPr>
            <w:r>
              <w:rPr>
                <w:b w:val="0"/>
                <w:color w:val="000000"/>
                <w:sz w:val="18"/>
              </w:rPr>
              <w:t>Directive inventory in section 3</w:t>
            </w:r>
          </w:p>
        </w:tc>
        <w:tc>
          <w:tcPr>
            <w:tcW w:type="dxa" w:w="4507"/>
            <w:vAlign w:val="center"/>
            <w:tcMar>
              <w:top w:w="80" w:type="dxa"/>
              <w:bottom w:w="80" w:type="dxa"/>
              <w:left w:w="105" w:type="dxa"/>
              <w:right w:w="105" w:type="dxa"/>
            </w:tcMar>
            <w:shd w:fill="F2F5F8"/>
          </w:tcPr>
          <w:p>
            <w:pPr>
              <w:spacing w:after="20" w:before="20" w:line="247" w:lineRule="auto"/>
            </w:pPr>
            <w:r>
              <w:rPr>
                <w:b w:val="0"/>
                <w:color w:val="000000"/>
                <w:sz w:val="18"/>
              </w:rPr>
              <w:t>Restricts scripts, styles, images, connections, framing and form targets.</w:t>
            </w:r>
          </w:p>
        </w:tc>
      </w:tr>
      <w:tr>
        <w:trPr>
          <w:cantSplit/>
        </w:trPr>
        <w:tc>
          <w:tcPr>
            <w:tcW w:type="dxa" w:w="2448"/>
            <w:vAlign w:val="center"/>
            <w:tcMar>
              <w:top w:w="80" w:type="dxa"/>
              <w:bottom w:w="80" w:type="dxa"/>
              <w:left w:w="105" w:type="dxa"/>
              <w:right w:w="105" w:type="dxa"/>
            </w:tcMar>
            <w:shd w:fill="FFFFFF"/>
          </w:tcPr>
          <w:p>
            <w:pPr>
              <w:spacing w:after="20" w:before="20" w:line="247" w:lineRule="auto"/>
            </w:pPr>
            <w:r>
              <w:rPr>
                <w:b w:val="0"/>
                <w:color w:val="000000"/>
                <w:sz w:val="18"/>
              </w:rPr>
              <w:t>Server</w:t>
            </w:r>
          </w:p>
        </w:tc>
        <w:tc>
          <w:tcPr>
            <w:tcW w:type="dxa" w:w="2880"/>
            <w:vAlign w:val="center"/>
            <w:tcMar>
              <w:top w:w="80" w:type="dxa"/>
              <w:bottom w:w="80" w:type="dxa"/>
              <w:left w:w="105" w:type="dxa"/>
              <w:right w:w="105" w:type="dxa"/>
            </w:tcMar>
            <w:shd w:fill="FFFFFF"/>
          </w:tcPr>
          <w:p>
            <w:pPr>
              <w:spacing w:after="20" w:before="20" w:line="247" w:lineRule="auto"/>
            </w:pPr>
            <w:r>
              <w:rPr>
                <w:b w:val="0"/>
                <w:color w:val="000000"/>
                <w:sz w:val="18"/>
              </w:rPr>
              <w:t>Removed by Caddy header configuration</w:t>
            </w:r>
          </w:p>
        </w:tc>
        <w:tc>
          <w:tcPr>
            <w:tcW w:type="dxa" w:w="4507"/>
            <w:vAlign w:val="center"/>
            <w:tcMar>
              <w:top w:w="80" w:type="dxa"/>
              <w:bottom w:w="80" w:type="dxa"/>
              <w:left w:w="105" w:type="dxa"/>
              <w:right w:w="105" w:type="dxa"/>
            </w:tcMar>
            <w:shd w:fill="FFFFFF"/>
          </w:tcPr>
          <w:p>
            <w:pPr>
              <w:spacing w:after="20" w:before="20" w:line="247" w:lineRule="auto"/>
            </w:pPr>
            <w:r>
              <w:rPr>
                <w:b w:val="0"/>
                <w:color w:val="000000"/>
                <w:sz w:val="18"/>
              </w:rPr>
              <w:t>Reduces server product disclosure. This is not a substitute for patching.</w:t>
            </w:r>
          </w:p>
        </w:tc>
      </w:tr>
      <w:tr>
        <w:trPr>
          <w:cantSplit/>
        </w:trPr>
        <w:tc>
          <w:tcPr>
            <w:tcW w:type="dxa" w:w="2448"/>
            <w:vAlign w:val="center"/>
            <w:tcMar>
              <w:top w:w="80" w:type="dxa"/>
              <w:bottom w:w="80" w:type="dxa"/>
              <w:left w:w="105" w:type="dxa"/>
              <w:right w:w="105" w:type="dxa"/>
            </w:tcMar>
            <w:shd w:fill="F2F5F8"/>
          </w:tcPr>
          <w:p>
            <w:pPr>
              <w:spacing w:after="20" w:before="20" w:line="247" w:lineRule="auto"/>
            </w:pPr>
            <w:r>
              <w:rPr>
                <w:b w:val="0"/>
                <w:color w:val="000000"/>
                <w:sz w:val="18"/>
              </w:rPr>
              <w:t>Caddy administration</w:t>
            </w:r>
          </w:p>
        </w:tc>
        <w:tc>
          <w:tcPr>
            <w:tcW w:type="dxa" w:w="2880"/>
            <w:vAlign w:val="center"/>
            <w:tcMar>
              <w:top w:w="80" w:type="dxa"/>
              <w:bottom w:w="80" w:type="dxa"/>
              <w:left w:w="105" w:type="dxa"/>
              <w:right w:w="105" w:type="dxa"/>
            </w:tcMar>
            <w:shd w:fill="F2F5F8"/>
          </w:tcPr>
          <w:p>
            <w:pPr>
              <w:spacing w:after="20" w:before="20" w:line="247" w:lineRule="auto"/>
            </w:pPr>
            <w:r>
              <w:rPr>
                <w:b w:val="0"/>
                <w:color w:val="000000"/>
                <w:sz w:val="18"/>
              </w:rPr>
              <w:t>admin off</w:t>
            </w:r>
          </w:p>
        </w:tc>
        <w:tc>
          <w:tcPr>
            <w:tcW w:type="dxa" w:w="4507"/>
            <w:vAlign w:val="center"/>
            <w:tcMar>
              <w:top w:w="80" w:type="dxa"/>
              <w:bottom w:w="80" w:type="dxa"/>
              <w:left w:w="105" w:type="dxa"/>
              <w:right w:w="105" w:type="dxa"/>
            </w:tcMar>
            <w:shd w:fill="F2F5F8"/>
          </w:tcPr>
          <w:p>
            <w:pPr>
              <w:spacing w:after="20" w:before="20" w:line="247" w:lineRule="auto"/>
            </w:pPr>
            <w:r>
              <w:rPr>
                <w:b w:val="0"/>
                <w:color w:val="000000"/>
                <w:sz w:val="18"/>
              </w:rPr>
              <w:t>Disables the Caddy administration endpoint in the supplied configuration.</w:t>
            </w:r>
          </w:p>
        </w:tc>
      </w:tr>
    </w:tbl>
    <w:p>
      <w:pPr>
        <w:widowControl/>
        <w:spacing w:after="0"/>
      </w:pPr>
    </w:p>
    <w:p>
      <w:pPr>
        <w:pStyle w:val="Heading2"/>
      </w:pPr>
      <w:r>
        <w:t>Conditions for HTTPS</w:t>
      </w:r>
    </w:p>
    <w:p>
      <w:pPr>
        <w:widowControl/>
      </w:pPr>
      <w:r>
        <w:t>The domain must resolve to this host, public certificate issuance must succeed, and certificate storage must persist. Caddy handles automatic certificates and HTTP-to-HTTPS redirects for the configured domain. No TLS version or cipher-suite override is defined; those follow the deployed Caddy version and require runtime verification.</w:t>
      </w:r>
    </w:p>
    <w:p>
      <w:pPr>
        <w:widowControl/>
      </w:pPr>
      <w:r>
        <w:t>Port 80 remains published for redirects and certificate validation; it is not an approved plaintext application endpoint. The CI-only HTTP Caddyfile is mounted through the disposable smoke override and must not be used for public hosting.</w:t>
      </w:r>
    </w:p>
    <w:p>
      <w:pPr>
        <w:pStyle w:val="Heading2"/>
      </w:pPr>
      <w:r>
        <w:t>Migrating an existing HTTP installation</w:t>
      </w:r>
    </w:p>
    <w:p>
      <w:pPr>
        <w:widowControl/>
      </w:pPr>
      <w:r>
        <w:t>Set APP_DOMAIN to the domain without a scheme, path or port, and set CORS_ORIGIN to its matching HTTPS origin before rebuilding. Preserve existing keys and the database volume. Verify HTTPS before staff sign in. The production Caddyfile no longer selects a plaintext application site.</w:t>
      </w:r>
    </w:p>
    <w:p>
      <w:pPr>
        <w:widowControl/>
        <w:spacing w:before="160"/>
      </w:pPr>
      <w:r>
        <w:rPr>
          <w:color w:val="555555"/>
          <w:sz w:val="16"/>
        </w:rPr>
        <w:t>Evidence  S1 frontend/deploy/Caddyfile; S2 scripts/prepare-production.cjs; S3 compose.yaml; S4 deployment runbook and CI override.</w:t>
      </w:r>
    </w:p>
    <w:p>
      <w:pPr>
        <w:pStyle w:val="Heading1"/>
        <w:pageBreakBefore/>
        <w:spacing w:before="0"/>
      </w:pPr>
      <w:r>
        <w:t>3 Content security policy and caching</w:t>
      </w:r>
    </w:p>
    <w:p>
      <w:pPr>
        <w:widowControl/>
      </w:pPr>
      <w:r>
        <w:t>The edge policy is enforced through Content-Security-Policy, rather than a report-only header. It is intended for the bundled React application and same-origin API. The following directives reproduce the current Caddy configuration. [S1]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520"/>
        <w:gridCol w:w="5515"/>
      </w:tblGrid>
      <w:tr>
        <w:trPr>
          <w:tblHeader/>
          <w:cantSplit/>
        </w:trPr>
        <w:tc>
          <w:tcPr>
            <w:tcW w:type="dxa" w:w="1800"/>
            <w:vAlign w:val="center"/>
            <w:tcMar>
              <w:top w:w="80" w:type="dxa"/>
              <w:bottom w:w="80" w:type="dxa"/>
              <w:left w:w="105" w:type="dxa"/>
              <w:right w:w="105" w:type="dxa"/>
            </w:tcMar>
            <w:shd w:fill="243B53"/>
          </w:tcPr>
          <w:p>
            <w:pPr>
              <w:spacing w:after="20" w:before="20" w:line="247" w:lineRule="auto"/>
            </w:pPr>
            <w:r>
              <w:rPr>
                <w:b/>
                <w:color w:val="FFFFFF"/>
                <w:sz w:val="18"/>
              </w:rPr>
              <w:t>Directive</w:t>
            </w:r>
          </w:p>
        </w:tc>
        <w:tc>
          <w:tcPr>
            <w:tcW w:type="dxa" w:w="2520"/>
            <w:vAlign w:val="center"/>
            <w:tcMar>
              <w:top w:w="80" w:type="dxa"/>
              <w:bottom w:w="80" w:type="dxa"/>
              <w:left w:w="105" w:type="dxa"/>
              <w:right w:w="105" w:type="dxa"/>
            </w:tcMar>
            <w:shd w:fill="243B53"/>
          </w:tcPr>
          <w:p>
            <w:pPr>
              <w:spacing w:after="20" w:before="20" w:line="247" w:lineRule="auto"/>
            </w:pPr>
            <w:r>
              <w:rPr>
                <w:b/>
                <w:color w:val="FFFFFF"/>
                <w:sz w:val="18"/>
              </w:rPr>
              <w:t>Exact value</w:t>
            </w:r>
          </w:p>
        </w:tc>
        <w:tc>
          <w:tcPr>
            <w:tcW w:type="dxa" w:w="5515"/>
            <w:vAlign w:val="center"/>
            <w:tcMar>
              <w:top w:w="80" w:type="dxa"/>
              <w:bottom w:w="80" w:type="dxa"/>
              <w:left w:w="105" w:type="dxa"/>
              <w:right w:w="105" w:type="dxa"/>
            </w:tcMar>
            <w:shd w:fill="243B53"/>
          </w:tcPr>
          <w:p>
            <w:pPr>
              <w:spacing w:after="20" w:before="20" w:line="247" w:lineRule="auto"/>
            </w:pPr>
            <w:r>
              <w:rPr>
                <w:b/>
                <w:color w:val="FFFFFF"/>
                <w:sz w:val="18"/>
              </w:rPr>
              <w:t>Effect</w:t>
            </w:r>
          </w:p>
        </w:tc>
      </w:tr>
      <w:tr>
        <w:trPr>
          <w:cantSplit/>
        </w:trPr>
        <w:tc>
          <w:tcPr>
            <w:tcW w:type="dxa" w:w="1800"/>
            <w:vAlign w:val="center"/>
            <w:tcMar>
              <w:top w:w="80" w:type="dxa"/>
              <w:bottom w:w="80" w:type="dxa"/>
              <w:left w:w="105" w:type="dxa"/>
              <w:right w:w="105" w:type="dxa"/>
            </w:tcMar>
            <w:shd w:fill="FFFFFF"/>
          </w:tcPr>
          <w:p>
            <w:pPr>
              <w:spacing w:after="20" w:before="20" w:line="247" w:lineRule="auto"/>
            </w:pPr>
            <w:r>
              <w:rPr>
                <w:b w:val="0"/>
                <w:color w:val="000000"/>
                <w:sz w:val="18"/>
              </w:rPr>
              <w:t>default-src</w:t>
            </w:r>
          </w:p>
        </w:tc>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'self'</w:t>
            </w:r>
          </w:p>
        </w:tc>
        <w:tc>
          <w:tcPr>
            <w:tcW w:type="dxa" w:w="5515"/>
            <w:vAlign w:val="center"/>
            <w:tcMar>
              <w:top w:w="80" w:type="dxa"/>
              <w:bottom w:w="80" w:type="dxa"/>
              <w:left w:w="105" w:type="dxa"/>
              <w:right w:w="105" w:type="dxa"/>
            </w:tcMar>
            <w:shd w:fill="FFFFFF"/>
          </w:tcPr>
          <w:p>
            <w:pPr>
              <w:spacing w:after="20" w:before="20" w:line="247" w:lineRule="auto"/>
            </w:pPr>
            <w:r>
              <w:rPr>
                <w:b w:val="0"/>
                <w:color w:val="000000"/>
                <w:sz w:val="18"/>
              </w:rPr>
              <w:t>Default resource policy is the same origin when another directive does not specify the resource type.</w:t>
            </w:r>
          </w:p>
        </w:tc>
      </w:tr>
      <w:tr>
        <w:trPr>
          <w:cantSplit/>
        </w:trPr>
        <w:tc>
          <w:tcPr>
            <w:tcW w:type="dxa" w:w="1800"/>
            <w:vAlign w:val="center"/>
            <w:tcMar>
              <w:top w:w="80" w:type="dxa"/>
              <w:bottom w:w="80" w:type="dxa"/>
              <w:left w:w="105" w:type="dxa"/>
              <w:right w:w="105" w:type="dxa"/>
            </w:tcMar>
            <w:shd w:fill="F2F5F8"/>
          </w:tcPr>
          <w:p>
            <w:pPr>
              <w:spacing w:after="20" w:before="20" w:line="247" w:lineRule="auto"/>
            </w:pPr>
            <w:r>
              <w:rPr>
                <w:b w:val="0"/>
                <w:color w:val="000000"/>
                <w:sz w:val="18"/>
              </w:rPr>
              <w:t>script-src</w:t>
            </w:r>
          </w:p>
        </w:tc>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'self'</w:t>
            </w:r>
          </w:p>
        </w:tc>
        <w:tc>
          <w:tcPr>
            <w:tcW w:type="dxa" w:w="5515"/>
            <w:vAlign w:val="center"/>
            <w:tcMar>
              <w:top w:w="80" w:type="dxa"/>
              <w:bottom w:w="80" w:type="dxa"/>
              <w:left w:w="105" w:type="dxa"/>
              <w:right w:w="105" w:type="dxa"/>
            </w:tcMar>
            <w:shd w:fill="F2F5F8"/>
          </w:tcPr>
          <w:p>
            <w:pPr>
              <w:spacing w:after="20" w:before="20" w:line="247" w:lineRule="auto"/>
            </w:pPr>
            <w:r>
              <w:rPr>
                <w:b w:val="0"/>
                <w:color w:val="000000"/>
                <w:sz w:val="18"/>
              </w:rPr>
              <w:t>Allows same-origin scripts; no unsafe-inline or unsafe-eval allowance is configured for scripts.</w:t>
            </w:r>
          </w:p>
        </w:tc>
      </w:tr>
      <w:tr>
        <w:trPr>
          <w:cantSplit/>
        </w:trPr>
        <w:tc>
          <w:tcPr>
            <w:tcW w:type="dxa" w:w="1800"/>
            <w:vAlign w:val="center"/>
            <w:tcMar>
              <w:top w:w="80" w:type="dxa"/>
              <w:bottom w:w="80" w:type="dxa"/>
              <w:left w:w="105" w:type="dxa"/>
              <w:right w:w="105" w:type="dxa"/>
            </w:tcMar>
            <w:shd w:fill="FFFFFF"/>
          </w:tcPr>
          <w:p>
            <w:pPr>
              <w:spacing w:after="20" w:before="20" w:line="247" w:lineRule="auto"/>
            </w:pPr>
            <w:r>
              <w:rPr>
                <w:b w:val="0"/>
                <w:color w:val="000000"/>
                <w:sz w:val="18"/>
              </w:rPr>
              <w:t>style-src</w:t>
            </w:r>
          </w:p>
        </w:tc>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'self' 'unsafe-inline'</w:t>
            </w:r>
          </w:p>
        </w:tc>
        <w:tc>
          <w:tcPr>
            <w:tcW w:type="dxa" w:w="5515"/>
            <w:vAlign w:val="center"/>
            <w:tcMar>
              <w:top w:w="80" w:type="dxa"/>
              <w:bottom w:w="80" w:type="dxa"/>
              <w:left w:w="105" w:type="dxa"/>
              <w:right w:w="105" w:type="dxa"/>
            </w:tcMar>
            <w:shd w:fill="FFFFFF"/>
          </w:tcPr>
          <w:p>
            <w:pPr>
              <w:spacing w:after="20" w:before="20" w:line="247" w:lineRule="auto"/>
            </w:pPr>
            <w:r>
              <w:rPr>
                <w:b w:val="0"/>
                <w:color w:val="000000"/>
                <w:sz w:val="18"/>
              </w:rPr>
              <w:t>Allows same-origin styles and inline styling used by the application. Inline style permission is a deliberate compatibility allowance.</w:t>
            </w:r>
          </w:p>
        </w:tc>
      </w:tr>
      <w:tr>
        <w:trPr>
          <w:cantSplit/>
        </w:trPr>
        <w:tc>
          <w:tcPr>
            <w:tcW w:type="dxa" w:w="1800"/>
            <w:vAlign w:val="center"/>
            <w:tcMar>
              <w:top w:w="80" w:type="dxa"/>
              <w:bottom w:w="80" w:type="dxa"/>
              <w:left w:w="105" w:type="dxa"/>
              <w:right w:w="105" w:type="dxa"/>
            </w:tcMar>
            <w:shd w:fill="F2F5F8"/>
          </w:tcPr>
          <w:p>
            <w:pPr>
              <w:spacing w:after="20" w:before="20" w:line="247" w:lineRule="auto"/>
            </w:pPr>
            <w:r>
              <w:rPr>
                <w:b w:val="0"/>
                <w:color w:val="000000"/>
                <w:sz w:val="18"/>
              </w:rPr>
              <w:t>img-src</w:t>
            </w:r>
          </w:p>
        </w:tc>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'self' data:</w:t>
            </w:r>
          </w:p>
        </w:tc>
        <w:tc>
          <w:tcPr>
            <w:tcW w:type="dxa" w:w="5515"/>
            <w:vAlign w:val="center"/>
            <w:tcMar>
              <w:top w:w="80" w:type="dxa"/>
              <w:bottom w:w="80" w:type="dxa"/>
              <w:left w:w="105" w:type="dxa"/>
              <w:right w:w="105" w:type="dxa"/>
            </w:tcMar>
            <w:shd w:fill="F2F5F8"/>
          </w:tcPr>
          <w:p>
            <w:pPr>
              <w:spacing w:after="20" w:before="20" w:line="247" w:lineRule="auto"/>
            </w:pPr>
            <w:r>
              <w:rPr>
                <w:b w:val="0"/>
                <w:color w:val="000000"/>
                <w:sz w:val="18"/>
              </w:rPr>
              <w:t>Allows same-origin images and embedded data images, including authenticator QR codes.</w:t>
            </w:r>
          </w:p>
        </w:tc>
      </w:tr>
      <w:tr>
        <w:trPr>
          <w:cantSplit/>
        </w:trPr>
        <w:tc>
          <w:tcPr>
            <w:tcW w:type="dxa" w:w="1800"/>
            <w:vAlign w:val="center"/>
            <w:tcMar>
              <w:top w:w="80" w:type="dxa"/>
              <w:bottom w:w="80" w:type="dxa"/>
              <w:left w:w="105" w:type="dxa"/>
              <w:right w:w="105" w:type="dxa"/>
            </w:tcMar>
            <w:shd w:fill="FFFFFF"/>
          </w:tcPr>
          <w:p>
            <w:pPr>
              <w:spacing w:after="20" w:before="20" w:line="247" w:lineRule="auto"/>
            </w:pPr>
            <w:r>
              <w:rPr>
                <w:b w:val="0"/>
                <w:color w:val="000000"/>
                <w:sz w:val="18"/>
              </w:rPr>
              <w:t>font-src</w:t>
            </w:r>
          </w:p>
        </w:tc>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'self'</w:t>
            </w:r>
          </w:p>
        </w:tc>
        <w:tc>
          <w:tcPr>
            <w:tcW w:type="dxa" w:w="5515"/>
            <w:vAlign w:val="center"/>
            <w:tcMar>
              <w:top w:w="80" w:type="dxa"/>
              <w:bottom w:w="80" w:type="dxa"/>
              <w:left w:w="105" w:type="dxa"/>
              <w:right w:w="105" w:type="dxa"/>
            </w:tcMar>
            <w:shd w:fill="FFFFFF"/>
          </w:tcPr>
          <w:p>
            <w:pPr>
              <w:spacing w:after="20" w:before="20" w:line="247" w:lineRule="auto"/>
            </w:pPr>
            <w:r>
              <w:rPr>
                <w:b w:val="0"/>
                <w:color w:val="000000"/>
                <w:sz w:val="18"/>
              </w:rPr>
              <w:t>Restricts font resources to the same origin.</w:t>
            </w:r>
          </w:p>
        </w:tc>
      </w:tr>
      <w:tr>
        <w:trPr>
          <w:cantSplit/>
        </w:trPr>
        <w:tc>
          <w:tcPr>
            <w:tcW w:type="dxa" w:w="1800"/>
            <w:vAlign w:val="center"/>
            <w:tcMar>
              <w:top w:w="80" w:type="dxa"/>
              <w:bottom w:w="80" w:type="dxa"/>
              <w:left w:w="105" w:type="dxa"/>
              <w:right w:w="105" w:type="dxa"/>
            </w:tcMar>
            <w:shd w:fill="F2F5F8"/>
          </w:tcPr>
          <w:p>
            <w:pPr>
              <w:spacing w:after="20" w:before="20" w:line="247" w:lineRule="auto"/>
            </w:pPr>
            <w:r>
              <w:rPr>
                <w:b w:val="0"/>
                <w:color w:val="000000"/>
                <w:sz w:val="18"/>
              </w:rPr>
              <w:t>connect-src</w:t>
            </w:r>
          </w:p>
        </w:tc>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'self'</w:t>
            </w:r>
          </w:p>
        </w:tc>
        <w:tc>
          <w:tcPr>
            <w:tcW w:type="dxa" w:w="5515"/>
            <w:vAlign w:val="center"/>
            <w:tcMar>
              <w:top w:w="80" w:type="dxa"/>
              <w:bottom w:w="80" w:type="dxa"/>
              <w:left w:w="105" w:type="dxa"/>
              <w:right w:w="105" w:type="dxa"/>
            </w:tcMar>
            <w:shd w:fill="F2F5F8"/>
          </w:tcPr>
          <w:p>
            <w:pPr>
              <w:spacing w:after="20" w:before="20" w:line="247" w:lineRule="auto"/>
            </w:pPr>
            <w:r>
              <w:rPr>
                <w:b w:val="0"/>
                <w:color w:val="000000"/>
                <w:sz w:val="18"/>
              </w:rPr>
              <w:t>Restricts browser fetch and other covered connections to the same origin. PMS calls occur on the server.</w:t>
            </w:r>
          </w:p>
        </w:tc>
      </w:tr>
      <w:tr>
        <w:trPr>
          <w:cantSplit/>
        </w:trPr>
        <w:tc>
          <w:tcPr>
            <w:tcW w:type="dxa" w:w="1800"/>
            <w:vAlign w:val="center"/>
            <w:tcMar>
              <w:top w:w="80" w:type="dxa"/>
              <w:bottom w:w="80" w:type="dxa"/>
              <w:left w:w="105" w:type="dxa"/>
              <w:right w:w="105" w:type="dxa"/>
            </w:tcMar>
            <w:shd w:fill="FFFFFF"/>
          </w:tcPr>
          <w:p>
            <w:pPr>
              <w:spacing w:after="20" w:before="20" w:line="247" w:lineRule="auto"/>
            </w:pPr>
            <w:r>
              <w:rPr>
                <w:b w:val="0"/>
                <w:color w:val="000000"/>
                <w:sz w:val="18"/>
              </w:rPr>
              <w:t>object-src</w:t>
            </w:r>
          </w:p>
        </w:tc>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'none'</w:t>
            </w:r>
          </w:p>
        </w:tc>
        <w:tc>
          <w:tcPr>
            <w:tcW w:type="dxa" w:w="5515"/>
            <w:vAlign w:val="center"/>
            <w:tcMar>
              <w:top w:w="80" w:type="dxa"/>
              <w:bottom w:w="80" w:type="dxa"/>
              <w:left w:w="105" w:type="dxa"/>
              <w:right w:w="105" w:type="dxa"/>
            </w:tcMar>
            <w:shd w:fill="FFFFFF"/>
          </w:tcPr>
          <w:p>
            <w:pPr>
              <w:spacing w:after="20" w:before="20" w:line="247" w:lineRule="auto"/>
            </w:pPr>
            <w:r>
              <w:rPr>
                <w:b w:val="0"/>
                <w:color w:val="000000"/>
                <w:sz w:val="18"/>
              </w:rPr>
              <w:t>Blocks object and embed plugin content.</w:t>
            </w:r>
          </w:p>
        </w:tc>
      </w:tr>
      <w:tr>
        <w:trPr>
          <w:cantSplit/>
        </w:trPr>
        <w:tc>
          <w:tcPr>
            <w:tcW w:type="dxa" w:w="1800"/>
            <w:vAlign w:val="center"/>
            <w:tcMar>
              <w:top w:w="80" w:type="dxa"/>
              <w:bottom w:w="80" w:type="dxa"/>
              <w:left w:w="105" w:type="dxa"/>
              <w:right w:w="105" w:type="dxa"/>
            </w:tcMar>
            <w:shd w:fill="F2F5F8"/>
          </w:tcPr>
          <w:p>
            <w:pPr>
              <w:spacing w:after="20" w:before="20" w:line="247" w:lineRule="auto"/>
            </w:pPr>
            <w:r>
              <w:rPr>
                <w:b w:val="0"/>
                <w:color w:val="000000"/>
                <w:sz w:val="18"/>
              </w:rPr>
              <w:t>base-uri</w:t>
            </w:r>
          </w:p>
        </w:tc>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'none'</w:t>
            </w:r>
          </w:p>
        </w:tc>
        <w:tc>
          <w:tcPr>
            <w:tcW w:type="dxa" w:w="5515"/>
            <w:vAlign w:val="center"/>
            <w:tcMar>
              <w:top w:w="80" w:type="dxa"/>
              <w:bottom w:w="80" w:type="dxa"/>
              <w:left w:w="105" w:type="dxa"/>
              <w:right w:w="105" w:type="dxa"/>
            </w:tcMar>
            <w:shd w:fill="F2F5F8"/>
          </w:tcPr>
          <w:p>
            <w:pPr>
              <w:spacing w:after="20" w:before="20" w:line="247" w:lineRule="auto"/>
            </w:pPr>
            <w:r>
              <w:rPr>
                <w:b w:val="0"/>
                <w:color w:val="000000"/>
                <w:sz w:val="18"/>
              </w:rPr>
              <w:t>Prevents an injected base element changing relative URL resolution.</w:t>
            </w:r>
          </w:p>
        </w:tc>
      </w:tr>
      <w:tr>
        <w:trPr>
          <w:cantSplit/>
        </w:trPr>
        <w:tc>
          <w:tcPr>
            <w:tcW w:type="dxa" w:w="1800"/>
            <w:vAlign w:val="center"/>
            <w:tcMar>
              <w:top w:w="80" w:type="dxa"/>
              <w:bottom w:w="80" w:type="dxa"/>
              <w:left w:w="105" w:type="dxa"/>
              <w:right w:w="105" w:type="dxa"/>
            </w:tcMar>
            <w:shd w:fill="FFFFFF"/>
          </w:tcPr>
          <w:p>
            <w:pPr>
              <w:spacing w:after="20" w:before="20" w:line="247" w:lineRule="auto"/>
            </w:pPr>
            <w:r>
              <w:rPr>
                <w:b w:val="0"/>
                <w:color w:val="000000"/>
                <w:sz w:val="18"/>
              </w:rPr>
              <w:t>frame-ancestors</w:t>
            </w:r>
          </w:p>
        </w:tc>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'none'</w:t>
            </w:r>
          </w:p>
        </w:tc>
        <w:tc>
          <w:tcPr>
            <w:tcW w:type="dxa" w:w="5515"/>
            <w:vAlign w:val="center"/>
            <w:tcMar>
              <w:top w:w="80" w:type="dxa"/>
              <w:bottom w:w="80" w:type="dxa"/>
              <w:left w:w="105" w:type="dxa"/>
              <w:right w:w="105" w:type="dxa"/>
            </w:tcMar>
            <w:shd w:fill="FFFFFF"/>
          </w:tcPr>
          <w:p>
            <w:pPr>
              <w:spacing w:after="20" w:before="20" w:line="247" w:lineRule="auto"/>
            </w:pPr>
            <w:r>
              <w:rPr>
                <w:b w:val="0"/>
                <w:color w:val="000000"/>
                <w:sz w:val="18"/>
              </w:rPr>
              <w:t>Prevents other documents framing this application.</w:t>
            </w:r>
          </w:p>
        </w:tc>
      </w:tr>
      <w:tr>
        <w:trPr>
          <w:cantSplit/>
        </w:trPr>
        <w:tc>
          <w:tcPr>
            <w:tcW w:type="dxa" w:w="1800"/>
            <w:vAlign w:val="center"/>
            <w:tcMar>
              <w:top w:w="80" w:type="dxa"/>
              <w:bottom w:w="80" w:type="dxa"/>
              <w:left w:w="105" w:type="dxa"/>
              <w:right w:w="105" w:type="dxa"/>
            </w:tcMar>
            <w:shd w:fill="F2F5F8"/>
          </w:tcPr>
          <w:p>
            <w:pPr>
              <w:spacing w:after="20" w:before="20" w:line="247" w:lineRule="auto"/>
            </w:pPr>
            <w:r>
              <w:rPr>
                <w:b w:val="0"/>
                <w:color w:val="000000"/>
                <w:sz w:val="18"/>
              </w:rPr>
              <w:t>form-action</w:t>
            </w:r>
          </w:p>
        </w:tc>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'self'</w:t>
            </w:r>
          </w:p>
        </w:tc>
        <w:tc>
          <w:tcPr>
            <w:tcW w:type="dxa" w:w="5515"/>
            <w:vAlign w:val="center"/>
            <w:tcMar>
              <w:top w:w="80" w:type="dxa"/>
              <w:bottom w:w="80" w:type="dxa"/>
              <w:left w:w="105" w:type="dxa"/>
              <w:right w:w="105" w:type="dxa"/>
            </w:tcMar>
            <w:shd w:fill="F2F5F8"/>
          </w:tcPr>
          <w:p>
            <w:pPr>
              <w:spacing w:after="20" w:before="20" w:line="247" w:lineRule="auto"/>
            </w:pPr>
            <w:r>
              <w:rPr>
                <w:b w:val="0"/>
                <w:color w:val="000000"/>
                <w:sz w:val="18"/>
              </w:rPr>
              <w:t>Restricts form submissions to the same origin.</w:t>
            </w:r>
          </w:p>
        </w:tc>
      </w:tr>
    </w:tbl>
    <w:p>
      <w:pPr>
        <w:widowControl/>
        <w:spacing w:after="0"/>
      </w:pPr>
    </w:p>
    <w:p>
      <w:pPr>
        <w:pStyle w:val="Heading2"/>
      </w:pPr>
      <w:r>
        <w:t>Policy boundaries</w:t>
      </w:r>
    </w:p>
    <w:p>
      <w:pPr>
        <w:widowControl/>
      </w:pPr>
      <w:r>
        <w:t>The policy does not configure nonces, script hashes, a CSP reporting endpoint or Trusted Types. It must be tested when adding external scripts, fonts, analytics or integrations. The same-origin policy does not prevent harmful content already hosted at the application origin. React escaping, authorization and input validation remain necessary.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4104"/>
        <w:gridCol w:w="2779"/>
      </w:tblGrid>
      <w:tr>
        <w:trPr>
          <w:tblHeader/>
          <w:cantSplit/>
        </w:trPr>
        <w:tc>
          <w:tcPr>
            <w:tcW w:type="dxa" w:w="2952"/>
            <w:vAlign w:val="center"/>
            <w:tcMar>
              <w:top w:w="80" w:type="dxa"/>
              <w:bottom w:w="80" w:type="dxa"/>
              <w:left w:w="105" w:type="dxa"/>
              <w:right w:w="105" w:type="dxa"/>
            </w:tcMar>
            <w:shd w:fill="243B53"/>
          </w:tcPr>
          <w:p>
            <w:pPr>
              <w:spacing w:after="20" w:before="20" w:line="247" w:lineRule="auto"/>
            </w:pPr>
            <w:r>
              <w:rPr>
                <w:b/>
                <w:color w:val="FFFFFF"/>
                <w:sz w:val="18"/>
              </w:rPr>
              <w:t>Response group</w:t>
            </w:r>
          </w:p>
        </w:tc>
        <w:tc>
          <w:tcPr>
            <w:tcW w:type="dxa" w:w="4104"/>
            <w:vAlign w:val="center"/>
            <w:tcMar>
              <w:top w:w="80" w:type="dxa"/>
              <w:bottom w:w="80" w:type="dxa"/>
              <w:left w:w="105" w:type="dxa"/>
              <w:right w:w="105" w:type="dxa"/>
            </w:tcMar>
            <w:shd w:fill="243B53"/>
          </w:tcPr>
          <w:p>
            <w:pPr>
              <w:spacing w:after="20" w:before="20" w:line="247" w:lineRule="auto"/>
            </w:pPr>
            <w:r>
              <w:rPr>
                <w:b/>
                <w:color w:val="FFFFFF"/>
                <w:sz w:val="18"/>
              </w:rPr>
              <w:t>Cache Control</w:t>
            </w:r>
          </w:p>
        </w:tc>
        <w:tc>
          <w:tcPr>
            <w:tcW w:type="dxa" w:w="2779"/>
            <w:vAlign w:val="center"/>
            <w:tcMar>
              <w:top w:w="80" w:type="dxa"/>
              <w:bottom w:w="80" w:type="dxa"/>
              <w:left w:w="105" w:type="dxa"/>
              <w:right w:w="105" w:type="dxa"/>
            </w:tcMar>
            <w:shd w:fill="243B53"/>
          </w:tcPr>
          <w:p>
            <w:pPr>
              <w:spacing w:after="20" w:before="20" w:line="247" w:lineRule="auto"/>
            </w:pPr>
            <w:r>
              <w:rPr>
                <w:b/>
                <w:color w:val="FFFFFF"/>
                <w:sz w:val="18"/>
              </w:rPr>
              <w:t>Reason</w:t>
            </w:r>
          </w:p>
        </w:tc>
      </w:tr>
      <w:tr>
        <w:trPr>
          <w:cantSplit/>
        </w:trPr>
        <w:tc>
          <w:tcPr>
            <w:tcW w:type="dxa" w:w="2952"/>
            <w:vAlign w:val="center"/>
            <w:tcMar>
              <w:top w:w="80" w:type="dxa"/>
              <w:bottom w:w="80" w:type="dxa"/>
              <w:left w:w="105" w:type="dxa"/>
              <w:right w:w="105" w:type="dxa"/>
            </w:tcMar>
            <w:shd w:fill="FFFFFF"/>
          </w:tcPr>
          <w:p>
            <w:pPr>
              <w:spacing w:after="20" w:before="20" w:line="247" w:lineRule="auto"/>
            </w:pPr>
            <w:r>
              <w:rPr>
                <w:b w:val="0"/>
                <w:color w:val="000000"/>
                <w:sz w:val="18"/>
              </w:rPr>
              <w:t>/api/* at Caddy</w:t>
            </w:r>
          </w:p>
        </w:tc>
        <w:tc>
          <w:tcPr>
            <w:tcW w:type="dxa" w:w="4104"/>
            <w:vAlign w:val="center"/>
            <w:tcMar>
              <w:top w:w="80" w:type="dxa"/>
              <w:bottom w:w="80" w:type="dxa"/>
              <w:left w:w="105" w:type="dxa"/>
              <w:right w:w="105" w:type="dxa"/>
            </w:tcMar>
            <w:shd w:fill="FFFFFF"/>
          </w:tcPr>
          <w:p>
            <w:pPr>
              <w:spacing w:after="20" w:before="20" w:line="247" w:lineRule="auto"/>
            </w:pPr>
            <w:r>
              <w:rPr>
                <w:b w:val="0"/>
                <w:color w:val="000000"/>
                <w:sz w:val="18"/>
              </w:rPr>
              <w:t>no-store</w:t>
            </w:r>
          </w:p>
        </w:tc>
        <w:tc>
          <w:tcPr>
            <w:tcW w:type="dxa" w:w="2779"/>
            <w:vAlign w:val="center"/>
            <w:tcMar>
              <w:top w:w="80" w:type="dxa"/>
              <w:bottom w:w="80" w:type="dxa"/>
              <w:left w:w="105" w:type="dxa"/>
              <w:right w:w="105" w:type="dxa"/>
            </w:tcMar>
            <w:shd w:fill="FFFFFF"/>
          </w:tcPr>
          <w:p>
            <w:pPr>
              <w:spacing w:after="20" w:before="20" w:line="247" w:lineRule="auto"/>
            </w:pPr>
            <w:r>
              <w:rPr>
                <w:b w:val="0"/>
                <w:color w:val="000000"/>
                <w:sz w:val="18"/>
              </w:rPr>
              <w:t>Requests browsers and intermediaries not to retain API responses.</w:t>
            </w:r>
          </w:p>
        </w:tc>
      </w:tr>
      <w:tr>
        <w:trPr>
          <w:cantSplit/>
        </w:trPr>
        <w:tc>
          <w:tcPr>
            <w:tcW w:type="dxa" w:w="2952"/>
            <w:vAlign w:val="center"/>
            <w:tcMar>
              <w:top w:w="80" w:type="dxa"/>
              <w:bottom w:w="80" w:type="dxa"/>
              <w:left w:w="105" w:type="dxa"/>
              <w:right w:w="105" w:type="dxa"/>
            </w:tcMar>
            <w:shd w:fill="F2F5F8"/>
          </w:tcPr>
          <w:p>
            <w:pPr>
              <w:spacing w:after="20" w:before="20" w:line="247" w:lineRule="auto"/>
            </w:pPr>
            <w:r>
              <w:rPr>
                <w:b w:val="0"/>
                <w:color w:val="000000"/>
                <w:sz w:val="18"/>
              </w:rPr>
              <w:t>/assets/*</w:t>
            </w:r>
          </w:p>
        </w:tc>
        <w:tc>
          <w:tcPr>
            <w:tcW w:type="dxa" w:w="4104"/>
            <w:vAlign w:val="center"/>
            <w:tcMar>
              <w:top w:w="80" w:type="dxa"/>
              <w:bottom w:w="80" w:type="dxa"/>
              <w:left w:w="105" w:type="dxa"/>
              <w:right w:w="105" w:type="dxa"/>
            </w:tcMar>
            <w:shd w:fill="F2F5F8"/>
          </w:tcPr>
          <w:p>
            <w:pPr>
              <w:spacing w:after="20" w:before="20" w:line="247" w:lineRule="auto"/>
            </w:pPr>
            <w:r>
              <w:rPr>
                <w:b w:val="0"/>
                <w:color w:val="000000"/>
                <w:sz w:val="18"/>
              </w:rPr>
              <w:t>public, max-age=31536000, immutable</w:t>
            </w:r>
          </w:p>
        </w:tc>
        <w:tc>
          <w:tcPr>
            <w:tcW w:type="dxa" w:w="2779"/>
            <w:vAlign w:val="center"/>
            <w:tcMar>
              <w:top w:w="80" w:type="dxa"/>
              <w:bottom w:w="80" w:type="dxa"/>
              <w:left w:w="105" w:type="dxa"/>
              <w:right w:w="105" w:type="dxa"/>
            </w:tcMar>
            <w:shd w:fill="F2F5F8"/>
          </w:tcPr>
          <w:p>
            <w:pPr>
              <w:spacing w:after="20" w:before="20" w:line="247" w:lineRule="auto"/>
            </w:pPr>
            <w:r>
              <w:rPr>
                <w:b w:val="0"/>
                <w:color w:val="000000"/>
                <w:sz w:val="18"/>
              </w:rPr>
              <w:t>Long caching for build-hashed static assets; this does not apply to API data.</w:t>
            </w:r>
          </w:p>
        </w:tc>
      </w:tr>
      <w:tr>
        <w:trPr>
          <w:cantSplit/>
        </w:trPr>
        <w:tc>
          <w:tcPr>
            <w:tcW w:type="dxa" w:w="2952"/>
            <w:vAlign w:val="center"/>
            <w:tcMar>
              <w:top w:w="80" w:type="dxa"/>
              <w:bottom w:w="80" w:type="dxa"/>
              <w:left w:w="105" w:type="dxa"/>
              <w:right w:w="105" w:type="dxa"/>
            </w:tcMar>
            <w:shd w:fill="FFFFFF"/>
          </w:tcPr>
          <w:p>
            <w:pPr>
              <w:spacing w:after="20" w:before="20" w:line="247" w:lineRule="auto"/>
            </w:pPr>
            <w:r>
              <w:rPr>
                <w:b w:val="0"/>
                <w:color w:val="000000"/>
                <w:sz w:val="18"/>
              </w:rPr>
              <w:t>HTML and other static fallback</w:t>
            </w:r>
          </w:p>
        </w:tc>
        <w:tc>
          <w:tcPr>
            <w:tcW w:type="dxa" w:w="4104"/>
            <w:vAlign w:val="center"/>
            <w:tcMar>
              <w:top w:w="80" w:type="dxa"/>
              <w:bottom w:w="80" w:type="dxa"/>
              <w:left w:w="105" w:type="dxa"/>
              <w:right w:w="105" w:type="dxa"/>
            </w:tcMar>
            <w:shd w:fill="FFFFFF"/>
          </w:tcPr>
          <w:p>
            <w:pPr>
              <w:spacing w:after="20" w:before="20" w:line="247" w:lineRule="auto"/>
            </w:pPr>
            <w:r>
              <w:rPr>
                <w:b w:val="0"/>
                <w:color w:val="000000"/>
                <w:sz w:val="18"/>
              </w:rPr>
              <w:t>no-cache</w:t>
            </w:r>
          </w:p>
        </w:tc>
        <w:tc>
          <w:tcPr>
            <w:tcW w:type="dxa" w:w="2779"/>
            <w:vAlign w:val="center"/>
            <w:tcMar>
              <w:top w:w="80" w:type="dxa"/>
              <w:bottom w:w="80" w:type="dxa"/>
              <w:left w:w="105" w:type="dxa"/>
              <w:right w:w="105" w:type="dxa"/>
            </w:tcMar>
            <w:shd w:fill="FFFFFF"/>
          </w:tcPr>
          <w:p>
            <w:pPr>
              <w:spacing w:after="20" w:before="20" w:line="247" w:lineRule="auto"/>
            </w:pPr>
            <w:r>
              <w:rPr>
                <w:b w:val="0"/>
                <w:color w:val="000000"/>
                <w:sz w:val="18"/>
              </w:rPr>
              <w:t>Requires revalidation, helping clients receive the current application shell.</w:t>
            </w:r>
          </w:p>
        </w:tc>
      </w:tr>
      <w:tr>
        <w:trPr>
          <w:cantSplit/>
        </w:trPr>
        <w:tc>
          <w:tcPr>
            <w:tcW w:type="dxa" w:w="2952"/>
            <w:vAlign w:val="center"/>
            <w:tcMar>
              <w:top w:w="80" w:type="dxa"/>
              <w:bottom w:w="80" w:type="dxa"/>
              <w:left w:w="105" w:type="dxa"/>
              <w:right w:w="105" w:type="dxa"/>
            </w:tcMar>
            <w:shd w:fill="F2F5F8"/>
          </w:tcPr>
          <w:p>
            <w:pPr>
              <w:spacing w:after="20" w:before="20" w:line="247" w:lineRule="auto"/>
            </w:pPr>
            <w:r>
              <w:rPr>
                <w:b w:val="0"/>
                <w:color w:val="000000"/>
                <w:sz w:val="18"/>
              </w:rPr>
              <w:t>Account and recovery router</w:t>
            </w:r>
          </w:p>
        </w:tc>
        <w:tc>
          <w:tcPr>
            <w:tcW w:type="dxa" w:w="4104"/>
            <w:vAlign w:val="center"/>
            <w:tcMar>
              <w:top w:w="80" w:type="dxa"/>
              <w:bottom w:w="80" w:type="dxa"/>
              <w:left w:w="105" w:type="dxa"/>
              <w:right w:w="105" w:type="dxa"/>
            </w:tcMar>
            <w:shd w:fill="F2F5F8"/>
          </w:tcPr>
          <w:p>
            <w:pPr>
              <w:spacing w:after="20" w:before="20" w:line="247" w:lineRule="auto"/>
            </w:pPr>
            <w:r>
              <w:rPr>
                <w:b w:val="0"/>
                <w:color w:val="000000"/>
                <w:sz w:val="18"/>
              </w:rPr>
              <w:t>no-store</w:t>
            </w:r>
          </w:p>
        </w:tc>
        <w:tc>
          <w:tcPr>
            <w:tcW w:type="dxa" w:w="2779"/>
            <w:vAlign w:val="center"/>
            <w:tcMar>
              <w:top w:w="80" w:type="dxa"/>
              <w:bottom w:w="80" w:type="dxa"/>
              <w:left w:w="105" w:type="dxa"/>
              <w:right w:w="105" w:type="dxa"/>
            </w:tcMar>
            <w:shd w:fill="F2F5F8"/>
          </w:tcPr>
          <w:p>
            <w:pPr>
              <w:spacing w:after="20" w:before="20" w:line="247" w:lineRule="auto"/>
            </w:pPr>
            <w:r>
              <w:rPr>
                <w:b w:val="0"/>
                <w:color w:val="000000"/>
                <w:sz w:val="18"/>
              </w:rPr>
              <w:t>Application-level cache protection for the /api/auth router chain.</w:t>
            </w:r>
          </w:p>
        </w:tc>
      </w:tr>
    </w:tbl>
    <w:p>
      <w:pPr>
        <w:widowControl/>
        <w:spacing w:after="0"/>
      </w:pPr>
    </w:p>
    <w:p>
      <w:pPr>
        <w:widowControl/>
        <w:spacing w:before="160"/>
      </w:pPr>
      <w:r>
        <w:rPr>
          <w:color w:val="555555"/>
          <w:sz w:val="16"/>
        </w:rPr>
        <w:t>Evidence  S1 edge header and cache rules; S7 password router cache middleware. API and edge headers overlap; confirm final public response values after deployment.</w:t>
      </w:r>
    </w:p>
    <w:p>
      <w:pPr>
        <w:pStyle w:val="Heading1"/>
        <w:pageBreakBefore/>
        <w:spacing w:before="0"/>
      </w:pPr>
      <w:r>
        <w:t>4 API headers and browser origin controls</w:t>
      </w:r>
    </w:p>
    <w:p>
      <w:pPr>
        <w:widowControl/>
      </w:pPr>
      <w:r>
        <w:t>Express uses Helmet 8.3.0 in the installed dependency snapshot. The table below records the headers emitted locally by Helmet with the application options. These describe the API layer; they are not a capture of production responses. Caddy also sets several of these headers. The final public values must be checked through the deployed proxy. [S5]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168"/>
        <w:gridCol w:w="3211"/>
      </w:tblGrid>
      <w:tr>
        <w:trPr>
          <w:tblHeader/>
          <w:cantSplit/>
        </w:trPr>
        <w:tc>
          <w:tcPr>
            <w:tcW w:type="dxa" w:w="3456"/>
            <w:vAlign w:val="center"/>
            <w:tcMar>
              <w:top w:w="80" w:type="dxa"/>
              <w:bottom w:w="80" w:type="dxa"/>
              <w:left w:w="105" w:type="dxa"/>
              <w:right w:w="105" w:type="dxa"/>
            </w:tcMar>
            <w:shd w:fill="243B53"/>
          </w:tcPr>
          <w:p>
            <w:pPr>
              <w:spacing w:after="20" w:before="20" w:line="247" w:lineRule="auto"/>
            </w:pPr>
            <w:r>
              <w:rPr>
                <w:b/>
                <w:color w:val="FFFFFF"/>
                <w:sz w:val="18"/>
              </w:rPr>
              <w:t>API header</w:t>
            </w:r>
          </w:p>
        </w:tc>
        <w:tc>
          <w:tcPr>
            <w:tcW w:type="dxa" w:w="3168"/>
            <w:vAlign w:val="center"/>
            <w:tcMar>
              <w:top w:w="80" w:type="dxa"/>
              <w:bottom w:w="80" w:type="dxa"/>
              <w:left w:w="105" w:type="dxa"/>
              <w:right w:w="105" w:type="dxa"/>
            </w:tcMar>
            <w:shd w:fill="243B53"/>
          </w:tcPr>
          <w:p>
            <w:pPr>
              <w:spacing w:after="20" w:before="20" w:line="247" w:lineRule="auto"/>
            </w:pPr>
            <w:r>
              <w:rPr>
                <w:b/>
                <w:color w:val="FFFFFF"/>
                <w:sz w:val="18"/>
              </w:rPr>
              <w:t>Emitted value</w:t>
            </w:r>
          </w:p>
        </w:tc>
        <w:tc>
          <w:tcPr>
            <w:tcW w:type="dxa" w:w="3211"/>
            <w:vAlign w:val="center"/>
            <w:tcMar>
              <w:top w:w="80" w:type="dxa"/>
              <w:bottom w:w="80" w:type="dxa"/>
              <w:left w:w="105" w:type="dxa"/>
              <w:right w:w="105" w:type="dxa"/>
            </w:tcMar>
            <w:shd w:fill="243B53"/>
          </w:tcPr>
          <w:p>
            <w:pPr>
              <w:spacing w:after="20" w:before="20" w:line="247" w:lineRule="auto"/>
            </w:pPr>
            <w:r>
              <w:rPr>
                <w:b/>
                <w:color w:val="FFFFFF"/>
                <w:sz w:val="18"/>
              </w:rPr>
              <w:t>Purpose</w:t>
            </w:r>
          </w:p>
        </w:tc>
      </w:tr>
      <w:tr>
        <w:trPr>
          <w:cantSplit/>
        </w:trPr>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Cross-Origin-Opener-Policy</w:t>
            </w:r>
          </w:p>
        </w:tc>
        <w:tc>
          <w:tcPr>
            <w:tcW w:type="dxa" w:w="3168"/>
            <w:vAlign w:val="center"/>
            <w:tcMar>
              <w:top w:w="80" w:type="dxa"/>
              <w:bottom w:w="80" w:type="dxa"/>
              <w:left w:w="105" w:type="dxa"/>
              <w:right w:w="105" w:type="dxa"/>
            </w:tcMar>
            <w:shd w:fill="FFFFFF"/>
          </w:tcPr>
          <w:p>
            <w:pPr>
              <w:spacing w:after="20" w:before="20" w:line="247" w:lineRule="auto"/>
            </w:pPr>
            <w:r>
              <w:rPr>
                <w:b w:val="0"/>
                <w:color w:val="000000"/>
                <w:sz w:val="18"/>
              </w:rPr>
              <w:t>same-origin</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Separates covered cross-origin browsing context relationships.</w:t>
            </w:r>
          </w:p>
        </w:tc>
      </w:tr>
      <w:tr>
        <w:trPr>
          <w:cantSplit/>
        </w:trPr>
        <w:tc>
          <w:tcPr>
            <w:tcW w:type="dxa" w:w="3456"/>
            <w:vAlign w:val="center"/>
            <w:tcMar>
              <w:top w:w="80" w:type="dxa"/>
              <w:bottom w:w="80" w:type="dxa"/>
              <w:left w:w="105" w:type="dxa"/>
              <w:right w:w="105" w:type="dxa"/>
            </w:tcMar>
            <w:shd w:fill="F2F5F8"/>
          </w:tcPr>
          <w:p>
            <w:pPr>
              <w:spacing w:after="20" w:before="20" w:line="247" w:lineRule="auto"/>
            </w:pPr>
            <w:r>
              <w:rPr>
                <w:b w:val="0"/>
                <w:color w:val="000000"/>
                <w:sz w:val="18"/>
              </w:rPr>
              <w:t>Cross-Origin-Resource-Policy</w:t>
            </w:r>
          </w:p>
        </w:tc>
        <w:tc>
          <w:tcPr>
            <w:tcW w:type="dxa" w:w="3168"/>
            <w:vAlign w:val="center"/>
            <w:tcMar>
              <w:top w:w="80" w:type="dxa"/>
              <w:bottom w:w="80" w:type="dxa"/>
              <w:left w:w="105" w:type="dxa"/>
              <w:right w:w="105" w:type="dxa"/>
            </w:tcMar>
            <w:shd w:fill="F2F5F8"/>
          </w:tcPr>
          <w:p>
            <w:pPr>
              <w:spacing w:after="20" w:before="20" w:line="247" w:lineRule="auto"/>
            </w:pPr>
            <w:r>
              <w:rPr>
                <w:b w:val="0"/>
                <w:color w:val="000000"/>
                <w:sz w:val="18"/>
              </w:rPr>
              <w:t>cross-origin</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Explicitly permits cross-origin resource loading at this layer; it is not an authorization control.</w:t>
            </w:r>
          </w:p>
        </w:tc>
      </w:tr>
      <w:tr>
        <w:trPr>
          <w:cantSplit/>
        </w:trPr>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Origin-Agent-Cluster</w:t>
            </w:r>
          </w:p>
        </w:tc>
        <w:tc>
          <w:tcPr>
            <w:tcW w:type="dxa" w:w="3168"/>
            <w:vAlign w:val="center"/>
            <w:tcMar>
              <w:top w:w="80" w:type="dxa"/>
              <w:bottom w:w="80" w:type="dxa"/>
              <w:left w:w="105" w:type="dxa"/>
              <w:right w:w="105" w:type="dxa"/>
            </w:tcMar>
            <w:shd w:fill="FFFFFF"/>
          </w:tcPr>
          <w:p>
            <w:pPr>
              <w:spacing w:after="20" w:before="20" w:line="247" w:lineRule="auto"/>
            </w:pPr>
            <w:r>
              <w:rPr>
                <w:b w:val="0"/>
                <w:color w:val="000000"/>
                <w:sz w:val="18"/>
              </w:rPr>
              <w:t>?1</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Requests origin-based agent clustering where supported.</w:t>
            </w:r>
          </w:p>
        </w:tc>
      </w:tr>
      <w:tr>
        <w:trPr>
          <w:cantSplit/>
        </w:trPr>
        <w:tc>
          <w:tcPr>
            <w:tcW w:type="dxa" w:w="3456"/>
            <w:vAlign w:val="center"/>
            <w:tcMar>
              <w:top w:w="80" w:type="dxa"/>
              <w:bottom w:w="80" w:type="dxa"/>
              <w:left w:w="105" w:type="dxa"/>
              <w:right w:w="105" w:type="dxa"/>
            </w:tcMar>
            <w:shd w:fill="F2F5F8"/>
          </w:tcPr>
          <w:p>
            <w:pPr>
              <w:spacing w:after="20" w:before="20" w:line="247" w:lineRule="auto"/>
            </w:pPr>
            <w:r>
              <w:rPr>
                <w:b w:val="0"/>
                <w:color w:val="000000"/>
                <w:sz w:val="18"/>
              </w:rPr>
              <w:t>Referrer-Policy</w:t>
            </w:r>
          </w:p>
        </w:tc>
        <w:tc>
          <w:tcPr>
            <w:tcW w:type="dxa" w:w="3168"/>
            <w:vAlign w:val="center"/>
            <w:tcMar>
              <w:top w:w="80" w:type="dxa"/>
              <w:bottom w:w="80" w:type="dxa"/>
              <w:left w:w="105" w:type="dxa"/>
              <w:right w:w="105" w:type="dxa"/>
            </w:tcMar>
            <w:shd w:fill="F2F5F8"/>
          </w:tcPr>
          <w:p>
            <w:pPr>
              <w:spacing w:after="20" w:before="20" w:line="247" w:lineRule="auto"/>
            </w:pPr>
            <w:r>
              <w:rPr>
                <w:b w:val="0"/>
                <w:color w:val="000000"/>
                <w:sz w:val="18"/>
              </w:rPr>
              <w:t>no-referrer</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API-layer referrer restriction; edge policy differs.</w:t>
            </w:r>
          </w:p>
        </w:tc>
      </w:tr>
      <w:tr>
        <w:trPr>
          <w:cantSplit/>
        </w:trPr>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Strict-Transport-Security</w:t>
            </w:r>
          </w:p>
        </w:tc>
        <w:tc>
          <w:tcPr>
            <w:tcW w:type="dxa" w:w="3168"/>
            <w:vAlign w:val="center"/>
            <w:tcMar>
              <w:top w:w="80" w:type="dxa"/>
              <w:bottom w:w="80" w:type="dxa"/>
              <w:left w:w="105" w:type="dxa"/>
              <w:right w:w="105" w:type="dxa"/>
            </w:tcMar>
            <w:shd w:fill="FFFFFF"/>
          </w:tcPr>
          <w:p>
            <w:pPr>
              <w:spacing w:after="20" w:before="20" w:line="247" w:lineRule="auto"/>
            </w:pPr>
            <w:r>
              <w:rPr>
                <w:b w:val="0"/>
                <w:color w:val="000000"/>
                <w:sz w:val="18"/>
              </w:rPr>
              <w:t>max-age=31536000; includeSubDomains</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API-layer HSTS; edge explicitly configures max-age=31536000.</w:t>
            </w:r>
          </w:p>
        </w:tc>
      </w:tr>
      <w:tr>
        <w:trPr>
          <w:cantSplit/>
        </w:trPr>
        <w:tc>
          <w:tcPr>
            <w:tcW w:type="dxa" w:w="3456"/>
            <w:vAlign w:val="center"/>
            <w:tcMar>
              <w:top w:w="80" w:type="dxa"/>
              <w:bottom w:w="80" w:type="dxa"/>
              <w:left w:w="105" w:type="dxa"/>
              <w:right w:w="105" w:type="dxa"/>
            </w:tcMar>
            <w:shd w:fill="F2F5F8"/>
          </w:tcPr>
          <w:p>
            <w:pPr>
              <w:spacing w:after="20" w:before="20" w:line="247" w:lineRule="auto"/>
            </w:pPr>
            <w:r>
              <w:rPr>
                <w:b w:val="0"/>
                <w:color w:val="000000"/>
                <w:sz w:val="18"/>
              </w:rPr>
              <w:t>X-Content-Type-Options</w:t>
            </w:r>
          </w:p>
        </w:tc>
        <w:tc>
          <w:tcPr>
            <w:tcW w:type="dxa" w:w="3168"/>
            <w:vAlign w:val="center"/>
            <w:tcMar>
              <w:top w:w="80" w:type="dxa"/>
              <w:bottom w:w="80" w:type="dxa"/>
              <w:left w:w="105" w:type="dxa"/>
              <w:right w:w="105" w:type="dxa"/>
            </w:tcMar>
            <w:shd w:fill="F2F5F8"/>
          </w:tcPr>
          <w:p>
            <w:pPr>
              <w:spacing w:after="20" w:before="20" w:line="247" w:lineRule="auto"/>
            </w:pPr>
            <w:r>
              <w:rPr>
                <w:b w:val="0"/>
                <w:color w:val="000000"/>
                <w:sz w:val="18"/>
              </w:rPr>
              <w:t>nosniff</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Disables MIME sniffing.</w:t>
            </w:r>
          </w:p>
        </w:tc>
      </w:tr>
      <w:tr>
        <w:trPr>
          <w:cantSplit/>
        </w:trPr>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X-DNS-Prefetch-Control</w:t>
            </w:r>
          </w:p>
        </w:tc>
        <w:tc>
          <w:tcPr>
            <w:tcW w:type="dxa" w:w="3168"/>
            <w:vAlign w:val="center"/>
            <w:tcMar>
              <w:top w:w="80" w:type="dxa"/>
              <w:bottom w:w="80" w:type="dxa"/>
              <w:left w:w="105" w:type="dxa"/>
              <w:right w:w="105" w:type="dxa"/>
            </w:tcMar>
            <w:shd w:fill="FFFFFF"/>
          </w:tcPr>
          <w:p>
            <w:pPr>
              <w:spacing w:after="20" w:before="20" w:line="247" w:lineRule="auto"/>
            </w:pPr>
            <w:r>
              <w:rPr>
                <w:b w:val="0"/>
                <w:color w:val="000000"/>
                <w:sz w:val="18"/>
              </w:rPr>
              <w:t>off</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Disables DNS prefetch hints.</w:t>
            </w:r>
          </w:p>
        </w:tc>
      </w:tr>
      <w:tr>
        <w:trPr>
          <w:cantSplit/>
        </w:trPr>
        <w:tc>
          <w:tcPr>
            <w:tcW w:type="dxa" w:w="3456"/>
            <w:vAlign w:val="center"/>
            <w:tcMar>
              <w:top w:w="80" w:type="dxa"/>
              <w:bottom w:w="80" w:type="dxa"/>
              <w:left w:w="105" w:type="dxa"/>
              <w:right w:w="105" w:type="dxa"/>
            </w:tcMar>
            <w:shd w:fill="F2F5F8"/>
          </w:tcPr>
          <w:p>
            <w:pPr>
              <w:spacing w:after="20" w:before="20" w:line="247" w:lineRule="auto"/>
            </w:pPr>
            <w:r>
              <w:rPr>
                <w:b w:val="0"/>
                <w:color w:val="000000"/>
                <w:sz w:val="18"/>
              </w:rPr>
              <w:t>X-Download-Options</w:t>
            </w:r>
          </w:p>
        </w:tc>
        <w:tc>
          <w:tcPr>
            <w:tcW w:type="dxa" w:w="3168"/>
            <w:vAlign w:val="center"/>
            <w:tcMar>
              <w:top w:w="80" w:type="dxa"/>
              <w:bottom w:w="80" w:type="dxa"/>
              <w:left w:w="105" w:type="dxa"/>
              <w:right w:w="105" w:type="dxa"/>
            </w:tcMar>
            <w:shd w:fill="F2F5F8"/>
          </w:tcPr>
          <w:p>
            <w:pPr>
              <w:spacing w:after="20" w:before="20" w:line="247" w:lineRule="auto"/>
            </w:pPr>
            <w:r>
              <w:rPr>
                <w:b w:val="0"/>
                <w:color w:val="000000"/>
                <w:sz w:val="18"/>
              </w:rPr>
              <w:t>noopen</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Legacy download isolation protection.</w:t>
            </w:r>
          </w:p>
        </w:tc>
      </w:tr>
      <w:tr>
        <w:trPr>
          <w:cantSplit/>
        </w:trPr>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X-Frame-Options</w:t>
            </w:r>
          </w:p>
        </w:tc>
        <w:tc>
          <w:tcPr>
            <w:tcW w:type="dxa" w:w="3168"/>
            <w:vAlign w:val="center"/>
            <w:tcMar>
              <w:top w:w="80" w:type="dxa"/>
              <w:bottom w:w="80" w:type="dxa"/>
              <w:left w:w="105" w:type="dxa"/>
              <w:right w:w="105" w:type="dxa"/>
            </w:tcMar>
            <w:shd w:fill="FFFFFF"/>
          </w:tcPr>
          <w:p>
            <w:pPr>
              <w:spacing w:after="20" w:before="20" w:line="247" w:lineRule="auto"/>
            </w:pPr>
            <w:r>
              <w:rPr>
                <w:b w:val="0"/>
                <w:color w:val="000000"/>
                <w:sz w:val="18"/>
              </w:rPr>
              <w:t>SAMEORIGIN</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API-layer framing rule; edge separately configures DENY.</w:t>
            </w:r>
          </w:p>
        </w:tc>
      </w:tr>
      <w:tr>
        <w:trPr>
          <w:cantSplit/>
        </w:trPr>
        <w:tc>
          <w:tcPr>
            <w:tcW w:type="dxa" w:w="3456"/>
            <w:vAlign w:val="center"/>
            <w:tcMar>
              <w:top w:w="80" w:type="dxa"/>
              <w:bottom w:w="80" w:type="dxa"/>
              <w:left w:w="105" w:type="dxa"/>
              <w:right w:w="105" w:type="dxa"/>
            </w:tcMar>
            <w:shd w:fill="F2F5F8"/>
          </w:tcPr>
          <w:p>
            <w:pPr>
              <w:spacing w:after="20" w:before="20" w:line="247" w:lineRule="auto"/>
            </w:pPr>
            <w:r>
              <w:rPr>
                <w:b w:val="0"/>
                <w:color w:val="000000"/>
                <w:sz w:val="18"/>
              </w:rPr>
              <w:t>X-Permitted-Cross-Domain-Policies</w:t>
            </w:r>
          </w:p>
        </w:tc>
        <w:tc>
          <w:tcPr>
            <w:tcW w:type="dxa" w:w="3168"/>
            <w:vAlign w:val="center"/>
            <w:tcMar>
              <w:top w:w="80" w:type="dxa"/>
              <w:bottom w:w="80" w:type="dxa"/>
              <w:left w:w="105" w:type="dxa"/>
              <w:right w:w="105" w:type="dxa"/>
            </w:tcMar>
            <w:shd w:fill="F2F5F8"/>
          </w:tcPr>
          <w:p>
            <w:pPr>
              <w:spacing w:after="20" w:before="20" w:line="247" w:lineRule="auto"/>
            </w:pPr>
            <w:r>
              <w:rPr>
                <w:b w:val="0"/>
                <w:color w:val="000000"/>
                <w:sz w:val="18"/>
              </w:rPr>
              <w:t>none</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Disallows legacy cross-domain policy grants.</w:t>
            </w:r>
          </w:p>
        </w:tc>
      </w:tr>
      <w:tr>
        <w:trPr>
          <w:cantSplit/>
        </w:trPr>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X-XSS-Protection</w:t>
            </w:r>
          </w:p>
        </w:tc>
        <w:tc>
          <w:tcPr>
            <w:tcW w:type="dxa" w:w="3168"/>
            <w:vAlign w:val="center"/>
            <w:tcMar>
              <w:top w:w="80" w:type="dxa"/>
              <w:bottom w:w="80" w:type="dxa"/>
              <w:left w:w="105" w:type="dxa"/>
              <w:right w:w="105" w:type="dxa"/>
            </w:tcMar>
            <w:shd w:fill="FFFFFF"/>
          </w:tcPr>
          <w:p>
            <w:pPr>
              <w:spacing w:after="20" w:before="20" w:line="247" w:lineRule="auto"/>
            </w:pPr>
            <w:r>
              <w:rPr>
                <w:b w:val="0"/>
                <w:color w:val="000000"/>
                <w:sz w:val="18"/>
              </w:rPr>
              <w:t>0</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Disables legacy browser XSS filters; current protections rely on CSP and safe rendering.</w:t>
            </w:r>
          </w:p>
        </w:tc>
      </w:tr>
    </w:tbl>
    <w:p>
      <w:pPr>
        <w:widowControl/>
        <w:spacing w:after="0"/>
      </w:pPr>
    </w:p>
    <w:p>
      <w:pPr>
        <w:widowControl/>
      </w:pPr>
      <w:r>
        <w:t>Express disables X-Powered-By. Helmet CSP is disabled in Express; the production browser CSP is owned by Caddy. Cross-Origin-Embedder-Policy is not explicitly enabled. Overlapping HSTS, framing and referrer headers must be verified at the public edge rather than assumed to match one layer.</w:t>
      </w:r>
    </w:p>
    <w:p>
      <w:pPr>
        <w:pStyle w:val="Heading2"/>
      </w:pPr>
      <w:r>
        <w:t>CORS configuration</w:t>
      </w:r>
    </w:p>
    <w:p>
      <w:pPr>
        <w:widowControl/>
      </w:pPr>
      <w:r>
        <w:t>Production requires CORS_ORIGIN. Allowed origins are an exact, trimmed comma-separated allowlist. Browser origins outside it do not receive CORS permission. Requests without an Origin header remain allowed, including non-browser clients; they still need API authentication. CORS is a browser read-permission control, not a network firewall.</w:t>
      </w:r>
    </w:p>
    <w:p>
      <w:pPr>
        <w:widowControl/>
      </w:pPr>
      <w:r>
        <w:t>Allowed methods are GET, POST, PUT, DELETE and OPTIONS. Allowed request headers are Content-Type, Authorization and X-Property-Id. Credentials are false, so cookie credential sharing is not enabled. The application uses bearer Authorization headers, not an authentication cookie. No application CSRF token middleware is configured.</w:t>
      </w:r>
    </w:p>
    <w:p>
      <w:pPr>
        <w:widowControl/>
      </w:pPr>
      <w:r>
        <w:t>For allowed origins, CORS emits Access-Control-Allow-Origin and varies on Origin. Preflight responses carry Access-Control-Allow-Methods and Access-Control-Allow-Headers. Access-Control-Allow-Credentials is omitted because credentials are false.</w:t>
      </w:r>
    </w:p>
    <w:p>
      <w:pPr>
        <w:widowControl/>
        <w:spacing w:before="160"/>
      </w:pPr>
      <w:r>
        <w:rPr>
          <w:color w:val="555555"/>
          <w:sz w:val="16"/>
        </w:rPr>
        <w:t>Evidence  S5 middleware/security.ts and installed Helmet defaults; S6 app.ts; S14 browser API helper.</w:t>
      </w:r>
    </w:p>
    <w:p>
      <w:pPr>
        <w:pStyle w:val="Heading1"/>
        <w:pageBreakBefore/>
        <w:spacing w:before="0"/>
      </w:pPr>
      <w:r>
        <w:t>5 Passwords and session authentication</w:t>
      </w:r>
    </w:p>
    <w:p>
      <w:pPr>
        <w:pStyle w:val="Heading2"/>
      </w:pPr>
      <w:r>
        <w:t>Password storage and policy</w:t>
      </w:r>
    </w:p>
    <w:p>
      <w:pPr>
        <w:widowControl/>
      </w:pPr>
      <w:r>
        <w:t>Passwords are stored as bcrypt hashes and checked with bcrypt.compare. The common policy requires at least 12 characters, uppercase and lowercase letters, a number and a symbol, with no whitespace. It applies to account creation and password changes. Hashing is one-way credential protection, not reversible encryption. [S8]</w:t>
      </w:r>
    </w:p>
    <w:p>
      <w:pPr>
        <w:widowControl/>
      </w:pPr>
      <w:r>
        <w:t>User-management creation and administrator password reset use bcrypt cost 10. Linked staff-login creation, self-service and initial-password changes, and bootstrap creation use cost 12. New or administratively reset staff accounts are marked mustChangePassword and must replace the temporary password before normal workspace access. The bootstrap path separately validates its input and refuses to overwrite an existing global administrator. [S8, S9]</w:t>
      </w:r>
    </w:p>
    <w:p>
      <w:pPr>
        <w:pStyle w:val="Heading2"/>
      </w:pPr>
      <w:r>
        <w:t>Login abuse controls</w:t>
      </w:r>
    </w:p>
    <w:p>
      <w:pPr>
        <w:widowControl/>
      </w:pPr>
      <w:r>
        <w:t>The login/authentication limiter allows 20 requests per IP per five minutes. Login code tracks failed passwords per account and configures a 15-minute lock after five failed attempts. Locked or inactive accounts are rejected, including by protected-request middleware. Successful sign-in clears the password failure count. Recovery has its own proof failure state, described in section 6. [S5, S8]</w:t>
      </w:r>
    </w:p>
    <w:p>
      <w:pPr>
        <w:pStyle w:val="Heading2"/>
      </w:pPr>
      <w:r>
        <w:t>Bearer session validation</w:t>
      </w:r>
    </w:p>
    <w:p>
      <w:pPr>
        <w:pStyle w:val="ListBullet"/>
        <w:widowControl/>
      </w:pPr>
      <w:r>
        <w:t>Tokens are signed and verified with an explicit HS256 algorithm. The signing secret must be at least 32 characters and must not match known placeholder patterns.</w:t>
      </w:r>
    </w:p>
    <w:p>
      <w:pPr>
        <w:pStyle w:val="ListBullet"/>
        <w:widowControl/>
      </w:pPr>
      <w:r>
        <w:t>Normal expiry defaults to 12 hours, with JWT_EXPIRES_IN available for direct runtime configuration. Initial-password tokens expire in 10 minutes and carry a separate purpose.</w:t>
      </w:r>
    </w:p>
    <w:p>
      <w:pPr>
        <w:pStyle w:val="ListBullet"/>
        <w:widowControl/>
      </w:pPr>
      <w:r>
        <w:t>The token contains an HMAC binding to the user ID and current password hash. The raw password hash is removed before signing. Changing a password invalidates the previous binding.</w:t>
      </w:r>
    </w:p>
    <w:p>
      <w:pPr>
        <w:pStyle w:val="ListBullet"/>
        <w:widowControl/>
      </w:pPr>
      <w:r>
        <w:t>Each protected request reloads the active account, current role and property assignments from the database. Token claims alone do not preserve an old role or revoked property assignment.</w:t>
      </w:r>
    </w:p>
    <w:p>
      <w:pPr>
        <w:pStyle w:val="ListBullet"/>
        <w:widowControl/>
      </w:pPr>
      <w:r>
        <w:t>Separate initial-password, account and workspace authentication modes prevent a password-change token from acting as a full workspace session. Workspace access requires an enrolled authenticator.</w:t>
      </w:r>
    </w:p>
    <w:p>
      <w:pPr>
        <w:pStyle w:val="Heading2"/>
      </w:pPr>
      <w:r>
        <w:t>Browser storage and sign out</w:t>
      </w:r>
    </w:p>
    <w:p>
      <w:pPr>
        <w:widowControl/>
      </w:pPr>
      <w:r>
        <w:t>The browser stores its bearer token in localStorage and attaches it to API requests. Sign out records an event and removes the local token and user state. The logout endpoint does not maintain a server-side token denylist: a copied token can remain valid until expiry or another invalidation condition such as password change, deactivation or lockout. localStorage is accessible to same-origin JavaScript, making CSP and safe rendering important. [S6, S14]</w:t>
      </w:r>
    </w:p>
    <w:p>
      <w:pPr>
        <w:widowControl/>
      </w:pPr>
      <w:r>
        <w:t>Normal sign-in is password-only. Authenticator enrollment is a workspace prerequisite and supports recovery; it is not an OTP challenge at every login.</w:t>
      </w:r>
    </w:p>
    <w:p>
      <w:pPr>
        <w:widowControl/>
        <w:spacing w:before="160"/>
      </w:pPr>
      <w:r>
        <w:rPr>
          <w:color w:val="555555"/>
          <w:sz w:val="16"/>
        </w:rPr>
        <w:t>Evidence  S6 authentication middleware; S8 authentication, user and staff routes; S9 bootstrap; S14 frontend session storage and logout.</w:t>
      </w:r>
    </w:p>
    <w:p>
      <w:pPr>
        <w:pStyle w:val="Heading1"/>
        <w:pageBreakBefore/>
        <w:spacing w:before="0"/>
      </w:pPr>
      <w:r>
        <w:t>6 Authenticator and recovery protections</w:t>
      </w:r>
    </w:p>
    <w:p>
      <w:pPr>
        <w:pStyle w:val="Heading2"/>
      </w:pPr>
      <w:r>
        <w:t>Enrollment and replacement</w:t>
      </w:r>
    </w:p>
    <w:p>
      <w:pPr>
        <w:widowControl/>
      </w:pPr>
      <w:r>
        <w:t>The authenticator uses time-based one-time passwords with SHA1, six digits, a 30-second period and a one-step validation window. Enrollment generates a 20-byte random secret and a QR representation. Setup is pending for 10 minutes, is bound to the current password, and must be confirmed with a valid code. [S7]</w:t>
      </w:r>
    </w:p>
    <w:p>
      <w:pPr>
        <w:widowControl/>
      </w:pPr>
      <w:r>
        <w:t>Starting setup requires the current password. Replacing an enrolled authenticator additionally consumes a current authenticator or recovery proof. Confirmation checks active account state, the current password binding, pending expiry and authenticator version. Five failed proofs configure a 15-minute lock. Successful replacement rotates the version and deletes outstanding reset grants.</w:t>
      </w:r>
    </w:p>
    <w:p>
      <w:pPr>
        <w:pStyle w:val="Heading2"/>
      </w:pPr>
      <w:r>
        <w:t>Encryption and proof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176"/>
        <w:gridCol w:w="3427"/>
      </w:tblGrid>
      <w:tr>
        <w:trPr>
          <w:tblHeader/>
          <w:cantSplit/>
        </w:trPr>
        <w:tc>
          <w:tcPr>
            <w:tcW w:type="dxa" w:w="2232"/>
            <w:vAlign w:val="center"/>
            <w:tcMar>
              <w:top w:w="80" w:type="dxa"/>
              <w:bottom w:w="80" w:type="dxa"/>
              <w:left w:w="105" w:type="dxa"/>
              <w:right w:w="105" w:type="dxa"/>
            </w:tcMar>
            <w:shd w:fill="243B53"/>
          </w:tcPr>
          <w:p>
            <w:pPr>
              <w:spacing w:after="20" w:before="20" w:line="247" w:lineRule="auto"/>
            </w:pPr>
            <w:r>
              <w:rPr>
                <w:b/>
                <w:color w:val="FFFFFF"/>
                <w:sz w:val="18"/>
              </w:rPr>
              <w:t>Protected value</w:t>
            </w:r>
          </w:p>
        </w:tc>
        <w:tc>
          <w:tcPr>
            <w:tcW w:type="dxa" w:w="4176"/>
            <w:vAlign w:val="center"/>
            <w:tcMar>
              <w:top w:w="80" w:type="dxa"/>
              <w:bottom w:w="80" w:type="dxa"/>
              <w:left w:w="105" w:type="dxa"/>
              <w:right w:w="105" w:type="dxa"/>
            </w:tcMar>
            <w:shd w:fill="243B53"/>
          </w:tcPr>
          <w:p>
            <w:pPr>
              <w:spacing w:after="20" w:before="20" w:line="247" w:lineRule="auto"/>
            </w:pPr>
            <w:r>
              <w:rPr>
                <w:b/>
                <w:color w:val="FFFFFF"/>
                <w:sz w:val="18"/>
              </w:rPr>
              <w:t>Mechanism</w:t>
            </w:r>
          </w:p>
        </w:tc>
        <w:tc>
          <w:tcPr>
            <w:tcW w:type="dxa" w:w="3427"/>
            <w:vAlign w:val="center"/>
            <w:tcMar>
              <w:top w:w="80" w:type="dxa"/>
              <w:bottom w:w="80" w:type="dxa"/>
              <w:left w:w="105" w:type="dxa"/>
              <w:right w:w="105" w:type="dxa"/>
            </w:tcMar>
            <w:shd w:fill="243B53"/>
          </w:tcPr>
          <w:p>
            <w:pPr>
              <w:spacing w:after="20" w:before="20" w:line="247" w:lineRule="auto"/>
            </w:pPr>
            <w:r>
              <w:rPr>
                <w:b/>
                <w:color w:val="FFFFFF"/>
                <w:sz w:val="18"/>
              </w:rPr>
              <w:t>Binding or expiry</w:t>
            </w:r>
          </w:p>
        </w:tc>
      </w:tr>
      <w:tr>
        <w:trPr>
          <w:cantSplit/>
        </w:trPr>
        <w:tc>
          <w:tcPr>
            <w:tcW w:type="dxa" w:w="2232"/>
            <w:vAlign w:val="center"/>
            <w:tcMar>
              <w:top w:w="80" w:type="dxa"/>
              <w:bottom w:w="80" w:type="dxa"/>
              <w:left w:w="105" w:type="dxa"/>
              <w:right w:w="105" w:type="dxa"/>
            </w:tcMar>
            <w:shd w:fill="FFFFFF"/>
          </w:tcPr>
          <w:p>
            <w:pPr>
              <w:spacing w:after="20" w:before="20" w:line="247" w:lineRule="auto"/>
            </w:pPr>
            <w:r>
              <w:rPr>
                <w:b w:val="0"/>
                <w:color w:val="000000"/>
                <w:sz w:val="18"/>
              </w:rPr>
              <w:t>Authenticator secret</w:t>
            </w:r>
          </w:p>
        </w:tc>
        <w:tc>
          <w:tcPr>
            <w:tcW w:type="dxa" w:w="4176"/>
            <w:vAlign w:val="center"/>
            <w:tcMar>
              <w:top w:w="80" w:type="dxa"/>
              <w:bottom w:w="80" w:type="dxa"/>
              <w:left w:w="105" w:type="dxa"/>
              <w:right w:w="105" w:type="dxa"/>
            </w:tcMar>
            <w:shd w:fill="FFFFFF"/>
          </w:tcPr>
          <w:p>
            <w:pPr>
              <w:spacing w:after="20" w:before="20" w:line="247" w:lineRule="auto"/>
            </w:pPr>
            <w:r>
              <w:rPr>
                <w:b w:val="0"/>
                <w:color w:val="000000"/>
                <w:sz w:val="18"/>
              </w:rPr>
              <w:t>AES-256-GCM with a fresh 12-byte IV</w:t>
            </w:r>
          </w:p>
        </w:tc>
        <w:tc>
          <w:tcPr>
            <w:tcW w:type="dxa" w:w="3427"/>
            <w:vAlign w:val="center"/>
            <w:tcMar>
              <w:top w:w="80" w:type="dxa"/>
              <w:bottom w:w="80" w:type="dxa"/>
              <w:left w:w="105" w:type="dxa"/>
              <w:right w:w="105" w:type="dxa"/>
            </w:tcMar>
            <w:shd w:fill="FFFFFF"/>
          </w:tcPr>
          <w:p>
            <w:pPr>
              <w:spacing w:after="20" w:before="20" w:line="247" w:lineRule="auto"/>
            </w:pPr>
            <w:r>
              <w:rPr>
                <w:b w:val="0"/>
                <w:color w:val="000000"/>
                <w:sz w:val="18"/>
              </w:rPr>
              <w:t>User ID is authenticated additional data; ciphertext includes authentication tag.</w:t>
            </w:r>
          </w:p>
        </w:tc>
      </w:tr>
      <w:tr>
        <w:trPr>
          <w:cantSplit/>
        </w:trPr>
        <w:tc>
          <w:tcPr>
            <w:tcW w:type="dxa" w:w="2232"/>
            <w:vAlign w:val="center"/>
            <w:tcMar>
              <w:top w:w="80" w:type="dxa"/>
              <w:bottom w:w="80" w:type="dxa"/>
              <w:left w:w="105" w:type="dxa"/>
              <w:right w:w="105" w:type="dxa"/>
            </w:tcMar>
            <w:shd w:fill="F2F5F8"/>
          </w:tcPr>
          <w:p>
            <w:pPr>
              <w:spacing w:after="20" w:before="20" w:line="247" w:lineRule="auto"/>
            </w:pPr>
            <w:r>
              <w:rPr>
                <w:b w:val="0"/>
                <w:color w:val="000000"/>
                <w:sz w:val="18"/>
              </w:rPr>
              <w:t>Encryption and recovery HMAC key</w:t>
            </w:r>
          </w:p>
        </w:tc>
        <w:tc>
          <w:tcPr>
            <w:tcW w:type="dxa" w:w="4176"/>
            <w:vAlign w:val="center"/>
            <w:tcMar>
              <w:top w:w="80" w:type="dxa"/>
              <w:bottom w:w="80" w:type="dxa"/>
              <w:left w:w="105" w:type="dxa"/>
              <w:right w:w="105" w:type="dxa"/>
            </w:tcMar>
            <w:shd w:fill="F2F5F8"/>
          </w:tcPr>
          <w:p>
            <w:pPr>
              <w:spacing w:after="20" w:before="20" w:line="247" w:lineRule="auto"/>
            </w:pPr>
            <w:r>
              <w:rPr>
                <w:b w:val="0"/>
                <w:color w:val="000000"/>
                <w:sz w:val="18"/>
              </w:rPr>
              <w:t>Independent 32-byte key from a 64-hex-character setting</w:t>
            </w:r>
          </w:p>
        </w:tc>
        <w:tc>
          <w:tcPr>
            <w:tcW w:type="dxa" w:w="3427"/>
            <w:vAlign w:val="center"/>
            <w:tcMar>
              <w:top w:w="80" w:type="dxa"/>
              <w:bottom w:w="80" w:type="dxa"/>
              <w:left w:w="105" w:type="dxa"/>
              <w:right w:w="105" w:type="dxa"/>
            </w:tcMar>
            <w:shd w:fill="F2F5F8"/>
          </w:tcPr>
          <w:p>
            <w:pPr>
              <w:spacing w:after="20" w:before="20" w:line="247" w:lineRule="auto"/>
            </w:pPr>
            <w:r>
              <w:rPr>
                <w:b w:val="0"/>
                <w:color w:val="000000"/>
                <w:sz w:val="18"/>
              </w:rPr>
              <w:t>Loaded from the authenticator secret file; invalid key format prevents setup/recovery.</w:t>
            </w:r>
          </w:p>
        </w:tc>
      </w:tr>
      <w:tr>
        <w:trPr>
          <w:cantSplit/>
        </w:trPr>
        <w:tc>
          <w:tcPr>
            <w:tcW w:type="dxa" w:w="2232"/>
            <w:vAlign w:val="center"/>
            <w:tcMar>
              <w:top w:w="80" w:type="dxa"/>
              <w:bottom w:w="80" w:type="dxa"/>
              <w:left w:w="105" w:type="dxa"/>
              <w:right w:w="105" w:type="dxa"/>
            </w:tcMar>
            <w:shd w:fill="FFFFFF"/>
          </w:tcPr>
          <w:p>
            <w:pPr>
              <w:spacing w:after="20" w:before="20" w:line="247" w:lineRule="auto"/>
            </w:pPr>
            <w:r>
              <w:rPr>
                <w:b w:val="0"/>
                <w:color w:val="000000"/>
                <w:sz w:val="18"/>
              </w:rPr>
              <w:t>Recovery codes</w:t>
            </w:r>
          </w:p>
        </w:tc>
        <w:tc>
          <w:tcPr>
            <w:tcW w:type="dxa" w:w="4176"/>
            <w:vAlign w:val="center"/>
            <w:tcMar>
              <w:top w:w="80" w:type="dxa"/>
              <w:bottom w:w="80" w:type="dxa"/>
              <w:left w:w="105" w:type="dxa"/>
              <w:right w:w="105" w:type="dxa"/>
            </w:tcMar>
            <w:shd w:fill="FFFFFF"/>
          </w:tcPr>
          <w:p>
            <w:pPr>
              <w:spacing w:after="20" w:before="20" w:line="247" w:lineRule="auto"/>
            </w:pPr>
            <w:r>
              <w:rPr>
                <w:b w:val="0"/>
                <w:color w:val="000000"/>
                <w:sz w:val="18"/>
              </w:rPr>
              <w:t>Ten random codes, 10 random bytes per code; stored as keyed SHA256 digests</w:t>
            </w:r>
          </w:p>
        </w:tc>
        <w:tc>
          <w:tcPr>
            <w:tcW w:type="dxa" w:w="3427"/>
            <w:vAlign w:val="center"/>
            <w:tcMar>
              <w:top w:w="80" w:type="dxa"/>
              <w:bottom w:w="80" w:type="dxa"/>
              <w:left w:w="105" w:type="dxa"/>
              <w:right w:w="105" w:type="dxa"/>
            </w:tcMar>
            <w:shd w:fill="FFFFFF"/>
          </w:tcPr>
          <w:p>
            <w:pPr>
              <w:spacing w:after="20" w:before="20" w:line="247" w:lineRule="auto"/>
            </w:pPr>
            <w:r>
              <w:rPr>
                <w:b w:val="0"/>
                <w:color w:val="000000"/>
                <w:sz w:val="18"/>
              </w:rPr>
              <w:t>Digest purpose includes user ID; successful use removes the code hash.</w:t>
            </w:r>
          </w:p>
        </w:tc>
      </w:tr>
      <w:tr>
        <w:trPr>
          <w:cantSplit/>
        </w:trPr>
        <w:tc>
          <w:tcPr>
            <w:tcW w:type="dxa" w:w="2232"/>
            <w:vAlign w:val="center"/>
            <w:tcMar>
              <w:top w:w="80" w:type="dxa"/>
              <w:bottom w:w="80" w:type="dxa"/>
              <w:left w:w="105" w:type="dxa"/>
              <w:right w:w="105" w:type="dxa"/>
            </w:tcMar>
            <w:shd w:fill="F2F5F8"/>
          </w:tcPr>
          <w:p>
            <w:pPr>
              <w:spacing w:after="20" w:before="20" w:line="247" w:lineRule="auto"/>
            </w:pPr>
            <w:r>
              <w:rPr>
                <w:b w:val="0"/>
                <w:color w:val="000000"/>
                <w:sz w:val="18"/>
              </w:rPr>
              <w:t>Password reset token</w:t>
            </w:r>
          </w:p>
        </w:tc>
        <w:tc>
          <w:tcPr>
            <w:tcW w:type="dxa" w:w="4176"/>
            <w:vAlign w:val="center"/>
            <w:tcMar>
              <w:top w:w="80" w:type="dxa"/>
              <w:bottom w:w="80" w:type="dxa"/>
              <w:left w:w="105" w:type="dxa"/>
              <w:right w:w="105" w:type="dxa"/>
            </w:tcMar>
            <w:shd w:fill="F2F5F8"/>
          </w:tcPr>
          <w:p>
            <w:pPr>
              <w:spacing w:after="20" w:before="20" w:line="247" w:lineRule="auto"/>
            </w:pPr>
            <w:r>
              <w:rPr>
                <w:b w:val="0"/>
                <w:color w:val="000000"/>
                <w:sz w:val="18"/>
              </w:rPr>
              <w:t>32 random bytes; stored only as keyed SHA256 digest</w:t>
            </w:r>
          </w:p>
        </w:tc>
        <w:tc>
          <w:tcPr>
            <w:tcW w:type="dxa" w:w="3427"/>
            <w:vAlign w:val="center"/>
            <w:tcMar>
              <w:top w:w="80" w:type="dxa"/>
              <w:bottom w:w="80" w:type="dxa"/>
              <w:left w:w="105" w:type="dxa"/>
              <w:right w:w="105" w:type="dxa"/>
            </w:tcMar>
            <w:shd w:fill="F2F5F8"/>
          </w:tcPr>
          <w:p>
            <w:pPr>
              <w:spacing w:after="20" w:before="20" w:line="247" w:lineRule="auto"/>
            </w:pPr>
            <w:r>
              <w:rPr>
                <w:b w:val="0"/>
                <w:color w:val="000000"/>
                <w:sz w:val="18"/>
              </w:rPr>
              <w:t>Bound to password hash and authenticator version; expires after 10 minutes.</w:t>
            </w:r>
          </w:p>
        </w:tc>
      </w:tr>
    </w:tbl>
    <w:p>
      <w:pPr>
        <w:widowControl/>
        <w:spacing w:after="0"/>
      </w:pPr>
    </w:p>
    <w:p>
      <w:pPr>
        <w:pStyle w:val="Heading2"/>
      </w:pPr>
      <w:r>
        <w:t>Replay and race controls</w:t>
      </w:r>
    </w:p>
    <w:p>
      <w:pPr>
        <w:widowControl/>
      </w:pPr>
      <w:r>
        <w:t>Proof consumption runs inside serializable transactions with bounded retries for transaction conflicts. The code tracks the last accepted TOTP step and compares state/version during updates. A used recovery code is removed atomically. Reset completion requires the current grant, active user, enrolled authenticator, matching authenticator version, unexpired time and unchanged password binding.</w:t>
      </w:r>
    </w:p>
    <w:p>
      <w:pPr>
        <w:widowControl/>
      </w:pPr>
      <w:r>
        <w:t>Successful reset changes the password, clears password lockout state and deletes outstanding grants. The new password must satisfy the policy and differ from the current one. Password binding then invalidates prior ordinary sessions. Email recovery is retired: the legacy request route returns 410 rather than issuing email grants.</w:t>
      </w:r>
    </w:p>
    <w:p>
      <w:pPr>
        <w:pStyle w:val="Heading2"/>
      </w:pPr>
      <w:r>
        <w:t>Operational handling</w:t>
      </w:r>
    </w:p>
    <w:p>
      <w:pPr>
        <w:widowControl/>
      </w:pPr>
      <w:r>
        <w:t>Recovery codes are displayed once after enrollment and can be downloaded by the account holder. Store them privately and separately from the authenticator device. Preserve the authenticator encryption key with secure backup/key escrow; restoring the database without its matching key leaves existing encrypted bindings unreadable. Administrator authenticator resets are explicit, authorized and audited account operations.</w:t>
      </w:r>
    </w:p>
    <w:p>
      <w:pPr>
        <w:widowControl/>
        <w:spacing w:before="160"/>
      </w:pPr>
      <w:r>
        <w:rPr>
          <w:color w:val="555555"/>
          <w:sz w:val="16"/>
        </w:rPr>
        <w:t>Evidence  S7 password.routes.ts and authenticatorService.ts; S10 transactions.ts; S8 users.routes.ts.</w:t>
      </w:r>
    </w:p>
    <w:p>
      <w:pPr>
        <w:pStyle w:val="Heading1"/>
        <w:pageBreakBefore/>
        <w:spacing w:before="0"/>
      </w:pPr>
      <w:r>
        <w:t>7 Roles property isolation and financial integrity</w:t>
      </w:r>
    </w:p>
    <w:p>
      <w:pPr>
        <w:widowControl/>
      </w:pPr>
      <w:r>
        <w:t>The API owns access decisions. Hiding a screen or selecting a property in browser storage does not grant permission. Role guards require an authenticated account, and property guards check the exact query/body/parameter selector the handler consumes. They do not authorize a fallback header. Object-ID routes also check the stored object property. [S11]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219"/>
      </w:tblGrid>
      <w:tr>
        <w:trPr>
          <w:tblHeader/>
          <w:cantSplit/>
        </w:trPr>
        <w:tc>
          <w:tcPr>
            <w:tcW w:type="dxa" w:w="1944"/>
            <w:vAlign w:val="center"/>
            <w:tcMar>
              <w:top w:w="80" w:type="dxa"/>
              <w:bottom w:w="80" w:type="dxa"/>
              <w:left w:w="105" w:type="dxa"/>
              <w:right w:w="105" w:type="dxa"/>
            </w:tcMar>
            <w:shd w:fill="243B53"/>
          </w:tcPr>
          <w:p>
            <w:pPr>
              <w:spacing w:after="20" w:before="20" w:line="247" w:lineRule="auto"/>
            </w:pPr>
            <w:r>
              <w:rPr>
                <w:b/>
                <w:color w:val="FFFFFF"/>
                <w:sz w:val="18"/>
              </w:rPr>
              <w:t>Role</w:t>
            </w:r>
          </w:p>
        </w:tc>
        <w:tc>
          <w:tcPr>
            <w:tcW w:type="dxa" w:w="3672"/>
            <w:vAlign w:val="center"/>
            <w:tcMar>
              <w:top w:w="80" w:type="dxa"/>
              <w:bottom w:w="80" w:type="dxa"/>
              <w:left w:w="105" w:type="dxa"/>
              <w:right w:w="105" w:type="dxa"/>
            </w:tcMar>
            <w:shd w:fill="243B53"/>
          </w:tcPr>
          <w:p>
            <w:pPr>
              <w:spacing w:after="20" w:before="20" w:line="247" w:lineRule="auto"/>
            </w:pPr>
            <w:r>
              <w:rPr>
                <w:b/>
                <w:color w:val="FFFFFF"/>
                <w:sz w:val="18"/>
              </w:rPr>
              <w:t>Permitted scope</w:t>
            </w:r>
          </w:p>
        </w:tc>
        <w:tc>
          <w:tcPr>
            <w:tcW w:type="dxa" w:w="4219"/>
            <w:vAlign w:val="center"/>
            <w:tcMar>
              <w:top w:w="80" w:type="dxa"/>
              <w:bottom w:w="80" w:type="dxa"/>
              <w:left w:w="105" w:type="dxa"/>
              <w:right w:w="105" w:type="dxa"/>
            </w:tcMar>
            <w:shd w:fill="243B53"/>
          </w:tcPr>
          <w:p>
            <w:pPr>
              <w:spacing w:after="20" w:before="20" w:line="247" w:lineRule="auto"/>
            </w:pPr>
            <w:r>
              <w:rPr>
                <w:b/>
                <w:color w:val="FFFFFF"/>
                <w:sz w:val="18"/>
              </w:rPr>
              <w:t>Important restrictions</w:t>
            </w:r>
          </w:p>
        </w:tc>
      </w:tr>
      <w:tr>
        <w:trPr>
          <w:cantSplit/>
        </w:trPr>
        <w:tc>
          <w:tcPr>
            <w:tcW w:type="dxa" w:w="1944"/>
            <w:vAlign w:val="center"/>
            <w:tcMar>
              <w:top w:w="80" w:type="dxa"/>
              <w:bottom w:w="80" w:type="dxa"/>
              <w:left w:w="105" w:type="dxa"/>
              <w:right w:w="105" w:type="dxa"/>
            </w:tcMar>
            <w:shd w:fill="FFFFFF"/>
          </w:tcPr>
          <w:p>
            <w:pPr>
              <w:spacing w:after="20" w:before="20" w:line="247" w:lineRule="auto"/>
            </w:pPr>
            <w:r>
              <w:rPr>
                <w:b w:val="0"/>
                <w:color w:val="000000"/>
                <w:sz w:val="18"/>
              </w:rPr>
              <w:t>Global administrator</w:t>
            </w:r>
          </w:p>
        </w:tc>
        <w:tc>
          <w:tcPr>
            <w:tcW w:type="dxa" w:w="3672"/>
            <w:vAlign w:val="center"/>
            <w:tcMar>
              <w:top w:w="80" w:type="dxa"/>
              <w:bottom w:w="80" w:type="dxa"/>
              <w:left w:w="105" w:type="dxa"/>
              <w:right w:w="105" w:type="dxa"/>
            </w:tcMar>
            <w:shd w:fill="FFFFFF"/>
          </w:tcPr>
          <w:p>
            <w:pPr>
              <w:spacing w:after="20" w:before="20" w:line="247" w:lineRule="auto"/>
            </w:pPr>
            <w:r>
              <w:rPr>
                <w:b w:val="0"/>
                <w:color w:val="000000"/>
                <w:sz w:val="18"/>
              </w:rPr>
              <w:t>All properties and account administration</w:t>
            </w:r>
          </w:p>
        </w:tc>
        <w:tc>
          <w:tcPr>
            <w:tcW w:type="dxa" w:w="4219"/>
            <w:vAlign w:val="center"/>
            <w:tcMar>
              <w:top w:w="80" w:type="dxa"/>
              <w:bottom w:w="80" w:type="dxa"/>
              <w:left w:w="105" w:type="dxa"/>
              <w:right w:w="105" w:type="dxa"/>
            </w:tcMar>
            <w:shd w:fill="FFFFFF"/>
          </w:tcPr>
          <w:p>
            <w:pPr>
              <w:spacing w:after="20" w:before="20" w:line="247" w:lineRule="auto"/>
            </w:pPr>
            <w:r>
              <w:rPr>
                <w:b w:val="0"/>
                <w:color w:val="000000"/>
                <w:sz w:val="18"/>
              </w:rPr>
              <w:t>PMS resort mapping changes and property deletion are global-only. Removed-property business history is retained with read-only controls.</w:t>
            </w:r>
          </w:p>
        </w:tc>
      </w:tr>
      <w:tr>
        <w:trPr>
          <w:cantSplit/>
        </w:trPr>
        <w:tc>
          <w:tcPr>
            <w:tcW w:type="dxa" w:w="1944"/>
            <w:vAlign w:val="center"/>
            <w:tcMar>
              <w:top w:w="80" w:type="dxa"/>
              <w:bottom w:w="80" w:type="dxa"/>
              <w:left w:w="105" w:type="dxa"/>
              <w:right w:w="105" w:type="dxa"/>
            </w:tcMar>
            <w:shd w:fill="F2F5F8"/>
          </w:tcPr>
          <w:p>
            <w:pPr>
              <w:spacing w:after="20" w:before="20" w:line="247" w:lineRule="auto"/>
            </w:pPr>
            <w:r>
              <w:rPr>
                <w:b w:val="0"/>
                <w:color w:val="000000"/>
                <w:sz w:val="18"/>
              </w:rPr>
              <w:t>Property manager</w:t>
            </w:r>
          </w:p>
        </w:tc>
        <w:tc>
          <w:tcPr>
            <w:tcW w:type="dxa" w:w="3672"/>
            <w:vAlign w:val="center"/>
            <w:tcMar>
              <w:top w:w="80" w:type="dxa"/>
              <w:bottom w:w="80" w:type="dxa"/>
              <w:left w:w="105" w:type="dxa"/>
              <w:right w:w="105" w:type="dxa"/>
            </w:tcMar>
            <w:shd w:fill="F2F5F8"/>
          </w:tcPr>
          <w:p>
            <w:pPr>
              <w:spacing w:after="20" w:before="20" w:line="247" w:lineRule="auto"/>
            </w:pPr>
            <w:r>
              <w:rPr>
                <w:b w:val="0"/>
                <w:color w:val="000000"/>
                <w:sz w:val="18"/>
              </w:rPr>
              <w:t>Assigned properties; staff/catalogue administration and payroll locks</w:t>
            </w:r>
          </w:p>
        </w:tc>
        <w:tc>
          <w:tcPr>
            <w:tcW w:type="dxa" w:w="4219"/>
            <w:vAlign w:val="center"/>
            <w:tcMar>
              <w:top w:w="80" w:type="dxa"/>
              <w:bottom w:w="80" w:type="dxa"/>
              <w:left w:w="105" w:type="dxa"/>
              <w:right w:w="105" w:type="dxa"/>
            </w:tcMar>
            <w:shd w:fill="F2F5F8"/>
          </w:tcPr>
          <w:p>
            <w:pPr>
              <w:spacing w:after="20" w:before="20" w:line="247" w:lineRule="auto"/>
            </w:pPr>
            <w:r>
              <w:rPr>
                <w:b w:val="0"/>
                <w:color w:val="000000"/>
                <w:sz w:val="18"/>
              </w:rPr>
              <w:t>Can create centre-staff accounts only in managed properties. Password reset requires every assignment of the target staff account to be managed by the caller.</w:t>
            </w:r>
          </w:p>
        </w:tc>
      </w:tr>
      <w:tr>
        <w:trPr>
          <w:cantSplit/>
        </w:trPr>
        <w:tc>
          <w:tcPr>
            <w:tcW w:type="dxa" w:w="1944"/>
            <w:vAlign w:val="center"/>
            <w:tcMar>
              <w:top w:w="80" w:type="dxa"/>
              <w:bottom w:w="80" w:type="dxa"/>
              <w:left w:w="105" w:type="dxa"/>
              <w:right w:w="105" w:type="dxa"/>
            </w:tcMar>
            <w:shd w:fill="FFFFFF"/>
          </w:tcPr>
          <w:p>
            <w:pPr>
              <w:spacing w:after="20" w:before="20" w:line="247" w:lineRule="auto"/>
            </w:pPr>
            <w:r>
              <w:rPr>
                <w:b w:val="0"/>
                <w:color w:val="000000"/>
                <w:sz w:val="18"/>
              </w:rPr>
              <w:t>Centre staff</w:t>
            </w:r>
          </w:p>
        </w:tc>
        <w:tc>
          <w:tcPr>
            <w:tcW w:type="dxa" w:w="3672"/>
            <w:vAlign w:val="center"/>
            <w:tcMar>
              <w:top w:w="80" w:type="dxa"/>
              <w:bottom w:w="80" w:type="dxa"/>
              <w:left w:w="105" w:type="dxa"/>
              <w:right w:w="105" w:type="dxa"/>
            </w:tcMar>
            <w:shd w:fill="FFFFFF"/>
          </w:tcPr>
          <w:p>
            <w:pPr>
              <w:spacing w:after="20" w:before="20" w:line="247" w:lineRule="auto"/>
            </w:pPr>
            <w:r>
              <w:rPr>
                <w:b w:val="0"/>
                <w:color w:val="000000"/>
                <w:sz w:val="18"/>
              </w:rPr>
              <w:t>Assigned property operations such as billing, attendance and reporting</w:t>
            </w:r>
          </w:p>
        </w:tc>
        <w:tc>
          <w:tcPr>
            <w:tcW w:type="dxa" w:w="4219"/>
            <w:vAlign w:val="center"/>
            <w:tcMar>
              <w:top w:w="80" w:type="dxa"/>
              <w:bottom w:w="80" w:type="dxa"/>
              <w:left w:w="105" w:type="dxa"/>
              <w:right w:w="105" w:type="dxa"/>
            </w:tcMar>
            <w:shd w:fill="FFFFFF"/>
          </w:tcPr>
          <w:p>
            <w:pPr>
              <w:spacing w:after="20" w:before="20" w:line="247" w:lineRule="auto"/>
            </w:pPr>
            <w:r>
              <w:rPr>
                <w:b w:val="0"/>
                <w:color w:val="000000"/>
                <w:sz w:val="18"/>
              </w:rPr>
              <w:t>Cannot manage accounts/catalogue or change payroll locks through manager-only routes.</w:t>
            </w:r>
          </w:p>
        </w:tc>
      </w:tr>
    </w:tbl>
    <w:p>
      <w:pPr>
        <w:widowControl/>
        <w:spacing w:after="0"/>
      </w:pPr>
    </w:p>
    <w:p>
      <w:pPr>
        <w:pStyle w:val="Heading2"/>
      </w:pPr>
      <w:r>
        <w:t>Account and property lifecycle</w:t>
      </w:r>
    </w:p>
    <w:p>
      <w:pPr>
        <w:widowControl/>
      </w:pPr>
      <w:r>
        <w:t>Protected requests reload current assignments. Removed-property assignments are filtered out. Property deletion requires the property code as confirmation, archives the property and revokes login assignments while preserving bills, staff, payroll and audit history. Deactivation and role changes take effect through database-backed request checks. [S6, S11]</w:t>
      </w:r>
    </w:p>
    <w:p>
      <w:pPr>
        <w:pStyle w:val="Heading2"/>
      </w:pPr>
      <w:r>
        <w:t>Financial consistency controls</w:t>
      </w:r>
    </w:p>
    <w:p>
      <w:pPr>
        <w:pStyle w:val="ListBullet"/>
        <w:widowControl/>
      </w:pPr>
      <w:r>
        <w:t>Bill creation resolves active catalogue items and category ownership on the server; arbitrary cross-property item links are rejected. Saved personal commission rates are derived from catalogue rules rather than trusting a client commission total.</w:t>
      </w:r>
    </w:p>
    <w:p>
      <w:pPr>
        <w:pStyle w:val="ListBullet"/>
        <w:widowControl/>
      </w:pPr>
      <w:r>
        <w:t>Credited staff and tip recipients must belong to the property, be active and employed on the business date, and not be excluded by saved attendance. Duplicate tip recipients are rejected.</w:t>
      </w:r>
    </w:p>
    <w:p>
      <w:pPr>
        <w:pStyle w:val="ListBullet"/>
        <w:widowControl/>
      </w:pPr>
      <w:r>
        <w:t>Bill creation, re-dating, rebating, deleting, attendance saves and payroll month-lock changes share a per-property PostgreSQL advisory transaction lock. Locked months reject the protected financial mutations; re-dating checks both old and target months.</w:t>
      </w:r>
    </w:p>
    <w:p>
      <w:pPr>
        <w:pStyle w:val="ListBullet"/>
        <w:widowControl/>
      </w:pPr>
      <w:r>
        <w:t>A SQL partial unique index reserves check numbers for active and rebated bills within a property. Soft deletion releases the number while retaining the bill record.</w:t>
      </w:r>
    </w:p>
    <w:p>
      <w:pPr>
        <w:pStyle w:val="ListBullet"/>
        <w:widowControl/>
      </w:pPr>
      <w:r>
        <w:t>Catalogue pool rules used by saved bills cannot be changed through ordinary item editing/import. This protects historical payroll calculations. Rebated/deleted bills do not earn commission.</w:t>
      </w:r>
    </w:p>
    <w:p>
      <w:pPr>
        <w:widowControl/>
      </w:pPr>
      <w:r>
        <w:t>These controls enforce the implemented business workflow. Staff are deliberately allowed to perform assigned-property billing and attendance tasks; the application is not a separate financial approval system for every action.</w:t>
      </w:r>
    </w:p>
    <w:p>
      <w:pPr>
        <w:widowControl/>
        <w:spacing w:before="160"/>
      </w:pPr>
      <w:r>
        <w:rPr>
          <w:color w:val="555555"/>
          <w:sz w:val="16"/>
        </w:rPr>
        <w:t>Evidence  S11 RBAC and users/properties routes; S12 bills/presence/items/reports routes and payrollTransaction.ts; S13 live-check migration.</w:t>
      </w:r>
    </w:p>
    <w:p>
      <w:pPr>
        <w:pStyle w:val="Heading1"/>
        <w:pageBreakBefore/>
        <w:spacing w:before="0"/>
      </w:pPr>
      <w:r>
        <w:t>8 Input browser and integration controls</w:t>
      </w:r>
    </w:p>
    <w:p>
      <w:pPr>
        <w:pStyle w:val="Heading2"/>
      </w:pPr>
      <w:r>
        <w:t>API parsing and database use</w:t>
      </w:r>
    </w:p>
    <w:p>
      <w:pPr>
        <w:widowControl/>
      </w:pPr>
      <w:r>
        <w:t>Express limits JSON and URL-encoded bodies to 5 MB. Zod schemas validate supported request shapes, formats, enumerations, required fields and many numeric ranges. Shared date helpers reject impossible calendar dates and reversed date ranges on relevant operations. Individual routes use their own schemas and checks; there is no claim that every field has a universal length bound. [S6, S12]</w:t>
      </w:r>
    </w:p>
    <w:p>
      <w:pPr>
        <w:widowControl/>
      </w:pPr>
      <w:r>
        <w:t>Prisma query APIs carry ordinary database selectors and mutations. The payroll advisory-lock helper uses a parameterized tagged SQL query. Migration and import tools are privileged operator workflows and are not exposed as web endpoints. Sensitive business operations use transactions and database constraints as described in section 7.</w:t>
      </w:r>
    </w:p>
    <w:p>
      <w:pPr>
        <w:pStyle w:val="Heading2"/>
      </w:pPr>
      <w:r>
        <w:t>Browser rendering and downloads</w:t>
      </w:r>
    </w:p>
    <w:p>
      <w:pPr>
        <w:widowControl/>
      </w:pPr>
      <w:r>
        <w:t>The reviewed React components render guest, staff, catalogue, PMS and audit values through text or normal attributes. No arbitrary HTML/eval rendering sink was established in the reviewed components. Bill drafts use sessionStorage keys scoped to user and property. PMS requests use cancellation and generation/key checks to avoid applying stale guest results. [S14]</w:t>
      </w:r>
    </w:p>
    <w:p>
      <w:pPr>
        <w:widowControl/>
      </w:pPr>
      <w:r>
        <w:t>CSV exports quote fields, escape embedded quotes and prefix text beginning with spreadsheet formula initiators, including leading control/whitespace cases. Catalogue exports apply a corresponding spreadsheet-safe text prefix. XLSX catalogue imports reject formula and error cells. Downloads use generated Blob URLs and revoke those URLs after use. These are spreadsheet and rendering controls; downloaded files still contain authorized business data. [S15]</w:t>
      </w:r>
    </w:p>
    <w:p>
      <w:pPr>
        <w:pStyle w:val="Heading2"/>
      </w:pPr>
      <w:r>
        <w:t>Hotel PMS integration</w:t>
      </w:r>
    </w:p>
    <w:p>
      <w:pPr>
        <w:widowControl/>
      </w:pPr>
      <w:r>
        <w:t>Only the backend reads PMS_API_KEY. The destination is fixed to https://pmsapi.ssrsys.com/api/v1/inhouse/guests; users supply a validated room number rather than an arbitrary network URL. Resort codes come from authorized server property mappings, and only global administrators can change those mappings. Fetch denies redirects and has an 8-second timeout. [S16]</w:t>
      </w:r>
    </w:p>
    <w:p>
      <w:pPr>
        <w:widowControl/>
      </w:pPr>
      <w:r>
        <w:t>Responses must match the requested property code and room and pass the guest schema. One response contains at most 100 guest records. OLHU responses have an explicit permitted OLHU/SSO guest-code case. Up to seven configured resorts can be queried per lookup; a 503 can be retried once for each resort. Duplicate guests are combined, and a failed resort causes the whole lookup to fail rather than silently showing partial results.</w:t>
      </w:r>
    </w:p>
    <w:p>
      <w:pPr>
        <w:widowControl/>
      </w:pPr>
      <w:r>
        <w:t>The account limiter allows 20 lookup operations per minute. This is not a limit of 20 total upstream requests, because each operation can query several resorts. Logs record status and sanitized request ID rather than the API key or guest payload. Empty key configuration disables lookup, and manual guest entry remains available.</w:t>
      </w:r>
    </w:p>
    <w:p>
      <w:pPr>
        <w:widowControl/>
        <w:spacing w:before="160"/>
      </w:pPr>
      <w:r>
        <w:rPr>
          <w:color w:val="555555"/>
          <w:sz w:val="16"/>
        </w:rPr>
        <w:t>Evidence  S6 API setup; S12 route validators; S14 browser state; S15 CSV/catalogue handling; S16 PMS routes and service.</w:t>
      </w:r>
    </w:p>
    <w:p>
      <w:pPr>
        <w:pStyle w:val="Heading1"/>
        <w:pageBreakBefore/>
        <w:spacing w:before="0"/>
      </w:pPr>
      <w:r>
        <w:t>9 Catalogue import resource protection</w:t>
      </w:r>
    </w:p>
    <w:p>
      <w:pPr>
        <w:widowControl/>
      </w:pPr>
      <w:r>
        <w:t>Both preview and commit require workspace authentication, manager/admin role and property access before parsing. The patch moves untrusted CSV/XLSX parsing out of the API event loop into one worker at a time. A concurrent import receives an explicit retry error; there is no queue retaining uploaded buffers. [S17]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736"/>
        <w:gridCol w:w="4795"/>
      </w:tblGrid>
      <w:tr>
        <w:trPr>
          <w:tblHeader/>
          <w:cantSplit/>
        </w:trPr>
        <w:tc>
          <w:tcPr>
            <w:tcW w:type="dxa" w:w="2304"/>
            <w:vAlign w:val="center"/>
            <w:tcMar>
              <w:top w:w="80" w:type="dxa"/>
              <w:bottom w:w="80" w:type="dxa"/>
              <w:left w:w="105" w:type="dxa"/>
              <w:right w:w="105" w:type="dxa"/>
            </w:tcMar>
            <w:shd w:fill="243B53"/>
          </w:tcPr>
          <w:p>
            <w:pPr>
              <w:spacing w:after="20" w:before="20" w:line="247" w:lineRule="auto"/>
            </w:pPr>
            <w:r>
              <w:rPr>
                <w:b/>
                <w:color w:val="FFFFFF"/>
                <w:sz w:val="18"/>
              </w:rPr>
              <w:t>Budget</w:t>
            </w:r>
          </w:p>
        </w:tc>
        <w:tc>
          <w:tcPr>
            <w:tcW w:type="dxa" w:w="2736"/>
            <w:vAlign w:val="center"/>
            <w:tcMar>
              <w:top w:w="80" w:type="dxa"/>
              <w:bottom w:w="80" w:type="dxa"/>
              <w:left w:w="105" w:type="dxa"/>
              <w:right w:w="105" w:type="dxa"/>
            </w:tcMar>
            <w:shd w:fill="243B53"/>
          </w:tcPr>
          <w:p>
            <w:pPr>
              <w:spacing w:after="20" w:before="20" w:line="247" w:lineRule="auto"/>
            </w:pPr>
            <w:r>
              <w:rPr>
                <w:b/>
                <w:color w:val="FFFFFF"/>
                <w:sz w:val="18"/>
              </w:rPr>
              <w:t>Configured maximum</w:t>
            </w:r>
          </w:p>
        </w:tc>
        <w:tc>
          <w:tcPr>
            <w:tcW w:type="dxa" w:w="4795"/>
            <w:vAlign w:val="center"/>
            <w:tcMar>
              <w:top w:w="80" w:type="dxa"/>
              <w:bottom w:w="80" w:type="dxa"/>
              <w:left w:w="105" w:type="dxa"/>
              <w:right w:w="105" w:type="dxa"/>
            </w:tcMar>
            <w:shd w:fill="243B53"/>
          </w:tcPr>
          <w:p>
            <w:pPr>
              <w:spacing w:after="20" w:before="20" w:line="247" w:lineRule="auto"/>
            </w:pPr>
            <w:r>
              <w:rPr>
                <w:b/>
                <w:color w:val="FFFFFF"/>
                <w:sz w:val="18"/>
              </w:rPr>
              <w:t>Enforcement</w:t>
            </w:r>
          </w:p>
        </w:tc>
      </w:tr>
      <w:tr>
        <w:trPr>
          <w:cantSplit/>
        </w:trPr>
        <w:tc>
          <w:tcPr>
            <w:tcW w:type="dxa" w:w="2304"/>
            <w:vAlign w:val="center"/>
            <w:tcMar>
              <w:top w:w="80" w:type="dxa"/>
              <w:bottom w:w="80" w:type="dxa"/>
              <w:left w:w="105" w:type="dxa"/>
              <w:right w:w="105" w:type="dxa"/>
            </w:tcMar>
            <w:shd w:fill="FFFFFF"/>
          </w:tcPr>
          <w:p>
            <w:pPr>
              <w:spacing w:after="20" w:before="20" w:line="247" w:lineRule="auto"/>
            </w:pPr>
            <w:r>
              <w:rPr>
                <w:b w:val="0"/>
                <w:color w:val="000000"/>
                <w:sz w:val="18"/>
              </w:rPr>
              <w:t>Decoded upload</w:t>
            </w:r>
          </w:p>
        </w:tc>
        <w:tc>
          <w:tcPr>
            <w:tcW w:type="dxa" w:w="2736"/>
            <w:vAlign w:val="center"/>
            <w:tcMar>
              <w:top w:w="80" w:type="dxa"/>
              <w:bottom w:w="80" w:type="dxa"/>
              <w:left w:w="105" w:type="dxa"/>
              <w:right w:w="105" w:type="dxa"/>
            </w:tcMar>
            <w:shd w:fill="FFFFFF"/>
          </w:tcPr>
          <w:p>
            <w:pPr>
              <w:spacing w:after="20" w:before="20" w:line="247" w:lineRule="auto"/>
            </w:pPr>
            <w:r>
              <w:rPr>
                <w:b w:val="0"/>
                <w:color w:val="000000"/>
                <w:sz w:val="18"/>
              </w:rPr>
              <w:t>3 MiB</w:t>
            </w:r>
          </w:p>
        </w:tc>
        <w:tc>
          <w:tcPr>
            <w:tcW w:type="dxa" w:w="4795"/>
            <w:vAlign w:val="center"/>
            <w:tcMar>
              <w:top w:w="80" w:type="dxa"/>
              <w:bottom w:w="80" w:type="dxa"/>
              <w:left w:w="105" w:type="dxa"/>
              <w:right w:w="105" w:type="dxa"/>
            </w:tcMar>
            <w:shd w:fill="FFFFFF"/>
          </w:tcPr>
          <w:p>
            <w:pPr>
              <w:spacing w:after="20" w:before="20" w:line="247" w:lineRule="auto"/>
            </w:pPr>
            <w:r>
              <w:rPr>
                <w:b w:val="0"/>
                <w:color w:val="000000"/>
                <w:sz w:val="18"/>
              </w:rPr>
              <w:t>Checked before dispatch and again in the worker; route base64 text is capped at 4 MiB.</w:t>
            </w:r>
          </w:p>
        </w:tc>
      </w:tr>
      <w:tr>
        <w:trPr>
          <w:cantSplit/>
        </w:trPr>
        <w:tc>
          <w:tcPr>
            <w:tcW w:type="dxa" w:w="2304"/>
            <w:vAlign w:val="center"/>
            <w:tcMar>
              <w:top w:w="80" w:type="dxa"/>
              <w:bottom w:w="80" w:type="dxa"/>
              <w:left w:w="105" w:type="dxa"/>
              <w:right w:w="105" w:type="dxa"/>
            </w:tcMar>
            <w:shd w:fill="F2F5F8"/>
          </w:tcPr>
          <w:p>
            <w:pPr>
              <w:spacing w:after="20" w:before="20" w:line="247" w:lineRule="auto"/>
            </w:pPr>
            <w:r>
              <w:rPr>
                <w:b w:val="0"/>
                <w:color w:val="000000"/>
                <w:sz w:val="18"/>
              </w:rPr>
              <w:t>Archive entries</w:t>
            </w:r>
          </w:p>
        </w:tc>
        <w:tc>
          <w:tcPr>
            <w:tcW w:type="dxa" w:w="2736"/>
            <w:vAlign w:val="center"/>
            <w:tcMar>
              <w:top w:w="80" w:type="dxa"/>
              <w:bottom w:w="80" w:type="dxa"/>
              <w:left w:w="105" w:type="dxa"/>
              <w:right w:w="105" w:type="dxa"/>
            </w:tcMar>
            <w:shd w:fill="F2F5F8"/>
          </w:tcPr>
          <w:p>
            <w:pPr>
              <w:spacing w:after="20" w:before="20" w:line="247" w:lineRule="auto"/>
            </w:pPr>
            <w:r>
              <w:rPr>
                <w:b w:val="0"/>
                <w:color w:val="000000"/>
                <w:sz w:val="18"/>
              </w:rPr>
              <w:t>64</w:t>
            </w:r>
          </w:p>
        </w:tc>
        <w:tc>
          <w:tcPr>
            <w:tcW w:type="dxa" w:w="4795"/>
            <w:vAlign w:val="center"/>
            <w:tcMar>
              <w:top w:w="80" w:type="dxa"/>
              <w:bottom w:w="80" w:type="dxa"/>
              <w:left w:w="105" w:type="dxa"/>
              <w:right w:w="105" w:type="dxa"/>
            </w:tcMar>
            <w:shd w:fill="F2F5F8"/>
          </w:tcPr>
          <w:p>
            <w:pPr>
              <w:spacing w:after="20" w:before="20" w:line="247" w:lineRule="auto"/>
            </w:pPr>
            <w:r>
              <w:rPr>
                <w:b w:val="0"/>
                <w:color w:val="000000"/>
                <w:sz w:val="18"/>
              </w:rPr>
              <w:t>All entries count, including unused parts and directory records.</w:t>
            </w:r>
          </w:p>
        </w:tc>
      </w:tr>
      <w:tr>
        <w:trPr>
          <w:cantSplit/>
        </w:trPr>
        <w:tc>
          <w:tcPr>
            <w:tcW w:type="dxa" w:w="2304"/>
            <w:vAlign w:val="center"/>
            <w:tcMar>
              <w:top w:w="80" w:type="dxa"/>
              <w:bottom w:w="80" w:type="dxa"/>
              <w:left w:w="105" w:type="dxa"/>
              <w:right w:w="105" w:type="dxa"/>
            </w:tcMar>
            <w:shd w:fill="FFFFFF"/>
          </w:tcPr>
          <w:p>
            <w:pPr>
              <w:spacing w:after="20" w:before="20" w:line="247" w:lineRule="auto"/>
            </w:pPr>
            <w:r>
              <w:rPr>
                <w:b w:val="0"/>
                <w:color w:val="000000"/>
                <w:sz w:val="18"/>
              </w:rPr>
              <w:t>Expanded ZIP entry</w:t>
            </w:r>
          </w:p>
        </w:tc>
        <w:tc>
          <w:tcPr>
            <w:tcW w:type="dxa" w:w="2736"/>
            <w:vAlign w:val="center"/>
            <w:tcMar>
              <w:top w:w="80" w:type="dxa"/>
              <w:bottom w:w="80" w:type="dxa"/>
              <w:left w:w="105" w:type="dxa"/>
              <w:right w:w="105" w:type="dxa"/>
            </w:tcMar>
            <w:shd w:fill="FFFFFF"/>
          </w:tcPr>
          <w:p>
            <w:pPr>
              <w:spacing w:after="20" w:before="20" w:line="247" w:lineRule="auto"/>
            </w:pPr>
            <w:r>
              <w:rPr>
                <w:b w:val="0"/>
                <w:color w:val="000000"/>
                <w:sz w:val="18"/>
              </w:rPr>
              <w:t>2 MiB</w:t>
            </w:r>
          </w:p>
        </w:tc>
        <w:tc>
          <w:tcPr>
            <w:tcW w:type="dxa" w:w="4795"/>
            <w:vAlign w:val="center"/>
            <w:tcMar>
              <w:top w:w="80" w:type="dxa"/>
              <w:bottom w:w="80" w:type="dxa"/>
              <w:left w:w="105" w:type="dxa"/>
              <w:right w:w="105" w:type="dxa"/>
            </w:tcMar>
            <w:shd w:fill="FFFFFF"/>
          </w:tcPr>
          <w:p>
            <w:pPr>
              <w:spacing w:after="20" w:before="20" w:line="247" w:lineRule="auto"/>
            </w:pPr>
            <w:r>
              <w:rPr>
                <w:b w:val="0"/>
                <w:color w:val="000000"/>
                <w:sz w:val="18"/>
              </w:rPr>
              <w:t>Counts actual emitted bytes during streaming decompression; does not trust declared ZIP sizes.</w:t>
            </w:r>
          </w:p>
        </w:tc>
      </w:tr>
      <w:tr>
        <w:trPr>
          <w:cantSplit/>
        </w:trPr>
        <w:tc>
          <w:tcPr>
            <w:tcW w:type="dxa" w:w="2304"/>
            <w:vAlign w:val="center"/>
            <w:tcMar>
              <w:top w:w="80" w:type="dxa"/>
              <w:bottom w:w="80" w:type="dxa"/>
              <w:left w:w="105" w:type="dxa"/>
              <w:right w:w="105" w:type="dxa"/>
            </w:tcMar>
            <w:shd w:fill="F2F5F8"/>
          </w:tcPr>
          <w:p>
            <w:pPr>
              <w:spacing w:after="20" w:before="20" w:line="247" w:lineRule="auto"/>
            </w:pPr>
            <w:r>
              <w:rPr>
                <w:b w:val="0"/>
                <w:color w:val="000000"/>
                <w:sz w:val="18"/>
              </w:rPr>
              <w:t>Expanded archive total</w:t>
            </w:r>
          </w:p>
        </w:tc>
        <w:tc>
          <w:tcPr>
            <w:tcW w:type="dxa" w:w="2736"/>
            <w:vAlign w:val="center"/>
            <w:tcMar>
              <w:top w:w="80" w:type="dxa"/>
              <w:bottom w:w="80" w:type="dxa"/>
              <w:left w:w="105" w:type="dxa"/>
              <w:right w:w="105" w:type="dxa"/>
            </w:tcMar>
            <w:shd w:fill="F2F5F8"/>
          </w:tcPr>
          <w:p>
            <w:pPr>
              <w:spacing w:after="20" w:before="20" w:line="247" w:lineRule="auto"/>
            </w:pPr>
            <w:r>
              <w:rPr>
                <w:b w:val="0"/>
                <w:color w:val="000000"/>
                <w:sz w:val="18"/>
              </w:rPr>
              <w:t>8 MiB</w:t>
            </w:r>
          </w:p>
        </w:tc>
        <w:tc>
          <w:tcPr>
            <w:tcW w:type="dxa" w:w="4795"/>
            <w:vAlign w:val="center"/>
            <w:tcMar>
              <w:top w:w="80" w:type="dxa"/>
              <w:bottom w:w="80" w:type="dxa"/>
              <w:left w:w="105" w:type="dxa"/>
              <w:right w:w="105" w:type="dxa"/>
            </w:tcMar>
            <w:shd w:fill="F2F5F8"/>
          </w:tcPr>
          <w:p>
            <w:pPr>
              <w:spacing w:after="20" w:before="20" w:line="247" w:lineRule="auto"/>
            </w:pPr>
            <w:r>
              <w:rPr>
                <w:b w:val="0"/>
                <w:color w:val="000000"/>
                <w:sz w:val="18"/>
              </w:rPr>
              <w:t>Cumulative actual bytes across entries, including unused data.</w:t>
            </w:r>
          </w:p>
        </w:tc>
      </w:tr>
      <w:tr>
        <w:trPr>
          <w:cantSplit/>
        </w:trPr>
        <w:tc>
          <w:tcPr>
            <w:tcW w:type="dxa" w:w="2304"/>
            <w:vAlign w:val="center"/>
            <w:tcMar>
              <w:top w:w="80" w:type="dxa"/>
              <w:bottom w:w="80" w:type="dxa"/>
              <w:left w:w="105" w:type="dxa"/>
              <w:right w:w="105" w:type="dxa"/>
            </w:tcMar>
            <w:shd w:fill="FFFFFF"/>
          </w:tcPr>
          <w:p>
            <w:pPr>
              <w:spacing w:after="20" w:before="20" w:line="247" w:lineRule="auto"/>
            </w:pPr>
            <w:r>
              <w:rPr>
                <w:b w:val="0"/>
                <w:color w:val="000000"/>
                <w:sz w:val="18"/>
              </w:rPr>
              <w:t>Catalogue data</w:t>
            </w:r>
          </w:p>
        </w:tc>
        <w:tc>
          <w:tcPr>
            <w:tcW w:type="dxa" w:w="2736"/>
            <w:vAlign w:val="center"/>
            <w:tcMar>
              <w:top w:w="80" w:type="dxa"/>
              <w:bottom w:w="80" w:type="dxa"/>
              <w:left w:w="105" w:type="dxa"/>
              <w:right w:w="105" w:type="dxa"/>
            </w:tcMar>
            <w:shd w:fill="FFFFFF"/>
          </w:tcPr>
          <w:p>
            <w:pPr>
              <w:spacing w:after="20" w:before="20" w:line="247" w:lineRule="auto"/>
            </w:pPr>
            <w:r>
              <w:rPr>
                <w:b w:val="0"/>
                <w:color w:val="000000"/>
                <w:sz w:val="18"/>
              </w:rPr>
              <w:t>2,000 items and six columns</w:t>
            </w:r>
          </w:p>
        </w:tc>
        <w:tc>
          <w:tcPr>
            <w:tcW w:type="dxa" w:w="4795"/>
            <w:vAlign w:val="center"/>
            <w:tcMar>
              <w:top w:w="80" w:type="dxa"/>
              <w:bottom w:w="80" w:type="dxa"/>
              <w:left w:w="105" w:type="dxa"/>
              <w:right w:w="105" w:type="dxa"/>
            </w:tcMar>
            <w:shd w:fill="FFFFFF"/>
          </w:tcPr>
          <w:p>
            <w:pPr>
              <w:spacing w:after="20" w:before="20" w:line="247" w:lineRule="auto"/>
            </w:pPr>
            <w:r>
              <w:rPr>
                <w:b w:val="0"/>
                <w:color w:val="000000"/>
                <w:sz w:val="18"/>
              </w:rPr>
              <w:t>Header plus 2,000 rows; extra data is rejected rather than silently accepted as a truncated import.</w:t>
            </w:r>
          </w:p>
        </w:tc>
      </w:tr>
      <w:tr>
        <w:trPr>
          <w:cantSplit/>
        </w:trPr>
        <w:tc>
          <w:tcPr>
            <w:tcW w:type="dxa" w:w="2304"/>
            <w:vAlign w:val="center"/>
            <w:tcMar>
              <w:top w:w="80" w:type="dxa"/>
              <w:bottom w:w="80" w:type="dxa"/>
              <w:left w:w="105" w:type="dxa"/>
              <w:right w:w="105" w:type="dxa"/>
            </w:tcMar>
            <w:shd w:fill="F2F5F8"/>
          </w:tcPr>
          <w:p>
            <w:pPr>
              <w:spacing w:after="20" w:before="20" w:line="247" w:lineRule="auto"/>
            </w:pPr>
            <w:r>
              <w:rPr>
                <w:b w:val="0"/>
                <w:color w:val="000000"/>
                <w:sz w:val="18"/>
              </w:rPr>
              <w:t>Returned cell text</w:t>
            </w:r>
          </w:p>
        </w:tc>
        <w:tc>
          <w:tcPr>
            <w:tcW w:type="dxa" w:w="2736"/>
            <w:vAlign w:val="center"/>
            <w:tcMar>
              <w:top w:w="80" w:type="dxa"/>
              <w:bottom w:w="80" w:type="dxa"/>
              <w:left w:w="105" w:type="dxa"/>
              <w:right w:w="105" w:type="dxa"/>
            </w:tcMar>
            <w:shd w:fill="F2F5F8"/>
          </w:tcPr>
          <w:p>
            <w:pPr>
              <w:spacing w:after="20" w:before="20" w:line="247" w:lineRule="auto"/>
            </w:pPr>
            <w:r>
              <w:rPr>
                <w:b w:val="0"/>
                <w:color w:val="000000"/>
                <w:sz w:val="18"/>
              </w:rPr>
              <w:t>4 KiB per cell and 2 MiB total</w:t>
            </w:r>
          </w:p>
        </w:tc>
        <w:tc>
          <w:tcPr>
            <w:tcW w:type="dxa" w:w="4795"/>
            <w:vAlign w:val="center"/>
            <w:tcMar>
              <w:top w:w="80" w:type="dxa"/>
              <w:bottom w:w="80" w:type="dxa"/>
              <w:left w:w="105" w:type="dxa"/>
              <w:right w:w="105" w:type="dxa"/>
            </w:tcMar>
            <w:shd w:fill="F2F5F8"/>
          </w:tcPr>
          <w:p>
            <w:pPr>
              <w:spacing w:after="20" w:before="20" w:line="247" w:lineRule="auto"/>
            </w:pPr>
            <w:r>
              <w:rPr>
                <w:b w:val="0"/>
                <w:color w:val="000000"/>
                <w:sz w:val="18"/>
              </w:rPr>
              <w:t>Checked before postMessage so repeated shared strings cannot amplify the API heap.</w:t>
            </w:r>
          </w:p>
        </w:tc>
      </w:tr>
      <w:tr>
        <w:trPr>
          <w:cantSplit/>
        </w:trPr>
        <w:tc>
          <w:tcPr>
            <w:tcW w:type="dxa" w:w="2304"/>
            <w:vAlign w:val="center"/>
            <w:tcMar>
              <w:top w:w="80" w:type="dxa"/>
              <w:bottom w:w="80" w:type="dxa"/>
              <w:left w:w="105" w:type="dxa"/>
              <w:right w:w="105" w:type="dxa"/>
            </w:tcMar>
            <w:shd w:fill="FFFFFF"/>
          </w:tcPr>
          <w:p>
            <w:pPr>
              <w:spacing w:after="20" w:before="20" w:line="247" w:lineRule="auto"/>
            </w:pPr>
            <w:r>
              <w:rPr>
                <w:b w:val="0"/>
                <w:color w:val="000000"/>
                <w:sz w:val="18"/>
              </w:rPr>
              <w:t>Worker V8 heap</w:t>
            </w:r>
          </w:p>
        </w:tc>
        <w:tc>
          <w:tcPr>
            <w:tcW w:type="dxa" w:w="2736"/>
            <w:vAlign w:val="center"/>
            <w:tcMar>
              <w:top w:w="80" w:type="dxa"/>
              <w:bottom w:w="80" w:type="dxa"/>
              <w:left w:w="105" w:type="dxa"/>
              <w:right w:w="105" w:type="dxa"/>
            </w:tcMar>
            <w:shd w:fill="FFFFFF"/>
          </w:tcPr>
          <w:p>
            <w:pPr>
              <w:spacing w:after="20" w:before="20" w:line="247" w:lineRule="auto"/>
            </w:pPr>
            <w:r>
              <w:rPr>
                <w:b w:val="0"/>
                <w:color w:val="000000"/>
                <w:sz w:val="18"/>
              </w:rPr>
              <w:t>96 MiB old generation and 16 MiB young generation</w:t>
            </w:r>
          </w:p>
        </w:tc>
        <w:tc>
          <w:tcPr>
            <w:tcW w:type="dxa" w:w="4795"/>
            <w:vAlign w:val="center"/>
            <w:tcMar>
              <w:top w:w="80" w:type="dxa"/>
              <w:bottom w:w="80" w:type="dxa"/>
              <w:left w:w="105" w:type="dxa"/>
              <w:right w:w="105" w:type="dxa"/>
            </w:tcMar>
            <w:shd w:fill="FFFFFF"/>
          </w:tcPr>
          <w:p>
            <w:pPr>
              <w:spacing w:after="20" w:before="20" w:line="247" w:lineRule="auto"/>
            </w:pPr>
            <w:r>
              <w:rPr>
                <w:b w:val="0"/>
                <w:color w:val="000000"/>
                <w:sz w:val="18"/>
              </w:rPr>
              <w:t>A separate V8 heap budget; not a total operating-system RSS cap.</w:t>
            </w:r>
          </w:p>
        </w:tc>
      </w:tr>
      <w:tr>
        <w:trPr>
          <w:cantSplit/>
        </w:trPr>
        <w:tc>
          <w:tcPr>
            <w:tcW w:type="dxa" w:w="2304"/>
            <w:vAlign w:val="center"/>
            <w:tcMar>
              <w:top w:w="80" w:type="dxa"/>
              <w:bottom w:w="80" w:type="dxa"/>
              <w:left w:w="105" w:type="dxa"/>
              <w:right w:w="105" w:type="dxa"/>
            </w:tcMar>
            <w:shd w:fill="F2F5F8"/>
          </w:tcPr>
          <w:p>
            <w:pPr>
              <w:spacing w:after="20" w:before="20" w:line="247" w:lineRule="auto"/>
            </w:pPr>
            <w:r>
              <w:rPr>
                <w:b w:val="0"/>
                <w:color w:val="000000"/>
                <w:sz w:val="18"/>
              </w:rPr>
              <w:t>Worker stack and time</w:t>
            </w:r>
          </w:p>
        </w:tc>
        <w:tc>
          <w:tcPr>
            <w:tcW w:type="dxa" w:w="2736"/>
            <w:vAlign w:val="center"/>
            <w:tcMar>
              <w:top w:w="80" w:type="dxa"/>
              <w:bottom w:w="80" w:type="dxa"/>
              <w:left w:w="105" w:type="dxa"/>
              <w:right w:w="105" w:type="dxa"/>
            </w:tcMar>
            <w:shd w:fill="F2F5F8"/>
          </w:tcPr>
          <w:p>
            <w:pPr>
              <w:spacing w:after="20" w:before="20" w:line="247" w:lineRule="auto"/>
            </w:pPr>
            <w:r>
              <w:rPr>
                <w:b w:val="0"/>
                <w:color w:val="000000"/>
                <w:sz w:val="18"/>
              </w:rPr>
              <w:t>4 MiB stack and 10 seconds</w:t>
            </w:r>
          </w:p>
        </w:tc>
        <w:tc>
          <w:tcPr>
            <w:tcW w:type="dxa" w:w="4795"/>
            <w:vAlign w:val="center"/>
            <w:tcMar>
              <w:top w:w="80" w:type="dxa"/>
              <w:bottom w:w="80" w:type="dxa"/>
              <w:left w:w="105" w:type="dxa"/>
              <w:right w:w="105" w:type="dxa"/>
            </w:tcMar>
            <w:shd w:fill="F2F5F8"/>
          </w:tcPr>
          <w:p>
            <w:pPr>
              <w:spacing w:after="20" w:before="20" w:line="247" w:lineRule="auto"/>
            </w:pPr>
            <w:r>
              <w:rPr>
                <w:b w:val="0"/>
                <w:color w:val="000000"/>
                <w:sz w:val="18"/>
              </w:rPr>
              <w:t>Deadline rejects the operation and terminates the worker. Slot remains held until termination completes.</w:t>
            </w:r>
          </w:p>
        </w:tc>
      </w:tr>
      <w:tr>
        <w:trPr>
          <w:cantSplit/>
        </w:trPr>
        <w:tc>
          <w:tcPr>
            <w:tcW w:type="dxa" w:w="2304"/>
            <w:vAlign w:val="center"/>
            <w:tcMar>
              <w:top w:w="80" w:type="dxa"/>
              <w:bottom w:w="80" w:type="dxa"/>
              <w:left w:w="105" w:type="dxa"/>
              <w:right w:w="105" w:type="dxa"/>
            </w:tcMar>
            <w:shd w:fill="FFFFFF"/>
          </w:tcPr>
          <w:p>
            <w:pPr>
              <w:spacing w:after="20" w:before="20" w:line="247" w:lineRule="auto"/>
            </w:pPr>
            <w:r>
              <w:rPr>
                <w:b w:val="0"/>
                <w:color w:val="000000"/>
                <w:sz w:val="18"/>
              </w:rPr>
              <w:t>Parsing concurrency</w:t>
            </w:r>
          </w:p>
        </w:tc>
        <w:tc>
          <w:tcPr>
            <w:tcW w:type="dxa" w:w="2736"/>
            <w:vAlign w:val="center"/>
            <w:tcMar>
              <w:top w:w="80" w:type="dxa"/>
              <w:bottom w:w="80" w:type="dxa"/>
              <w:left w:w="105" w:type="dxa"/>
              <w:right w:w="105" w:type="dxa"/>
            </w:tcMar>
            <w:shd w:fill="FFFFFF"/>
          </w:tcPr>
          <w:p>
            <w:pPr>
              <w:spacing w:after="20" w:before="20" w:line="247" w:lineRule="auto"/>
            </w:pPr>
            <w:r>
              <w:rPr>
                <w:b w:val="0"/>
                <w:color w:val="000000"/>
                <w:sz w:val="18"/>
              </w:rPr>
              <w:t>One per API process</w:t>
            </w:r>
          </w:p>
        </w:tc>
        <w:tc>
          <w:tcPr>
            <w:tcW w:type="dxa" w:w="4795"/>
            <w:vAlign w:val="center"/>
            <w:tcMar>
              <w:top w:w="80" w:type="dxa"/>
              <w:bottom w:w="80" w:type="dxa"/>
              <w:left w:w="105" w:type="dxa"/>
              <w:right w:w="105" w:type="dxa"/>
            </w:tcMar>
            <w:shd w:fill="FFFFFF"/>
          </w:tcPr>
          <w:p>
            <w:pPr>
              <w:spacing w:after="20" w:before="20" w:line="247" w:lineRule="auto"/>
            </w:pPr>
            <w:r>
              <w:rPr>
                <w:b w:val="0"/>
                <w:color w:val="000000"/>
                <w:sz w:val="18"/>
              </w:rPr>
              <w:t>Bounds simultaneous parser memory and CPU load.</w:t>
            </w:r>
          </w:p>
        </w:tc>
      </w:tr>
    </w:tbl>
    <w:p>
      <w:pPr>
        <w:widowControl/>
        <w:spacing w:after="0"/>
      </w:pPr>
    </w:p>
    <w:p>
      <w:pPr>
        <w:pStyle w:val="Heading2"/>
      </w:pPr>
      <w:r>
        <w:t>Validation before consumption</w:t>
      </w:r>
    </w:p>
    <w:p>
      <w:pPr>
        <w:widowControl/>
      </w:pPr>
      <w:r>
        <w:t>JSZip streams each entry through the byte budgets. A normalized STORE archive is built from the checked data and passed to ExcelJS, so the loader never receives the original unchecked representation. Formatting-only merge-cell and column-width metadata is ignored to prevent tiny ranges expanding into huge arrays. ExcelJS row and column limits supplement the byte budgets.</w:t>
      </w:r>
    </w:p>
    <w:p>
      <w:pPr>
        <w:widowControl/>
      </w:pPr>
      <w:r>
        <w:t>The worker bounds its returned text before structured cloning. Main-thread business validation then checks catalogue headers, item codes/names/categories, nonnegative price and commission settings, status and duplicates. Preview remains read-only; commit uses the existing property transaction and rejects invalid batches without partial changes.</w:t>
      </w:r>
    </w:p>
    <w:p>
      <w:pPr>
        <w:widowControl/>
      </w:pPr>
      <w:r>
        <w:t>A worker separates scheduling and V8 heap accounting. It is not a separate operating-system process or privilege sandbox. Valid tested six-column CSV/XLSX files, including 2,000-item round-trips, remain supported. Large formatting-heavy files or simultaneous uploads can now be rejected by explicit resource limits.</w:t>
      </w:r>
    </w:p>
    <w:p>
      <w:pPr>
        <w:widowControl/>
        <w:spacing w:before="160"/>
      </w:pPr>
      <w:r>
        <w:rPr>
          <w:color w:val="555555"/>
          <w:sz w:val="16"/>
        </w:rPr>
        <w:t>Evidence  S17 catalogueParser.ts, tools/catalogue-worker.cjs and catalogueTransfer.ts; S12 items import route; S22 parser regression tests.</w:t>
      </w:r>
    </w:p>
    <w:p>
      <w:pPr>
        <w:pStyle w:val="Heading1"/>
        <w:pageBreakBefore/>
        <w:spacing w:before="0"/>
      </w:pPr>
      <w:r>
        <w:t>10 Deployment database and secrets</w:t>
      </w:r>
    </w:p>
    <w:p>
      <w:pPr>
        <w:pStyle w:val="Heading2"/>
      </w:pPr>
      <w:r>
        <w:t>Runtime containment</w:t>
      </w:r>
    </w:p>
    <w:p>
      <w:pPr>
        <w:widowControl/>
      </w:pPr>
      <w:r>
        <w:t>The base Compose deployment publishes only web TCP 80/443 and UDP 443. Backend port 5001 is internal; PostgreSQL has no host-published port. The backend image runs as the node user. The web image is not explicitly configured as a non-root user; it drops capabilities and adds only NET_BIND_SERVICE for low ports. [S3, S18]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456"/>
        <w:gridCol w:w="4147"/>
      </w:tblGrid>
      <w:tr>
        <w:trPr>
          <w:tblHeader/>
          <w:cantSplit/>
        </w:trPr>
        <w:tc>
          <w:tcPr>
            <w:tcW w:type="dxa" w:w="2232"/>
            <w:vAlign w:val="center"/>
            <w:tcMar>
              <w:top w:w="80" w:type="dxa"/>
              <w:bottom w:w="80" w:type="dxa"/>
              <w:left w:w="105" w:type="dxa"/>
              <w:right w:w="105" w:type="dxa"/>
            </w:tcMar>
            <w:shd w:fill="243B53"/>
          </w:tcPr>
          <w:p>
            <w:pPr>
              <w:spacing w:after="20" w:before="20" w:line="247" w:lineRule="auto"/>
            </w:pPr>
            <w:r>
              <w:rPr>
                <w:b/>
                <w:color w:val="FFFFFF"/>
                <w:sz w:val="18"/>
              </w:rPr>
              <w:t>Control</w:t>
            </w:r>
          </w:p>
        </w:tc>
        <w:tc>
          <w:tcPr>
            <w:tcW w:type="dxa" w:w="3456"/>
            <w:vAlign w:val="center"/>
            <w:tcMar>
              <w:top w:w="80" w:type="dxa"/>
              <w:bottom w:w="80" w:type="dxa"/>
              <w:left w:w="105" w:type="dxa"/>
              <w:right w:w="105" w:type="dxa"/>
            </w:tcMar>
            <w:shd w:fill="243B53"/>
          </w:tcPr>
          <w:p>
            <w:pPr>
              <w:spacing w:after="20" w:before="20" w:line="247" w:lineRule="auto"/>
            </w:pPr>
            <w:r>
              <w:rPr>
                <w:b/>
                <w:color w:val="FFFFFF"/>
                <w:sz w:val="18"/>
              </w:rPr>
              <w:t>Backend</w:t>
            </w:r>
          </w:p>
        </w:tc>
        <w:tc>
          <w:tcPr>
            <w:tcW w:type="dxa" w:w="4147"/>
            <w:vAlign w:val="center"/>
            <w:tcMar>
              <w:top w:w="80" w:type="dxa"/>
              <w:bottom w:w="80" w:type="dxa"/>
              <w:left w:w="105" w:type="dxa"/>
              <w:right w:w="105" w:type="dxa"/>
            </w:tcMar>
            <w:shd w:fill="243B53"/>
          </w:tcPr>
          <w:p>
            <w:pPr>
              <w:spacing w:after="20" w:before="20" w:line="247" w:lineRule="auto"/>
            </w:pPr>
            <w:r>
              <w:rPr>
                <w:b/>
                <w:color w:val="FFFFFF"/>
                <w:sz w:val="18"/>
              </w:rPr>
              <w:t>Web or database</w:t>
            </w:r>
          </w:p>
        </w:tc>
      </w:tr>
      <w:tr>
        <w:trPr>
          <w:cantSplit/>
        </w:trPr>
        <w:tc>
          <w:tcPr>
            <w:tcW w:type="dxa" w:w="2232"/>
            <w:vAlign w:val="center"/>
            <w:tcMar>
              <w:top w:w="80" w:type="dxa"/>
              <w:bottom w:w="80" w:type="dxa"/>
              <w:left w:w="105" w:type="dxa"/>
              <w:right w:w="105" w:type="dxa"/>
            </w:tcMar>
            <w:shd w:fill="FFFFFF"/>
          </w:tcPr>
          <w:p>
            <w:pPr>
              <w:spacing w:after="20" w:before="20" w:line="247" w:lineRule="auto"/>
            </w:pPr>
            <w:r>
              <w:rPr>
                <w:b w:val="0"/>
                <w:color w:val="000000"/>
                <w:sz w:val="18"/>
              </w:rPr>
              <w:t>Read-only filesystem</w:t>
            </w:r>
          </w:p>
        </w:tc>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Enabled; /tmp is a 64 MiB temporary filesystem</w:t>
            </w:r>
          </w:p>
        </w:tc>
        <w:tc>
          <w:tcPr>
            <w:tcW w:type="dxa" w:w="4147"/>
            <w:vAlign w:val="center"/>
            <w:tcMar>
              <w:top w:w="80" w:type="dxa"/>
              <w:bottom w:w="80" w:type="dxa"/>
              <w:left w:w="105" w:type="dxa"/>
              <w:right w:w="105" w:type="dxa"/>
            </w:tcMar>
            <w:shd w:fill="FFFFFF"/>
          </w:tcPr>
          <w:p>
            <w:pPr>
              <w:spacing w:after="20" w:before="20" w:line="247" w:lineRule="auto"/>
            </w:pPr>
            <w:r>
              <w:rPr>
                <w:b w:val="0"/>
                <w:color w:val="000000"/>
                <w:sz w:val="18"/>
              </w:rPr>
              <w:t>Web also read-only with 64 MiB /tmp. Database retains writable persistent storage.</w:t>
            </w:r>
          </w:p>
        </w:tc>
      </w:tr>
      <w:tr>
        <w:trPr>
          <w:cantSplit/>
        </w:trPr>
        <w:tc>
          <w:tcPr>
            <w:tcW w:type="dxa" w:w="2232"/>
            <w:vAlign w:val="center"/>
            <w:tcMar>
              <w:top w:w="80" w:type="dxa"/>
              <w:bottom w:w="80" w:type="dxa"/>
              <w:left w:w="105" w:type="dxa"/>
              <w:right w:w="105" w:type="dxa"/>
            </w:tcMar>
            <w:shd w:fill="F2F5F8"/>
          </w:tcPr>
          <w:p>
            <w:pPr>
              <w:spacing w:after="20" w:before="20" w:line="247" w:lineRule="auto"/>
            </w:pPr>
            <w:r>
              <w:rPr>
                <w:b w:val="0"/>
                <w:color w:val="000000"/>
                <w:sz w:val="18"/>
              </w:rPr>
              <w:t>Capabilities</w:t>
            </w:r>
          </w:p>
        </w:tc>
        <w:tc>
          <w:tcPr>
            <w:tcW w:type="dxa" w:w="3456"/>
            <w:vAlign w:val="center"/>
            <w:tcMar>
              <w:top w:w="80" w:type="dxa"/>
              <w:bottom w:w="80" w:type="dxa"/>
              <w:left w:w="105" w:type="dxa"/>
              <w:right w:w="105" w:type="dxa"/>
            </w:tcMar>
            <w:shd w:fill="F2F5F8"/>
          </w:tcPr>
          <w:p>
            <w:pPr>
              <w:spacing w:after="20" w:before="20" w:line="247" w:lineRule="auto"/>
            </w:pPr>
            <w:r>
              <w:rPr>
                <w:b w:val="0"/>
                <w:color w:val="000000"/>
                <w:sz w:val="18"/>
              </w:rPr>
              <w:t>Drop ALL</w:t>
            </w:r>
          </w:p>
        </w:tc>
        <w:tc>
          <w:tcPr>
            <w:tcW w:type="dxa" w:w="4147"/>
            <w:vAlign w:val="center"/>
            <w:tcMar>
              <w:top w:w="80" w:type="dxa"/>
              <w:bottom w:w="80" w:type="dxa"/>
              <w:left w:w="105" w:type="dxa"/>
              <w:right w:w="105" w:type="dxa"/>
            </w:tcMar>
            <w:shd w:fill="F2F5F8"/>
          </w:tcPr>
          <w:p>
            <w:pPr>
              <w:spacing w:after="20" w:before="20" w:line="247" w:lineRule="auto"/>
            </w:pPr>
            <w:r>
              <w:rPr>
                <w:b w:val="0"/>
                <w:color w:val="000000"/>
                <w:sz w:val="18"/>
              </w:rPr>
              <w:t>Web drops ALL and adds NET_BIND_SERVICE.</w:t>
            </w:r>
          </w:p>
        </w:tc>
      </w:tr>
      <w:tr>
        <w:trPr>
          <w:cantSplit/>
        </w:trPr>
        <w:tc>
          <w:tcPr>
            <w:tcW w:type="dxa" w:w="2232"/>
            <w:vAlign w:val="center"/>
            <w:tcMar>
              <w:top w:w="80" w:type="dxa"/>
              <w:bottom w:w="80" w:type="dxa"/>
              <w:left w:w="105" w:type="dxa"/>
              <w:right w:w="105" w:type="dxa"/>
            </w:tcMar>
            <w:shd w:fill="FFFFFF"/>
          </w:tcPr>
          <w:p>
            <w:pPr>
              <w:spacing w:after="20" w:before="20" w:line="247" w:lineRule="auto"/>
            </w:pPr>
            <w:r>
              <w:rPr>
                <w:b w:val="0"/>
                <w:color w:val="000000"/>
                <w:sz w:val="18"/>
              </w:rPr>
              <w:t>Privilege escalation</w:t>
            </w:r>
          </w:p>
        </w:tc>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no-new-privileges:true</w:t>
            </w:r>
          </w:p>
        </w:tc>
        <w:tc>
          <w:tcPr>
            <w:tcW w:type="dxa" w:w="4147"/>
            <w:vAlign w:val="center"/>
            <w:tcMar>
              <w:top w:w="80" w:type="dxa"/>
              <w:bottom w:w="80" w:type="dxa"/>
              <w:left w:w="105" w:type="dxa"/>
              <w:right w:w="105" w:type="dxa"/>
            </w:tcMar>
            <w:shd w:fill="FFFFFF"/>
          </w:tcPr>
          <w:p>
            <w:pPr>
              <w:spacing w:after="20" w:before="20" w:line="247" w:lineRule="auto"/>
            </w:pPr>
            <w:r>
              <w:rPr>
                <w:b w:val="0"/>
                <w:color w:val="000000"/>
                <w:sz w:val="18"/>
              </w:rPr>
              <w:t>Same setting for web.</w:t>
            </w:r>
          </w:p>
        </w:tc>
      </w:tr>
      <w:tr>
        <w:trPr>
          <w:cantSplit/>
        </w:trPr>
        <w:tc>
          <w:tcPr>
            <w:tcW w:type="dxa" w:w="2232"/>
            <w:vAlign w:val="center"/>
            <w:tcMar>
              <w:top w:w="80" w:type="dxa"/>
              <w:bottom w:w="80" w:type="dxa"/>
              <w:left w:w="105" w:type="dxa"/>
              <w:right w:w="105" w:type="dxa"/>
            </w:tcMar>
            <w:shd w:fill="F2F5F8"/>
          </w:tcPr>
          <w:p>
            <w:pPr>
              <w:spacing w:after="20" w:before="20" w:line="247" w:lineRule="auto"/>
            </w:pPr>
            <w:r>
              <w:rPr>
                <w:b w:val="0"/>
                <w:color w:val="000000"/>
                <w:sz w:val="18"/>
              </w:rPr>
              <w:t>Memory and process limits</w:t>
            </w:r>
          </w:p>
        </w:tc>
        <w:tc>
          <w:tcPr>
            <w:tcW w:type="dxa" w:w="3456"/>
            <w:vAlign w:val="center"/>
            <w:tcMar>
              <w:top w:w="80" w:type="dxa"/>
              <w:bottom w:w="80" w:type="dxa"/>
              <w:left w:w="105" w:type="dxa"/>
              <w:right w:w="105" w:type="dxa"/>
            </w:tcMar>
            <w:shd w:fill="F2F5F8"/>
          </w:tcPr>
          <w:p>
            <w:pPr>
              <w:spacing w:after="20" w:before="20" w:line="247" w:lineRule="auto"/>
            </w:pPr>
            <w:r>
              <w:rPr>
                <w:b w:val="0"/>
                <w:color w:val="000000"/>
                <w:sz w:val="18"/>
              </w:rPr>
              <w:t>512 MiB memory; 128 PIDs</w:t>
            </w:r>
          </w:p>
        </w:tc>
        <w:tc>
          <w:tcPr>
            <w:tcW w:type="dxa" w:w="4147"/>
            <w:vAlign w:val="center"/>
            <w:tcMar>
              <w:top w:w="80" w:type="dxa"/>
              <w:bottom w:w="80" w:type="dxa"/>
              <w:left w:w="105" w:type="dxa"/>
              <w:right w:w="105" w:type="dxa"/>
            </w:tcMar>
            <w:shd w:fill="F2F5F8"/>
          </w:tcPr>
          <w:p>
            <w:pPr>
              <w:spacing w:after="20" w:before="20" w:line="247" w:lineRule="auto"/>
            </w:pPr>
            <w:r>
              <w:rPr>
                <w:b w:val="0"/>
                <w:color w:val="000000"/>
                <w:sz w:val="18"/>
              </w:rPr>
              <w:t>Web 256 MiB and 128 PIDs; DB 1 GiB and 256 PIDs, 128 MiB shared memory.</w:t>
            </w:r>
          </w:p>
        </w:tc>
      </w:tr>
      <w:tr>
        <w:trPr>
          <w:cantSplit/>
        </w:trPr>
        <w:tc>
          <w:tcPr>
            <w:tcW w:type="dxa" w:w="2232"/>
            <w:vAlign w:val="center"/>
            <w:tcMar>
              <w:top w:w="80" w:type="dxa"/>
              <w:bottom w:w="80" w:type="dxa"/>
              <w:left w:w="105" w:type="dxa"/>
              <w:right w:w="105" w:type="dxa"/>
            </w:tcMar>
            <w:shd w:fill="FFFFFF"/>
          </w:tcPr>
          <w:p>
            <w:pPr>
              <w:spacing w:after="20" w:before="20" w:line="247" w:lineRule="auto"/>
            </w:pPr>
            <w:r>
              <w:rPr>
                <w:b w:val="0"/>
                <w:color w:val="000000"/>
                <w:sz w:val="18"/>
              </w:rPr>
              <w:t>Restart and health</w:t>
            </w:r>
          </w:p>
        </w:tc>
        <w:tc>
          <w:tcPr>
            <w:tcW w:type="dxa" w:w="3456"/>
            <w:vAlign w:val="center"/>
            <w:tcMar>
              <w:top w:w="80" w:type="dxa"/>
              <w:bottom w:w="80" w:type="dxa"/>
              <w:left w:w="105" w:type="dxa"/>
              <w:right w:w="105" w:type="dxa"/>
            </w:tcMar>
            <w:shd w:fill="FFFFFF"/>
          </w:tcPr>
          <w:p>
            <w:pPr>
              <w:spacing w:after="20" w:before="20" w:line="247" w:lineRule="auto"/>
            </w:pPr>
            <w:r>
              <w:rPr>
                <w:b w:val="0"/>
                <w:color w:val="000000"/>
                <w:sz w:val="18"/>
              </w:rPr>
              <w:t>unless-stopped; readiness healthcheck</w:t>
            </w:r>
          </w:p>
        </w:tc>
        <w:tc>
          <w:tcPr>
            <w:tcW w:type="dxa" w:w="4147"/>
            <w:vAlign w:val="center"/>
            <w:tcMar>
              <w:top w:w="80" w:type="dxa"/>
              <w:bottom w:w="80" w:type="dxa"/>
              <w:left w:w="105" w:type="dxa"/>
              <w:right w:w="105" w:type="dxa"/>
            </w:tcMar>
            <w:shd w:fill="FFFFFF"/>
          </w:tcPr>
          <w:p>
            <w:pPr>
              <w:spacing w:after="20" w:before="20" w:line="247" w:lineRule="auto"/>
            </w:pPr>
            <w:r>
              <w:rPr>
                <w:b w:val="0"/>
                <w:color w:val="000000"/>
                <w:sz w:val="18"/>
              </w:rPr>
              <w:t>DB pg_isready; service dependency health conditions; persistent DB/Caddy volumes.</w:t>
            </w:r>
          </w:p>
        </w:tc>
      </w:tr>
    </w:tbl>
    <w:p>
      <w:pPr>
        <w:widowControl/>
        <w:spacing w:after="0"/>
      </w:pPr>
    </w:p>
    <w:p>
      <w:pPr>
        <w:pStyle w:val="Heading2"/>
      </w:pPr>
      <w:r>
        <w:t>Database privileges and startup</w:t>
      </w:r>
    </w:p>
    <w:p>
      <w:pPr>
        <w:widowControl/>
      </w:pPr>
      <w:r>
        <w:t>Initialization creates a dedicated dive_center login role with NOSUPERUSER, NOCREATEDB and NOCREATEROLE. It owns the application database; PUBLIC database CONNECT is revoked and the app role is granted CONNECT. The backend applies bundled migrations before serving and fails startup if migration fails. The normal application role is also the migration/database owner, so this is not a separate read-only runtime role. PostgreSQL host authentication is configured for SCRAM-SHA-256. [S18, S19]</w:t>
      </w:r>
    </w:p>
    <w:p>
      <w:pPr>
        <w:pStyle w:val="Heading2"/>
      </w:pPr>
      <w:r>
        <w:t>Secret recipients and file permissions</w:t>
      </w:r>
    </w:p>
    <w:p>
      <w:pPr>
        <w:widowControl/>
      </w:pPr>
      <w:r>
        <w:t>Production uses independent file secrets for JWT signing, authenticator encryption, application DB, PostgreSQL administrator, initial administrator and optional PMS access. The running backend mounts only its application DB URL, JWT key, authenticator key and PMS key. The initial-admin password is added by a one-off bootstrap override; the normal backend does not mount it.</w:t>
      </w:r>
    </w:p>
    <w:p>
      <w:pPr>
        <w:widowControl/>
      </w:pPr>
      <w:r>
        <w:t>Preparation creates a private secrets directory with mode 0700 and .env.production with mode 0600. Individual secret files use 0444 inside that private parent so container users can read selected mounts; host ACLs and the parent directory remain essential. Existing keys are preserved, symlink/nonregular secret/config paths are rejected, and inconsistent DB credentials fail preparation. Raw and corresponding _FILE settings cannot both be populated.</w:t>
      </w:r>
    </w:p>
    <w:p>
      <w:pPr>
        <w:widowControl/>
      </w:pPr>
      <w:r>
        <w:t>Generated JWT material uses 48 random bytes, authenticator/DB passwords use 32 random bytes, and the bootstrap password uses 24 random bytes. JWT placeholders are rejected. These files and ordinary database backups are not encrypted by file mode alone. The configuration does not establish whole-disk or PostgreSQL volume encryption.</w:t>
      </w:r>
    </w:p>
    <w:p>
      <w:pPr>
        <w:widowControl/>
        <w:spacing w:before="160"/>
      </w:pPr>
      <w:r>
        <w:rPr>
          <w:color w:val="555555"/>
          <w:sz w:val="16"/>
        </w:rPr>
        <w:t>Evidence  S2 preparation; S3 Compose; S18 Dockerfile/entrypoint/bootstrap override; S19 DB initialization; S20 secret loaders.</w:t>
      </w:r>
    </w:p>
    <w:p>
      <w:pPr>
        <w:pStyle w:val="Heading1"/>
        <w:pageBreakBefore/>
        <w:spacing w:before="0"/>
      </w:pPr>
      <w:r>
        <w:t>11 Rate limits audit backup and release controls</w:t>
      </w:r>
    </w:p>
    <w:p>
      <w:pPr>
        <w:pStyle w:val="Heading2"/>
      </w:pPr>
      <w:r>
        <w:t>Request admission and audit</w:t>
      </w:r>
    </w:p>
    <w:p>
      <w:pPr>
        <w:widowControl/>
      </w:pPr>
      <w:r>
        <w:t>The general API budget is 1,000 requests per IP per 15 minutes. It runs before persistent request activity auditing, so requests rejected at that boundary do not create one audit row each. Authentication has a separate 20-per-IP/five-minute limit; PMS has a 20-per-account/minute limit. Standard rate-limit headers are enabled and legacy headers disabled. The configured store is process memory, not a distributed store, and counters reset with the process. [S5, S6]</w:t>
      </w:r>
    </w:p>
    <w:p>
      <w:pPr>
        <w:widowControl/>
      </w:pPr>
      <w:r>
        <w:t>The installed limiter maps standardHeaders:true to draft 6: RateLimit-Policy, RateLimit-Limit, RateLimit-Remaining and RateLimit-Reset. Rejections also set Retry-After. Remaining/reset values are dynamic; authentication and PMS routes can expose their narrower limiter values. X-RateLimit legacy headers are disabled.</w:t>
      </w:r>
    </w:p>
    <w:p>
      <w:pPr>
        <w:widowControl/>
      </w:pPr>
      <w:r>
        <w:t>TRUST_PROXY=1 assumes exactly one trusted proxy hop. Base Compose keeps the backend internal behind Caddy; exposing it directly or changing proxy topology requires reviewing client-IP attribution and rate limiting.</w:t>
      </w:r>
    </w:p>
    <w:p>
      <w:pPr>
        <w:widowControl/>
      </w:pPr>
      <w:r>
        <w:t>Admitted API activity records method, path without query values, status, start time, duration, current user when present and IP. Health/readiness paths are excluded. Explicit events cover login failures/success, lockout, password changes, enrollment, sign out, account/property changes, bills, attendance, catalogue and payroll locks. Resource callers provide the authorized property context; account-wide events can remain propertyless. Audit viewing requires admin/manager and applicable property access. [S21]</w:t>
      </w:r>
    </w:p>
    <w:p>
      <w:pPr>
        <w:widowControl/>
      </w:pPr>
      <w:r>
        <w:t>Request bodies, authorization headers and query values are not included by the general activity logger. Some business events deliberately include guest names, amounts or reasons, so logs contain personal/financial data. Database logs have no implemented automatic retention or cryptographic tamper-evidence. Audit write errors are caught and logged; the application does not fail every business action closed on a logging failure.</w:t>
      </w:r>
    </w:p>
    <w:p>
      <w:pPr>
        <w:pStyle w:val="Heading2"/>
      </w:pPr>
      <w:r>
        <w:t>Error and cache handling</w:t>
      </w:r>
    </w:p>
    <w:p>
      <w:pPr>
        <w:widowControl/>
      </w:pPr>
      <w:r>
        <w:t>API handlers generally return controlled error messages rather than raw internal exceptions. The global error handler gives generic responses for unexpected errors and logs server failures. Authentication/recovery and edge API responses use no-store. Server logs can contain operational error details and must be protected. Container stdout/stderr rotates at 10 MB per file with three files; this does not limit AuditLog database growth.</w:t>
      </w:r>
    </w:p>
    <w:p>
      <w:pPr>
        <w:pStyle w:val="Heading2"/>
      </w:pPr>
      <w:r>
        <w:t>Backup and restore safeguards</w:t>
      </w:r>
    </w:p>
    <w:p>
      <w:pPr>
        <w:widowControl/>
      </w:pPr>
      <w:r>
        <w:t>The backup script uses umask 077, a mode-0700 directory, symlink rejection, a unique temporary file, direct pg_dump exit-status checking, a nonempty check and pg_restore --list before publishing the archive. Backups use the application DB credential inside the DB container. Archives are local and unencrypted; encryption, retention, off-site storage, monitoring and key escrow are operator duties. Restore should be rehearsed into a separate target. SQLite migration opens the source read-only, requires empty target application tables and commits only after transactional row verification. [S19]</w:t>
      </w:r>
    </w:p>
    <w:p>
      <w:pPr>
        <w:pStyle w:val="Heading2"/>
      </w:pPr>
      <w:r>
        <w:t>Build and release controls</w:t>
      </w:r>
    </w:p>
    <w:p>
      <w:pPr>
        <w:widowControl/>
      </w:pPr>
      <w:r>
        <w:t>Build contexts exclude private environment files, workstation dependencies, databases and backups through allowlists. Lockfiles pin dependencies; CI config runs npm audit, package tests, builds and disposable container/backup-restore checks. CI repository permissions are contents:read. Base-image digest pinning is supported but not mandatory by default. Test database helpers require a separate _test database and isolated random schemas. Smoke tools require disposable CI conditions. [S4, S18, S22]</w:t>
      </w:r>
    </w:p>
    <w:p>
      <w:pPr>
        <w:widowControl/>
        <w:spacing w:before="160"/>
      </w:pPr>
      <w:r>
        <w:rPr>
          <w:color w:val="555555"/>
          <w:sz w:val="16"/>
        </w:rPr>
        <w:t>Evidence  S5, S6 rate/admission setup; S21 audit implementation; S19 backup/migration; S4 release workflow and runbook.</w:t>
      </w:r>
    </w:p>
    <w:p>
      <w:pPr>
        <w:pStyle w:val="Heading1"/>
        <w:pageBreakBefore/>
        <w:spacing w:before="0"/>
      </w:pPr>
      <w:r>
        <w:t>12 Verification and production operating duties</w:t>
      </w:r>
    </w:p>
    <w:p>
      <w:pPr>
        <w:widowControl/>
      </w:pPr>
      <w:r>
        <w:t>The three source-backed findings were patched locally: public HTTP setup, rejected-request database auditing and catalogue decompression/resource amplification. The implementation received an independent read-only bypass/regression review. A shared-string message-amplification gap identified during that review was addressed with pre-message cell and aggregate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315"/>
      </w:tblGrid>
      <w:tr>
        <w:trPr>
          <w:tblHeader/>
          <w:cantSplit/>
        </w:trPr>
        <w:tc>
          <w:tcPr>
            <w:tcW w:type="dxa" w:w="2520"/>
            <w:vAlign w:val="center"/>
            <w:tcMar>
              <w:top w:w="80" w:type="dxa"/>
              <w:bottom w:w="80" w:type="dxa"/>
              <w:left w:w="105" w:type="dxa"/>
              <w:right w:w="105" w:type="dxa"/>
            </w:tcMar>
            <w:shd w:fill="243B53"/>
          </w:tcPr>
          <w:p>
            <w:pPr>
              <w:spacing w:after="20" w:before="20" w:line="247" w:lineRule="auto"/>
            </w:pPr>
            <w:r>
              <w:rPr>
                <w:b/>
                <w:color w:val="FFFFFF"/>
                <w:sz w:val="18"/>
              </w:rPr>
              <w:t>Verification</w:t>
            </w:r>
          </w:p>
        </w:tc>
        <w:tc>
          <w:tcPr>
            <w:tcW w:type="dxa" w:w="7315"/>
            <w:vAlign w:val="center"/>
            <w:tcMar>
              <w:top w:w="80" w:type="dxa"/>
              <w:bottom w:w="80" w:type="dxa"/>
              <w:left w:w="105" w:type="dxa"/>
              <w:right w:w="105" w:type="dxa"/>
            </w:tcMar>
            <w:shd w:fill="243B53"/>
          </w:tcPr>
          <w:p>
            <w:pPr>
              <w:spacing w:after="20" w:before="20" w:line="247" w:lineRule="auto"/>
            </w:pPr>
            <w:r>
              <w:rPr>
                <w:b/>
                <w:color w:val="FFFFFF"/>
                <w:sz w:val="18"/>
              </w:rPr>
              <w:t>Recorded result</w:t>
            </w:r>
          </w:p>
        </w:tc>
      </w:tr>
      <w:tr>
        <w:trPr>
          <w:cantSplit/>
        </w:trPr>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Original vulnerable source</w:t>
            </w:r>
          </w:p>
        </w:tc>
        <w:tc>
          <w:tcPr>
            <w:tcW w:type="dxa" w:w="7315"/>
            <w:vAlign w:val="center"/>
            <w:tcMar>
              <w:top w:w="80" w:type="dxa"/>
              <w:bottom w:w="80" w:type="dxa"/>
              <w:left w:w="105" w:type="dxa"/>
              <w:right w:w="105" w:type="dxa"/>
            </w:tcMar>
            <w:shd w:fill="FFFFFF"/>
          </w:tcPr>
          <w:p>
            <w:pPr>
              <w:spacing w:after="20" w:before="20" w:line="247" w:lineRule="auto"/>
            </w:pPr>
            <w:r>
              <w:rPr>
                <w:b w:val="0"/>
                <w:color w:val="000000"/>
                <w:sz w:val="18"/>
              </w:rPr>
              <w:t>The three focused regressions failed as expected in a disposable checkout.</w:t>
            </w:r>
          </w:p>
        </w:tc>
      </w:tr>
      <w:tr>
        <w:trPr>
          <w:cantSplit/>
        </w:trPr>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Deployment tools</w:t>
            </w:r>
          </w:p>
        </w:tc>
        <w:tc>
          <w:tcPr>
            <w:tcW w:type="dxa" w:w="7315"/>
            <w:vAlign w:val="center"/>
            <w:tcMar>
              <w:top w:w="80" w:type="dxa"/>
              <w:bottom w:w="80" w:type="dxa"/>
              <w:left w:w="105" w:type="dxa"/>
              <w:right w:w="105" w:type="dxa"/>
            </w:tcMar>
            <w:shd w:fill="F2F5F8"/>
          </w:tcPr>
          <w:p>
            <w:pPr>
              <w:spacing w:after="20" w:before="20" w:line="247" w:lineRule="auto"/>
            </w:pPr>
            <w:r>
              <w:rPr>
                <w:b w:val="0"/>
                <w:color w:val="000000"/>
                <w:sz w:val="18"/>
              </w:rPr>
              <w:t>7 tests passed, including rejection of unsafe new/existing configuration without key replacement.</w:t>
            </w:r>
          </w:p>
        </w:tc>
      </w:tr>
      <w:tr>
        <w:trPr>
          <w:cantSplit/>
        </w:trPr>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Backend suite</w:t>
            </w:r>
          </w:p>
        </w:tc>
        <w:tc>
          <w:tcPr>
            <w:tcW w:type="dxa" w:w="7315"/>
            <w:vAlign w:val="center"/>
            <w:tcMar>
              <w:top w:w="80" w:type="dxa"/>
              <w:bottom w:w="80" w:type="dxa"/>
              <w:left w:w="105" w:type="dxa"/>
              <w:right w:w="105" w:type="dxa"/>
            </w:tcMar>
            <w:shd w:fill="FFFFFF"/>
          </w:tcPr>
          <w:p>
            <w:pPr>
              <w:spacing w:after="20" w:before="20" w:line="247" w:lineRule="auto"/>
            </w:pPr>
            <w:r>
              <w:rPr>
                <w:b w:val="0"/>
                <w:color w:val="000000"/>
                <w:sz w:val="18"/>
              </w:rPr>
              <w:t>114 tests passed with no skips before adding the final HTTP responsiveness test; application code was unchanged afterward.</w:t>
            </w:r>
          </w:p>
        </w:tc>
      </w:tr>
      <w:tr>
        <w:trPr>
          <w:cantSplit/>
        </w:trPr>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Final parser and HTTP checks</w:t>
            </w:r>
          </w:p>
        </w:tc>
        <w:tc>
          <w:tcPr>
            <w:tcW w:type="dxa" w:w="7315"/>
            <w:vAlign w:val="center"/>
            <w:tcMar>
              <w:top w:w="80" w:type="dxa"/>
              <w:bottom w:w="80" w:type="dxa"/>
              <w:left w:w="105" w:type="dxa"/>
              <w:right w:w="105" w:type="dxa"/>
            </w:tcMar>
            <w:shd w:fill="F2F5F8"/>
          </w:tcPr>
          <w:p>
            <w:pPr>
              <w:spacing w:after="20" w:before="20" w:line="247" w:lineRule="auto"/>
            </w:pPr>
            <w:r>
              <w:rPr>
                <w:b w:val="0"/>
                <w:color w:val="000000"/>
                <w:sz w:val="18"/>
              </w:rPr>
              <w:t>11 passed, including amplified/malformed ZIPs, false size fields, entry totals, ranges, shared strings, concurrency, normal imports and HTTP responsiveness.</w:t>
            </w:r>
          </w:p>
        </w:tc>
      </w:tr>
      <w:tr>
        <w:trPr>
          <w:cantSplit/>
        </w:trPr>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Frontend</w:t>
            </w:r>
          </w:p>
        </w:tc>
        <w:tc>
          <w:tcPr>
            <w:tcW w:type="dxa" w:w="7315"/>
            <w:vAlign w:val="center"/>
            <w:tcMar>
              <w:top w:w="80" w:type="dxa"/>
              <w:bottom w:w="80" w:type="dxa"/>
              <w:left w:w="105" w:type="dxa"/>
              <w:right w:w="105" w:type="dxa"/>
            </w:tcMar>
            <w:shd w:fill="FFFFFF"/>
          </w:tcPr>
          <w:p>
            <w:pPr>
              <w:spacing w:after="20" w:before="20" w:line="247" w:lineRule="auto"/>
            </w:pPr>
            <w:r>
              <w:rPr>
                <w:b w:val="0"/>
                <w:color w:val="000000"/>
                <w:sz w:val="18"/>
              </w:rPr>
              <w:t>11 tests passed and the production build passed.</w:t>
            </w:r>
          </w:p>
        </w:tc>
      </w:tr>
      <w:tr>
        <w:trPr>
          <w:cantSplit/>
        </w:trPr>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Backend compilation</w:t>
            </w:r>
          </w:p>
        </w:tc>
        <w:tc>
          <w:tcPr>
            <w:tcW w:type="dxa" w:w="7315"/>
            <w:vAlign w:val="center"/>
            <w:tcMar>
              <w:top w:w="80" w:type="dxa"/>
              <w:bottom w:w="80" w:type="dxa"/>
              <w:left w:w="105" w:type="dxa"/>
              <w:right w:w="105" w:type="dxa"/>
            </w:tcMar>
            <w:shd w:fill="F2F5F8"/>
          </w:tcPr>
          <w:p>
            <w:pPr>
              <w:spacing w:after="20" w:before="20" w:line="247" w:lineRule="auto"/>
            </w:pPr>
            <w:r>
              <w:rPr>
                <w:b w:val="0"/>
                <w:color w:val="000000"/>
                <w:sz w:val="18"/>
              </w:rPr>
              <w:t>TypeScript checks and emitted compilation passed; compiled parser-to-worker invocation passed.</w:t>
            </w:r>
          </w:p>
        </w:tc>
      </w:tr>
      <w:tr>
        <w:trPr>
          <w:cantSplit/>
        </w:trPr>
        <w:tc>
          <w:tcPr>
            <w:tcW w:type="dxa" w:w="2520"/>
            <w:vAlign w:val="center"/>
            <w:tcMar>
              <w:top w:w="80" w:type="dxa"/>
              <w:bottom w:w="80" w:type="dxa"/>
              <w:left w:w="105" w:type="dxa"/>
              <w:right w:w="105" w:type="dxa"/>
            </w:tcMar>
            <w:shd w:fill="FFFFFF"/>
          </w:tcPr>
          <w:p>
            <w:pPr>
              <w:spacing w:after="20" w:before="20" w:line="247" w:lineRule="auto"/>
            </w:pPr>
            <w:r>
              <w:rPr>
                <w:b w:val="0"/>
                <w:color w:val="000000"/>
                <w:sz w:val="18"/>
              </w:rPr>
              <w:t>Dependency and syntax checks</w:t>
            </w:r>
          </w:p>
        </w:tc>
        <w:tc>
          <w:tcPr>
            <w:tcW w:type="dxa" w:w="7315"/>
            <w:vAlign w:val="center"/>
            <w:tcMar>
              <w:top w:w="80" w:type="dxa"/>
              <w:bottom w:w="80" w:type="dxa"/>
              <w:left w:w="105" w:type="dxa"/>
              <w:right w:w="105" w:type="dxa"/>
            </w:tcMar>
            <w:shd w:fill="FFFFFF"/>
          </w:tcPr>
          <w:p>
            <w:pPr>
              <w:spacing w:after="20" w:before="20" w:line="247" w:lineRule="auto"/>
            </w:pPr>
            <w:r>
              <w:rPr>
                <w:b w:val="0"/>
                <w:color w:val="000000"/>
                <w:sz w:val="18"/>
              </w:rPr>
              <w:t>Offline npm ci dry run, worker/setup syntax checks and diff whitespace checks passed.</w:t>
            </w:r>
          </w:p>
        </w:tc>
      </w:tr>
      <w:tr>
        <w:trPr>
          <w:cantSplit/>
        </w:trPr>
        <w:tc>
          <w:tcPr>
            <w:tcW w:type="dxa" w:w="2520"/>
            <w:vAlign w:val="center"/>
            <w:tcMar>
              <w:top w:w="80" w:type="dxa"/>
              <w:bottom w:w="80" w:type="dxa"/>
              <w:left w:w="105" w:type="dxa"/>
              <w:right w:w="105" w:type="dxa"/>
            </w:tcMar>
            <w:shd w:fill="F2F5F8"/>
          </w:tcPr>
          <w:p>
            <w:pPr>
              <w:spacing w:after="20" w:before="20" w:line="247" w:lineRule="auto"/>
            </w:pPr>
            <w:r>
              <w:rPr>
                <w:b w:val="0"/>
                <w:color w:val="000000"/>
                <w:sz w:val="18"/>
              </w:rPr>
              <w:t>Container and production</w:t>
            </w:r>
          </w:p>
        </w:tc>
        <w:tc>
          <w:tcPr>
            <w:tcW w:type="dxa" w:w="7315"/>
            <w:vAlign w:val="center"/>
            <w:tcMar>
              <w:top w:w="80" w:type="dxa"/>
              <w:bottom w:w="80" w:type="dxa"/>
              <w:left w:w="105" w:type="dxa"/>
              <w:right w:w="105" w:type="dxa"/>
            </w:tcMar>
            <w:shd w:fill="F2F5F8"/>
          </w:tcPr>
          <w:p>
            <w:pPr>
              <w:spacing w:after="20" w:before="20" w:line="247" w:lineRule="auto"/>
            </w:pPr>
            <w:r>
              <w:rPr>
                <w:b w:val="0"/>
                <w:color w:val="000000"/>
                <w:sz w:val="18"/>
              </w:rPr>
              <w:t>Not verified: no running Docker daemon/Compose plugin and no production URL/access supplied.</w:t>
            </w:r>
          </w:p>
        </w:tc>
      </w:tr>
    </w:tbl>
    <w:p>
      <w:pPr>
        <w:widowControl/>
        <w:spacing w:after="0"/>
      </w:pPr>
    </w:p>
    <w:p>
      <w:pPr>
        <w:pStyle w:val="Heading2"/>
      </w:pPr>
      <w:r>
        <w:t>Before release</w:t>
      </w:r>
    </w:p>
    <w:p>
      <w:pPr>
        <w:pStyle w:val="ListBullet"/>
        <w:widowControl/>
      </w:pPr>
      <w:r>
        <w:t>Commit and review the complete patch, including new worker, parser, tests and CI Caddyfile. Require successful release CI for the exact commit and rebuild both application images.</w:t>
      </w:r>
    </w:p>
    <w:p>
      <w:pPr>
        <w:pStyle w:val="ListBullet"/>
        <w:widowControl/>
      </w:pPr>
      <w:r>
        <w:t>For previous HTTP hosting, configure a real domain and matching HTTPS CORS_ORIGIN, preserve existing secrets/database volumes and confirm certificate issuance and redirect behavior.</w:t>
      </w:r>
    </w:p>
    <w:p>
      <w:pPr>
        <w:pStyle w:val="ListBullet"/>
        <w:widowControl/>
      </w:pPr>
      <w:r>
        <w:t>Check public HTML, assets, logo and /api/health and /api/ready. Inspect actual security headers on both HTML and API responses, especially overlapping edge/API headers.</w:t>
      </w:r>
    </w:p>
    <w:p>
      <w:pPr>
        <w:pStyle w:val="ListBullet"/>
        <w:widowControl/>
      </w:pPr>
      <w:r>
        <w:t>Use designated accounts to confirm sign-in, property denial, password/session lifecycle, catalogue preview/commit and ordinary billing/attendance/reporting. Use staging for abusive inputs and load/exhaustion tests.</w:t>
      </w:r>
    </w:p>
    <w:p>
      <w:pPr>
        <w:pStyle w:val="Heading2"/>
      </w:pPr>
      <w:r>
        <w:t>Ongoing administrator responsibilities</w:t>
      </w:r>
    </w:p>
    <w:p>
      <w:pPr>
        <w:widowControl/>
      </w:pPr>
      <w:r>
        <w:t>Restrict SSH and Docker access, enforce provider firewall rules, patch host/dependencies/images, monitor certificates and resource growth, review privileged accounts and assignments, protect logs and private files, and maintain encrypted off-site backups with independent key escrow. Define audit/data retention and restore objectives, and rehearse restoration. The repository does not configure a WAF, distributed rate limiter, central security monitoring, automatic backup encryption/retention, or whole-disk encryption.</w:t>
      </w:r>
    </w:p>
    <w:p>
      <w:pPr>
        <w:widowControl/>
      </w:pPr>
      <w:r>
        <w:t>This record describes implementation and completed local checks. It does not certify the deployed environment, current external dependency advisory status or a regulatory compliance standard.</w:t>
      </w:r>
    </w:p>
    <w:p>
      <w:pPr>
        <w:widowControl/>
        <w:spacing w:before="160"/>
      </w:pPr>
      <w:r>
        <w:rPr>
          <w:color w:val="555555"/>
          <w:sz w:val="16"/>
        </w:rPr>
        <w:t>Evidence  Local test record from the security patch task; S22 regression suites; S4 release runbook and workflow.</w:t>
      </w:r>
    </w:p>
    <w:p>
      <w:pPr>
        <w:pStyle w:val="Heading1"/>
        <w:pageBreakBefore/>
        <w:spacing w:before="0"/>
      </w:pPr>
      <w:r>
        <w:t>13 Source reference index</w:t>
      </w:r>
    </w:p>
    <w:p>
      <w:pPr>
        <w:widowControl/>
      </w:pPr>
      <w:r>
        <w:t>References identify implementation files relative to the repository root. They allow maintainers to verify a control without disclosing private configuration values. Values in this document reflect the working tree reviewed on 22 October 2026, including uncommitted security patches; record the deployed commit when production validation is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5976"/>
        <w:gridCol w:w="3211"/>
      </w:tblGrid>
      <w:tr>
        <w:trPr>
          <w:tblHeader/>
          <w:cantSplit/>
        </w:trPr>
        <w:tc>
          <w:tcPr>
            <w:tcW w:type="dxa" w:w="648"/>
            <w:vAlign w:val="center"/>
            <w:tcMar>
              <w:top w:w="80" w:type="dxa"/>
              <w:bottom w:w="80" w:type="dxa"/>
              <w:left w:w="105" w:type="dxa"/>
              <w:right w:w="105" w:type="dxa"/>
            </w:tcMar>
            <w:shd w:fill="243B53"/>
          </w:tcPr>
          <w:p>
            <w:pPr>
              <w:spacing w:after="20" w:before="20" w:line="247" w:lineRule="auto"/>
            </w:pPr>
            <w:r>
              <w:rPr>
                <w:b/>
                <w:color w:val="FFFFFF"/>
                <w:sz w:val="18"/>
              </w:rPr>
              <w:t>Ref</w:t>
            </w:r>
          </w:p>
        </w:tc>
        <w:tc>
          <w:tcPr>
            <w:tcW w:type="dxa" w:w="5976"/>
            <w:vAlign w:val="center"/>
            <w:tcMar>
              <w:top w:w="80" w:type="dxa"/>
              <w:bottom w:w="80" w:type="dxa"/>
              <w:left w:w="105" w:type="dxa"/>
              <w:right w:w="105" w:type="dxa"/>
            </w:tcMar>
            <w:shd w:fill="243B53"/>
          </w:tcPr>
          <w:p>
            <w:pPr>
              <w:spacing w:after="20" w:before="20" w:line="247" w:lineRule="auto"/>
            </w:pPr>
            <w:r>
              <w:rPr>
                <w:b/>
                <w:color w:val="FFFFFF"/>
                <w:sz w:val="18"/>
              </w:rPr>
              <w:t>Implementation evidence</w:t>
            </w:r>
          </w:p>
        </w:tc>
        <w:tc>
          <w:tcPr>
            <w:tcW w:type="dxa" w:w="3211"/>
            <w:vAlign w:val="center"/>
            <w:tcMar>
              <w:top w:w="80" w:type="dxa"/>
              <w:bottom w:w="80" w:type="dxa"/>
              <w:left w:w="105" w:type="dxa"/>
              <w:right w:w="105" w:type="dxa"/>
            </w:tcMar>
            <w:shd w:fill="243B53"/>
          </w:tcPr>
          <w:p>
            <w:pPr>
              <w:spacing w:after="20" w:before="20" w:line="247" w:lineRule="auto"/>
            </w:pPr>
            <w:r>
              <w:rPr>
                <w:b/>
                <w:color w:val="FFFFFF"/>
                <w:sz w:val="18"/>
              </w:rPr>
              <w:t>Primary subject</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S1</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frontend/deploy/Caddyfile</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HTTPS, public headers, CSP and cache policy</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S2</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scripts/prepare-production.cjs; .env.production.example</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Domain/origin checks, secret generation and preservation</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S3</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compose.yaml</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Published ports, mounts, memory/PID limits and healthchecks</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S4</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deploy/PRODUCTION.md; deploy/compose.smoke.yaml; deploy/Caddyfile.smoke; .github/workflows/ci.yml</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Deployment, CI-only HTTP and release workflow</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S5</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backend/src/middleware/security.ts; backend/package-lock.json</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Helmet 8.3.0, CORS and limiters</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S6</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backend/src/app.ts; backend/src/middleware/auth.ts</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Middleware order, error handling and session modes</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S7</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backend/src/routes/password.routes.ts; backend/src/services/authenticatorService.ts</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Enrollment, proof consumption and recovery cryptography</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S8</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backend/src/utils/password.ts; backend/src/routes/auth.routes.ts; users.routes.ts; staff.routes.ts in the same routes directory</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Password rules, bcrypt, account lockout and management</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S9</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backend/src/scripts/bootstrap-admin.ts; deploy/compose.bootstrap.yaml</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Initial administrator and one-off secret mount</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S10</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backend/src/utils/transactions.ts</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Serializable transaction retries</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S11</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backend/src/middleware/rbac.ts; backend/src/routes/users.routes.ts; properties.routes.ts in the same directory</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Roles, property authorization and account/property lifecycle</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S12</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backend/src/routes/bills.routes.ts; presence.routes.ts; items.routes.ts; reports.routes.ts in the same directory; backend/src/utils/payrollTransaction.ts; dates.ts</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Business input/ownership validation and payroll serialization</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S13</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backend/prisma/schema.prisma; backend/prisma/migrations/20261021000000_live_check_uniqueness/migration.sql</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Data relationships and live-check uniqueness</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S14</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frontend/src/services/api.ts; frontend/src/context/AuthContext.tsx; frontend/src/utils/billDraft.ts; frontend/src/components/NewBillView.tsx</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Bearer storage, sign out, scoped drafts and PMS state</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S15</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frontend/src/utils/csv.ts; backend/src/services/catalogueTransfer.ts; excelService.ts in the same directory</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Spreadsheet-safe exports and catalogue validation</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S16</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backend/src/routes/guests.routes.ts; backend/src/services/pmsService.ts</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Fixed-host PMS fetch, mappings and response checks</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S17</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backend/src/services/catalogueParser.ts; catalogueTransfer.ts in the same directory; backend/tools/catalogue-worker.cjs</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Worker lifecycle and actual expansion/text budgets</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S18</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backend/Dockerfile; frontend/Dockerfile; backend/entrypoint.sh; backend/.dockerignore; frontend/.dockerignore</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Build contexts, runtime user and migrate-before-serve</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S19</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deploy/postgres/init-app.sh; scripts/backup.sh; backend/tools/import-sqlite.cjs; deploy/SQLITE-TO-POSTGRESQL.md</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DB role, backup publication and migration safeguards</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S20</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backend/src/config/secrets.ts; database.ts in the same directory</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Secret precedence and database URL validation</w:t>
            </w:r>
          </w:p>
        </w:tc>
      </w:tr>
      <w:tr>
        <w:trPr>
          <w:cantSplit/>
        </w:trPr>
        <w:tc>
          <w:tcPr>
            <w:tcW w:type="dxa" w:w="648"/>
            <w:vAlign w:val="center"/>
            <w:tcMar>
              <w:top w:w="80" w:type="dxa"/>
              <w:bottom w:w="80" w:type="dxa"/>
              <w:left w:w="105" w:type="dxa"/>
              <w:right w:w="105" w:type="dxa"/>
            </w:tcMar>
            <w:shd w:fill="FFFFFF"/>
          </w:tcPr>
          <w:p>
            <w:pPr>
              <w:spacing w:after="20" w:before="20" w:line="247" w:lineRule="auto"/>
            </w:pPr>
            <w:r>
              <w:rPr>
                <w:b w:val="0"/>
                <w:color w:val="000000"/>
                <w:sz w:val="18"/>
              </w:rPr>
              <w:t>S21</w:t>
            </w:r>
          </w:p>
        </w:tc>
        <w:tc>
          <w:tcPr>
            <w:tcW w:type="dxa" w:w="5976"/>
            <w:vAlign w:val="center"/>
            <w:tcMar>
              <w:top w:w="80" w:type="dxa"/>
              <w:bottom w:w="80" w:type="dxa"/>
              <w:left w:w="105" w:type="dxa"/>
              <w:right w:w="105" w:type="dxa"/>
            </w:tcMar>
            <w:shd w:fill="FFFFFF"/>
          </w:tcPr>
          <w:p>
            <w:pPr>
              <w:spacing w:after="20" w:before="20" w:line="247" w:lineRule="auto"/>
            </w:pPr>
            <w:r>
              <w:rPr>
                <w:b w:val="0"/>
                <w:color w:val="000000"/>
                <w:sz w:val="18"/>
              </w:rPr>
              <w:t>backend/src/middleware/audit.ts; backend/src/services/auditService.ts; backend/src/routes/audit.routes.ts</w:t>
            </w:r>
          </w:p>
        </w:tc>
        <w:tc>
          <w:tcPr>
            <w:tcW w:type="dxa" w:w="3211"/>
            <w:vAlign w:val="center"/>
            <w:tcMar>
              <w:top w:w="80" w:type="dxa"/>
              <w:bottom w:w="80" w:type="dxa"/>
              <w:left w:w="105" w:type="dxa"/>
              <w:right w:w="105" w:type="dxa"/>
            </w:tcMar>
            <w:shd w:fill="FFFFFF"/>
          </w:tcPr>
          <w:p>
            <w:pPr>
              <w:spacing w:after="20" w:before="20" w:line="247" w:lineRule="auto"/>
            </w:pPr>
            <w:r>
              <w:rPr>
                <w:b w:val="0"/>
                <w:color w:val="000000"/>
                <w:sz w:val="18"/>
              </w:rPr>
              <w:t>Activity/business audit and access controls</w:t>
            </w:r>
          </w:p>
        </w:tc>
      </w:tr>
      <w:tr>
        <w:trPr>
          <w:cantSplit/>
        </w:trPr>
        <w:tc>
          <w:tcPr>
            <w:tcW w:type="dxa" w:w="648"/>
            <w:vAlign w:val="center"/>
            <w:tcMar>
              <w:top w:w="80" w:type="dxa"/>
              <w:bottom w:w="80" w:type="dxa"/>
              <w:left w:w="105" w:type="dxa"/>
              <w:right w:w="105" w:type="dxa"/>
            </w:tcMar>
            <w:shd w:fill="F2F5F8"/>
          </w:tcPr>
          <w:p>
            <w:pPr>
              <w:spacing w:after="20" w:before="20" w:line="247" w:lineRule="auto"/>
            </w:pPr>
            <w:r>
              <w:rPr>
                <w:b w:val="0"/>
                <w:color w:val="000000"/>
                <w:sz w:val="18"/>
              </w:rPr>
              <w:t>S22</w:t>
            </w:r>
          </w:p>
        </w:tc>
        <w:tc>
          <w:tcPr>
            <w:tcW w:type="dxa" w:w="5976"/>
            <w:vAlign w:val="center"/>
            <w:tcMar>
              <w:top w:w="80" w:type="dxa"/>
              <w:bottom w:w="80" w:type="dxa"/>
              <w:left w:w="105" w:type="dxa"/>
              <w:right w:w="105" w:type="dxa"/>
            </w:tcMar>
            <w:shd w:fill="F2F5F8"/>
          </w:tcPr>
          <w:p>
            <w:pPr>
              <w:spacing w:after="20" w:before="20" w:line="247" w:lineRule="auto"/>
            </w:pPr>
            <w:r>
              <w:rPr>
                <w:b w:val="0"/>
                <w:color w:val="000000"/>
                <w:sz w:val="18"/>
              </w:rPr>
              <w:t>backend/tests/catalogue-transfer.test.cjs; http.test.cjs; admin-catalogue.test.cjs in the same directory; tests/deployment.test.cjs; frontend/tests/workflow-state.test.mjs</w:t>
            </w:r>
          </w:p>
        </w:tc>
        <w:tc>
          <w:tcPr>
            <w:tcW w:type="dxa" w:w="3211"/>
            <w:vAlign w:val="center"/>
            <w:tcMar>
              <w:top w:w="80" w:type="dxa"/>
              <w:bottom w:w="80" w:type="dxa"/>
              <w:left w:w="105" w:type="dxa"/>
              <w:right w:w="105" w:type="dxa"/>
            </w:tcMar>
            <w:shd w:fill="F2F5F8"/>
          </w:tcPr>
          <w:p>
            <w:pPr>
              <w:spacing w:after="20" w:before="20" w:line="247" w:lineRule="auto"/>
            </w:pPr>
            <w:r>
              <w:rPr>
                <w:b w:val="0"/>
                <w:color w:val="000000"/>
                <w:sz w:val="18"/>
              </w:rPr>
              <w:t>Focused regression and compatibility evidence</w:t>
            </w:r>
          </w:p>
        </w:tc>
      </w:tr>
    </w:tbl>
    <w:p>
      <w:pPr>
        <w:widowControl/>
        <w:spacing w:after="0"/>
      </w:pPr>
    </w:p>
    <w:sectPr w:rsidR="00FC693F" w:rsidRPr="0006063C" w:rsidSect="00034616">
      <w:footerReference w:type="default" r:id="rId9"/>
      <w:pgSz w:w="11909" w:h="16834"/>
      <w:pgMar w:top="936"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Dive Centre security measures  |  </w:t>
    </w:r>
    <w:r>
      <w:rPr>
        <w:sz w:val="16"/>
      </w:rPr>
    </w:r>
    <w:fldSimple w:instr="PAGE"/>
    <w:r>
      <w:rPr>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 Centre Website Security Measures</dc:title>
  <dc:subject>Security implementation and verification reference</dc:subject>
  <dc:creator>Dive Centre</dc:creator>
  <cp:keywords>security, headers, HTTPS, authentication, authorization, deployment</cp:keywords>
  <dc:description>generated by python-docx</dc:description>
  <cp:lastModifiedBy/>
  <cp:revision>1</cp:revision>
  <dcterms:created xsi:type="dcterms:W3CDTF">2013-12-23T23:15:00Z</dcterms:created>
  <dcterms:modified xsi:type="dcterms:W3CDTF">2013-12-23T23:15:00Z</dcterms:modified>
  <cp:category/>
</cp:coreProperties>
</file>