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240" w:before="0" w:after="0"/>
        <w:jc w:val="left"/>
        <w:rPr>
          <w:rFonts w:ascii="Times New Roman" w:hAnsi="Times New Roman"/>
          <w:sz w:val="22"/>
          <w:szCs w:val="22"/>
        </w:rPr>
      </w:pPr>
      <w:r>
        <w:drawing>
          <wp:anchor behindDoc="0" distT="0" distB="0" distL="0" distR="0" simplePos="0" locked="0" layoutInCell="0" allowOverlap="1" relativeHeight="2">
            <wp:simplePos x="0" y="0"/>
            <wp:positionH relativeFrom="column">
              <wp:align>left</wp:align>
            </wp:positionH>
            <wp:positionV relativeFrom="paragraph">
              <wp:posOffset>-20320</wp:posOffset>
            </wp:positionV>
            <wp:extent cx="2037715" cy="57023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037715" cy="570230"/>
                    </a:xfrm>
                    <a:prstGeom prst="rect">
                      <a:avLst/>
                    </a:prstGeom>
                  </pic:spPr>
                </pic:pic>
              </a:graphicData>
            </a:graphic>
          </wp:anchor>
        </w:drawing>
      </w:r>
      <w:r>
        <w:rPr>
          <w:rFonts w:ascii="Times New Roman" w:hAnsi="Times New Roman"/>
          <w:sz w:val="22"/>
          <w:szCs w:val="22"/>
        </w:rPr>
        <w:t xml:space="preserve"> </w:t>
      </w:r>
    </w:p>
    <w:p>
      <w:pPr>
        <w:pStyle w:val="LOnormal"/>
        <w:spacing w:lineRule="auto" w:line="240" w:before="0" w:after="0"/>
        <w:jc w:val="right"/>
        <w:rPr>
          <w:rFonts w:ascii="Times New Roman" w:hAnsi="Times New Roman"/>
          <w:sz w:val="20"/>
          <w:szCs w:val="20"/>
        </w:rPr>
      </w:pPr>
      <w:r>
        <w:rPr>
          <w:rFonts w:ascii="Times New Roman" w:hAnsi="Times New Roman"/>
          <w:sz w:val="20"/>
          <w:szCs w:val="20"/>
        </w:rPr>
        <w:t>Universidad de Tarapacá</w:t>
      </w:r>
    </w:p>
    <w:p>
      <w:pPr>
        <w:pStyle w:val="LOnormal"/>
        <w:spacing w:lineRule="auto" w:line="240" w:before="0" w:after="189"/>
        <w:jc w:val="right"/>
        <w:rPr>
          <w:rFonts w:ascii="Times New Roman" w:hAnsi="Times New Roman"/>
          <w:sz w:val="20"/>
          <w:szCs w:val="20"/>
        </w:rPr>
      </w:pPr>
      <w:r>
        <w:rPr>
          <w:rFonts w:ascii="Times New Roman" w:hAnsi="Times New Roman"/>
          <w:sz w:val="20"/>
          <w:szCs w:val="20"/>
        </w:rPr>
        <w:t>Avenida 18 de Septiembre N° 2222</w:t>
        <w:br/>
        <w:t xml:space="preserve">Arica, Chile </w:t>
      </w:r>
    </w:p>
    <w:p>
      <w:pPr>
        <w:pStyle w:val="LOnormal"/>
        <w:spacing w:lineRule="auto" w:line="276" w:before="114" w:after="114"/>
        <w:rPr>
          <w:rFonts w:ascii="Times New Roman" w:hAnsi="Times New Roman"/>
          <w:sz w:val="22"/>
          <w:szCs w:val="22"/>
        </w:rPr>
      </w:pPr>
      <w:r>
        <w:rPr>
          <w:rFonts w:ascii="Times New Roman" w:hAnsi="Times New Roman"/>
          <w:sz w:val="22"/>
          <w:szCs w:val="22"/>
        </w:rPr>
        <w:t>January 16, 2025</w:t>
      </w:r>
    </w:p>
    <w:p>
      <w:pPr>
        <w:pStyle w:val="LOnormal"/>
        <w:spacing w:lineRule="auto" w:line="276" w:before="114" w:after="114"/>
        <w:rPr>
          <w:rFonts w:ascii="Times New Roman" w:hAnsi="Times New Roman"/>
          <w:sz w:val="22"/>
          <w:szCs w:val="22"/>
        </w:rPr>
      </w:pPr>
      <w:r>
        <w:rPr>
          <w:rFonts w:ascii="Times New Roman" w:hAnsi="Times New Roman"/>
          <w:sz w:val="22"/>
          <w:szCs w:val="22"/>
        </w:rPr>
      </w:r>
    </w:p>
    <w:p>
      <w:pPr>
        <w:pStyle w:val="LOnormal"/>
        <w:spacing w:lineRule="auto" w:line="276" w:before="0" w:after="0"/>
        <w:rPr>
          <w:rFonts w:ascii="Times New Roman" w:hAnsi="Times New Roman"/>
          <w:sz w:val="22"/>
          <w:szCs w:val="22"/>
        </w:rPr>
      </w:pPr>
      <w:r>
        <w:rPr>
          <w:rFonts w:ascii="Times New Roman" w:hAnsi="Times New Roman"/>
          <w:sz w:val="22"/>
          <w:szCs w:val="22"/>
        </w:rPr>
        <w:t>Dear Professor Jed Kaplan,</w:t>
      </w:r>
    </w:p>
    <w:p>
      <w:pPr>
        <w:pStyle w:val="LOnormal"/>
        <w:spacing w:lineRule="auto" w:line="276" w:before="0" w:after="0"/>
        <w:rPr>
          <w:rFonts w:ascii="Times New Roman" w:hAnsi="Times New Roman"/>
          <w:i/>
          <w:i/>
          <w:iCs/>
          <w:sz w:val="22"/>
          <w:szCs w:val="22"/>
        </w:rPr>
      </w:pPr>
      <w:r>
        <w:rPr>
          <w:rFonts w:ascii="Times New Roman" w:hAnsi="Times New Roman"/>
          <w:i/>
          <w:iCs/>
          <w:sz w:val="22"/>
          <w:szCs w:val="22"/>
        </w:rPr>
        <w:t>Editor, Global and Planetary Change,</w:t>
      </w:r>
    </w:p>
    <w:p>
      <w:pPr>
        <w:pStyle w:val="LOnormal"/>
        <w:spacing w:lineRule="auto" w:line="276" w:before="114" w:after="114"/>
        <w:rPr>
          <w:rFonts w:ascii="Times New Roman" w:hAnsi="Times New Roman"/>
          <w:sz w:val="22"/>
          <w:szCs w:val="22"/>
        </w:rPr>
      </w:pPr>
      <w:r>
        <w:rPr>
          <w:rFonts w:ascii="Times New Roman" w:hAnsi="Times New Roman"/>
          <w:sz w:val="22"/>
          <w:szCs w:val="22"/>
        </w:rPr>
      </w:r>
    </w:p>
    <w:p>
      <w:pPr>
        <w:pStyle w:val="LOnormal"/>
        <w:spacing w:lineRule="auto" w:line="276" w:before="114" w:after="114"/>
        <w:jc w:val="both"/>
        <w:rPr>
          <w:rFonts w:ascii="Times New Roman" w:hAnsi="Times New Roman"/>
          <w:sz w:val="22"/>
          <w:szCs w:val="22"/>
        </w:rPr>
      </w:pPr>
      <w:r>
        <w:rPr>
          <w:rFonts w:ascii="Times New Roman" w:hAnsi="Times New Roman"/>
          <w:sz w:val="22"/>
          <w:szCs w:val="22"/>
        </w:rPr>
        <w:t>We are pleased to submit our manuscript entitled "</w:t>
      </w:r>
      <w:r>
        <w:rPr>
          <w:rFonts w:ascii="Times New Roman" w:hAnsi="Times New Roman"/>
          <w:i/>
          <w:iCs/>
          <w:sz w:val="22"/>
          <w:szCs w:val="22"/>
        </w:rPr>
        <w:t>Hydroclimatic variability drove human-megafauna-environment interactions during the late Pleistocene/Early Holocene in Central Chile</w:t>
      </w:r>
      <w:r>
        <w:rPr>
          <w:rFonts w:ascii="Times New Roman" w:hAnsi="Times New Roman"/>
          <w:sz w:val="22"/>
          <w:szCs w:val="22"/>
        </w:rPr>
        <w:t xml:space="preserve">" for your consideration at </w:t>
      </w:r>
      <w:r>
        <w:rPr>
          <w:rFonts w:ascii="Times New Roman" w:hAnsi="Times New Roman"/>
          <w:i/>
          <w:iCs/>
          <w:sz w:val="22"/>
          <w:szCs w:val="22"/>
        </w:rPr>
        <w:t>Global and Planetary Change</w:t>
      </w:r>
      <w:r>
        <w:rPr>
          <w:rFonts w:ascii="Times New Roman" w:hAnsi="Times New Roman"/>
          <w:sz w:val="22"/>
          <w:szCs w:val="22"/>
        </w:rPr>
        <w:t xml:space="preserve">. </w:t>
      </w:r>
    </w:p>
    <w:p>
      <w:pPr>
        <w:pStyle w:val="LOnormal"/>
        <w:spacing w:lineRule="auto" w:line="276" w:before="114" w:after="114"/>
        <w:jc w:val="both"/>
        <w:rPr>
          <w:rFonts w:ascii="Times New Roman" w:hAnsi="Times New Roman"/>
          <w:sz w:val="22"/>
          <w:szCs w:val="22"/>
        </w:rPr>
      </w:pPr>
      <w:r>
        <w:rPr>
          <w:rFonts w:ascii="Times New Roman" w:hAnsi="Times New Roman"/>
          <w:sz w:val="22"/>
          <w:szCs w:val="22"/>
        </w:rPr>
        <w:t>Our study provides a novel perspective by explicitly linking paleohydrological transport mechanisms (fluvial, alluvial, and storm events) with ecosystemic responses and human behavior during the late Pleistocene and the onset of the Holocene in central Chile. Based on multi-proxy analyses from the archaeological and paleontological site of Taguatagua 3 in the central Chile valley, we demonstrate how atmospheric and hydrological variability—including ENSO-like conditions and shifts in the Southern Westerly Winds—drove early human settlement patterns and ecosystem dynamics in subtropical South America. Our research highlights the emergence of hydrological refugia as crucial zones of stability during abrupt climatic changes, ultimately aiding early human adaptation and survival.</w:t>
      </w:r>
    </w:p>
    <w:p>
      <w:pPr>
        <w:pStyle w:val="LOnormal"/>
        <w:spacing w:lineRule="auto" w:line="276" w:before="114" w:after="114"/>
        <w:jc w:val="both"/>
        <w:rPr>
          <w:rFonts w:ascii="Times New Roman" w:hAnsi="Times New Roman"/>
          <w:sz w:val="22"/>
          <w:szCs w:val="22"/>
        </w:rPr>
      </w:pPr>
      <w:r>
        <w:rPr>
          <w:rFonts w:ascii="Times New Roman" w:hAnsi="Times New Roman"/>
          <w:sz w:val="22"/>
          <w:szCs w:val="22"/>
        </w:rPr>
        <w:t>A notable feature of our approach is the use of paleoclimate models (PMIP4/CMIP6) in conjunction with sedimentology, stable isotopes, and paleoecological evidence, creating a robust framework to correlate local sedimentary records with large-scale ocean-atmosphere dynamics. Our findings capture the role of jet stream shifts and major global events—including Heinrich Stadial 1, the Younger Dryas, and the Antarctic Cold Reversal—in shaping regional human–megafauna–environment interactions. This integrative perspective on climate teleconnections has broad implications for our understanding of past and present Coupled Human and Natural Systems.</w:t>
      </w:r>
    </w:p>
    <w:p>
      <w:pPr>
        <w:pStyle w:val="TextBody"/>
        <w:spacing w:lineRule="auto" w:line="276" w:before="114" w:after="114"/>
        <w:jc w:val="both"/>
        <w:rPr>
          <w:rFonts w:ascii="Times New Roman" w:hAnsi="Times New Roman"/>
          <w:sz w:val="22"/>
          <w:szCs w:val="22"/>
        </w:rPr>
      </w:pPr>
      <w:r>
        <w:rPr>
          <w:rFonts w:ascii="Times New Roman" w:hAnsi="Times New Roman"/>
          <w:sz w:val="22"/>
          <w:szCs w:val="22"/>
        </w:rPr>
        <w:t xml:space="preserve">We believe this manuscript will appeal to the diverse readership of </w:t>
      </w:r>
      <w:r>
        <w:rPr>
          <w:rFonts w:ascii="Times New Roman" w:hAnsi="Times New Roman"/>
          <w:i/>
          <w:iCs/>
          <w:sz w:val="22"/>
          <w:szCs w:val="22"/>
        </w:rPr>
        <w:t>Global and Planetary Change,</w:t>
      </w:r>
      <w:r>
        <w:rPr>
          <w:rFonts w:ascii="Times New Roman" w:hAnsi="Times New Roman"/>
          <w:i w:val="false"/>
          <w:iCs w:val="false"/>
          <w:sz w:val="22"/>
          <w:szCs w:val="22"/>
        </w:rPr>
        <w:t xml:space="preserve"> as it provides an holistic lens for interpreting past climate-driven changes in human–environment interactions, a topic of urgent relevance in the face of ongoing climate challenges</w:t>
      </w:r>
      <w:r>
        <w:rPr>
          <w:rFonts w:ascii="Times New Roman" w:hAnsi="Times New Roman"/>
          <w:i/>
          <w:iCs/>
          <w:sz w:val="22"/>
          <w:szCs w:val="22"/>
        </w:rPr>
        <w:t>.</w:t>
      </w:r>
    </w:p>
    <w:p>
      <w:pPr>
        <w:pStyle w:val="LOnormal"/>
        <w:spacing w:lineRule="auto" w:line="276" w:before="228" w:after="228"/>
        <w:jc w:val="both"/>
        <w:rPr>
          <w:rFonts w:ascii="Times New Roman" w:hAnsi="Times New Roman"/>
          <w:sz w:val="22"/>
          <w:szCs w:val="22"/>
        </w:rPr>
      </w:pPr>
      <w:r>
        <w:rPr>
          <w:rFonts w:ascii="Times New Roman" w:hAnsi="Times New Roman"/>
          <w:sz w:val="22"/>
          <w:szCs w:val="22"/>
        </w:rPr>
        <w:t xml:space="preserve">Thank you for your time and consideration. </w:t>
      </w:r>
    </w:p>
    <w:p>
      <w:pPr>
        <w:pStyle w:val="LOnormal"/>
        <w:spacing w:lineRule="auto" w:line="276" w:before="228" w:after="228"/>
        <w:jc w:val="both"/>
        <w:rPr>
          <w:rFonts w:ascii="Times New Roman" w:hAnsi="Times New Roman"/>
          <w:sz w:val="22"/>
          <w:szCs w:val="22"/>
        </w:rPr>
      </w:pPr>
      <w:r>
        <w:rPr>
          <w:rFonts w:ascii="Times New Roman" w:hAnsi="Times New Roman"/>
          <w:sz w:val="22"/>
          <w:szCs w:val="22"/>
        </w:rPr>
        <w:t>Sincerely,</w:t>
      </w:r>
    </w:p>
    <w:p>
      <w:pPr>
        <w:pStyle w:val="LOnormal"/>
        <w:spacing w:lineRule="auto" w:line="276" w:before="0" w:after="0"/>
        <w:jc w:val="both"/>
        <w:rPr>
          <w:i/>
          <w:i/>
          <w:iCs/>
        </w:rPr>
      </w:pPr>
      <w:r>
        <w:rPr>
          <w:rFonts w:ascii="Times New Roman" w:hAnsi="Times New Roman"/>
          <w:i/>
          <w:iCs/>
        </w:rPr>
        <w:t>Matías Frugone-Álvarez</w:t>
      </w:r>
    </w:p>
    <w:p>
      <w:pPr>
        <w:pStyle w:val="LOnormal"/>
        <w:spacing w:lineRule="auto" w:line="276" w:before="0" w:after="0"/>
        <w:jc w:val="both"/>
        <w:rPr>
          <w:rFonts w:ascii="Times New Roman" w:hAnsi="Times New Roman"/>
        </w:rPr>
      </w:pPr>
      <w:r>
        <w:rPr>
          <w:rFonts w:ascii="Times New Roman" w:hAnsi="Times New Roman"/>
        </w:rPr>
        <w:t>On behalf of all co-authors</w:t>
      </w:r>
      <w:r>
        <w:br w:type="page"/>
      </w:r>
    </w:p>
    <w:p>
      <w:pPr>
        <w:pStyle w:val="LOnormal"/>
        <w:rPr>
          <w:rFonts w:ascii="Times New Roman" w:hAnsi="Times New Roman"/>
        </w:rPr>
      </w:pPr>
      <w:r>
        <w:rPr>
          <w:rFonts w:ascii="Times New Roman" w:hAnsi="Times New Roman"/>
        </w:rPr>
      </w:r>
    </w:p>
    <w:p>
      <w:pPr>
        <w:pStyle w:val="LOnormal"/>
        <w:spacing w:lineRule="auto" w:line="276" w:before="0" w:after="0"/>
        <w:jc w:val="both"/>
        <w:rPr>
          <w:rFonts w:ascii="Times New Roman" w:hAnsi="Times New Roman"/>
        </w:rPr>
      </w:pPr>
      <w:r>
        <w:rPr>
          <w:rFonts w:ascii="Times New Roman" w:hAnsi="Times New Roman"/>
        </w:rPr>
        <w:t>Information to Ensure a Fair Review Process:</w:t>
      </w:r>
    </w:p>
    <w:p>
      <w:pPr>
        <w:pStyle w:val="LOnormal"/>
        <w:spacing w:lineRule="auto" w:line="276" w:before="57" w:after="57"/>
        <w:rPr>
          <w:rFonts w:ascii="Times New Roman" w:hAnsi="Times New Roman"/>
        </w:rPr>
      </w:pPr>
      <w:r>
        <w:rPr>
          <w:rFonts w:ascii="Times New Roman" w:hAnsi="Times New Roman"/>
          <w:b/>
          <w:bCs/>
        </w:rPr>
        <w:t>Originality:</w:t>
      </w:r>
      <w:r>
        <w:rPr>
          <w:rFonts w:ascii="Times New Roman" w:hAnsi="Times New Roman"/>
        </w:rPr>
        <w:t xml:space="preserve"> We confirm that this manuscript is original, unpublished, and not under consideration elsewhere.</w:t>
      </w:r>
    </w:p>
    <w:p>
      <w:pPr>
        <w:pStyle w:val="LOnormal"/>
        <w:spacing w:lineRule="auto" w:line="276" w:before="57" w:after="57"/>
        <w:rPr>
          <w:rFonts w:ascii="Times New Roman" w:hAnsi="Times New Roman"/>
        </w:rPr>
      </w:pPr>
      <w:r>
        <w:rPr>
          <w:rFonts w:ascii="Times New Roman" w:hAnsi="Times New Roman"/>
          <w:b/>
          <w:bCs/>
        </w:rPr>
        <w:t>Conflict of Interest:</w:t>
      </w:r>
      <w:r>
        <w:rPr>
          <w:rFonts w:ascii="Times New Roman" w:hAnsi="Times New Roman"/>
        </w:rPr>
        <w:t xml:space="preserve"> The authors declare no conflicts of interest that could have influenced the outcomes or interpretation of this study.</w:t>
      </w:r>
    </w:p>
    <w:p>
      <w:pPr>
        <w:pStyle w:val="LOnormal"/>
        <w:spacing w:lineRule="auto" w:line="276" w:before="57" w:after="57"/>
        <w:rPr>
          <w:rFonts w:ascii="Times New Roman" w:hAnsi="Times New Roman"/>
        </w:rPr>
      </w:pPr>
      <w:r>
        <w:rPr>
          <w:rFonts w:ascii="Times New Roman" w:hAnsi="Times New Roman"/>
          <w:b/>
          <w:bCs/>
        </w:rPr>
        <w:t>Data Availability:</w:t>
      </w:r>
      <w:r>
        <w:rPr>
          <w:rFonts w:ascii="Times New Roman" w:hAnsi="Times New Roman"/>
        </w:rPr>
        <w:t xml:space="preserve"> All data and code supporting this research will be made publicly available upon acceptance for reuse via  Zenodo and Github.</w:t>
      </w:r>
    </w:p>
    <w:p>
      <w:pPr>
        <w:pStyle w:val="LOnormal"/>
        <w:spacing w:lineRule="auto" w:line="276" w:before="114" w:after="114"/>
        <w:rPr>
          <w:rFonts w:ascii="Times New Roman" w:hAnsi="Times New Roman"/>
        </w:rPr>
      </w:pPr>
      <w:r>
        <w:rPr>
          <w:rFonts w:ascii="Times New Roman" w:hAnsi="Times New Roman"/>
          <w:b/>
          <w:bCs/>
        </w:rPr>
        <w:t>Supplementary Materials:</w:t>
      </w:r>
      <w:r>
        <w:rPr>
          <w:rFonts w:ascii="Times New Roman" w:hAnsi="Times New Roman"/>
        </w:rPr>
        <w:t xml:space="preserve"> We have uploaded all additional data files and reference material to the auxiliary files section to facilitate the review process.</w:t>
        <w:br/>
        <w:br/>
        <w:t>Thank you for considering our manuscript. We look forward to contributing to your journal and to engaging with the reviewer feedback.</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174</TotalTime>
  <Application>LibreOffice/7.3.7.2$Linux_X86_64 LibreOffice_project/30$Build-2</Application>
  <AppVersion>15.0000</AppVersion>
  <Pages>2</Pages>
  <Words>411</Words>
  <Characters>2535</Characters>
  <CharactersWithSpaces>2927</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2025-04-10T11:40:10Z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