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Exploring the evidence for use of cefiderocol as part of combination therapies: a systematic review of</w:t>
      </w:r>
      <w:r>
        <w:t xml:space="preserve"> </w:t>
      </w:r>
      <w:r>
        <w:rPr>
          <w:i/>
          <w:iCs/>
        </w:rPr>
        <w:t xml:space="preserve">in vitro</w:t>
      </w:r>
      <w:r>
        <w:t xml:space="preserve">,</w:t>
      </w:r>
      <w:r>
        <w:t xml:space="preserve"> </w:t>
      </w:r>
      <w:r>
        <w:rPr>
          <w:i/>
          <w:iCs/>
        </w:rPr>
        <w:t xml:space="preserve">in vivo</w:t>
      </w:r>
      <w:r>
        <w:t xml:space="preserve">, and clinical studies</w:t>
      </w:r>
    </w:p>
    <w:p>
      <w:pPr>
        <w:pStyle w:val="Author"/>
      </w:pPr>
      <w:r>
        <w:t xml:space="preserve">Marco Meroi</w:t>
      </w:r>
      <w:r>
        <w:rPr>
          <w:vertAlign w:val="superscript"/>
        </w:rPr>
        <w:t xml:space="preserve">*,1</w:t>
      </w:r>
      <w:r>
        <w:t xml:space="preserve">, Juan Antonio del Castillo Polo</w:t>
      </w:r>
      <w:r>
        <w:rPr>
          <w:vertAlign w:val="superscript"/>
        </w:rPr>
        <w:t xml:space="preserve">*,2</w:t>
      </w:r>
      <w:r>
        <w:t xml:space="preserve">, Rebecca Scardellato</w:t>
      </w:r>
      <w:r>
        <w:rPr>
          <w:vertAlign w:val="superscript"/>
        </w:rPr>
        <w:t xml:space="preserve">1</w:t>
      </w:r>
      <w:r>
        <w:t xml:space="preserve">, Alessandra Nazeri</w:t>
      </w:r>
      <w:r>
        <w:rPr>
          <w:vertAlign w:val="superscript"/>
        </w:rPr>
        <w:t xml:space="preserve">1</w:t>
      </w:r>
      <w:r>
        <w:t xml:space="preserve">, Alessia Savoldi</w:t>
      </w:r>
      <w:r>
        <w:rPr>
          <w:vertAlign w:val="superscript"/>
        </w:rPr>
        <w:t xml:space="preserve">1</w:t>
      </w:r>
      <w:r>
        <w:t xml:space="preserve">, Renata Da Costa</w:t>
      </w:r>
      <w:r>
        <w:rPr>
          <w:vertAlign w:val="superscript"/>
        </w:rPr>
        <w:t xml:space="preserve">3</w:t>
      </w:r>
      <w:r>
        <w:t xml:space="preserve">, Laura Piddock</w:t>
      </w:r>
      <w:r>
        <w:rPr>
          <w:vertAlign w:val="superscript"/>
        </w:rPr>
        <w:t xml:space="preserve">3</w:t>
      </w:r>
      <w:r>
        <w:t xml:space="preserve">, Jennifer Cohn</w:t>
      </w:r>
      <w:r>
        <w:rPr>
          <w:vertAlign w:val="superscript"/>
        </w:rPr>
        <w:t xml:space="preserve">3</w:t>
      </w:r>
      <w:r>
        <w:t xml:space="preserve">, Evelina Tacconelli</w:t>
      </w:r>
      <w:r>
        <w:rPr>
          <w:vertAlign w:val="superscript"/>
        </w:rPr>
        <w:t xml:space="preserve">1</w:t>
      </w:r>
      <w:r>
        <w:t xml:space="preserve">, Matteo Morra</w:t>
      </w:r>
      <w:r>
        <w:rPr>
          <w:vertAlign w:val="superscript"/>
        </w:rPr>
        <w:t xml:space="preserve">1,✉</w:t>
      </w:r>
      <w:r>
        <w:t xml:space="preserve">, and Elda Righi</w:t>
      </w:r>
      <w:r>
        <w:rPr>
          <w:vertAlign w:val="superscript"/>
        </w:rPr>
        <w:t xml:space="preserve">1</w:t>
      </w:r>
    </w:p>
    <w:p>
      <w:pPr>
        <w:pStyle w:val="FirstParagraph"/>
      </w:pPr>
      <w:r>
        <w:rPr>
          <w:vertAlign w:val="superscript"/>
        </w:rPr>
        <w:t xml:space="preserve">*</w:t>
      </w:r>
      <w:r>
        <w:t xml:space="preserve"> </w:t>
      </w:r>
      <w:r>
        <w:t xml:space="preserve">These authors contributed equally to this work.</w:t>
      </w:r>
    </w:p>
    <w:p>
      <w:pPr>
        <w:pStyle w:val="BodyText"/>
      </w:pPr>
      <w:r>
        <w:rPr>
          <w:vertAlign w:val="superscript"/>
        </w:rPr>
        <w:t xml:space="preserve">1</w:t>
      </w:r>
      <w:r>
        <w:t xml:space="preserve"> </w:t>
      </w:r>
      <w:r>
        <w:t xml:space="preserve">Division of Infectious Diseases, Department of Diagnostics and Public Health, University of Verona, Verona, Italy</w:t>
      </w:r>
      <w:r>
        <w:br/>
      </w:r>
      <w:r>
        <w:rPr>
          <w:vertAlign w:val="superscript"/>
        </w:rPr>
        <w:t xml:space="preserve">2</w:t>
      </w:r>
      <w:r>
        <w:t xml:space="preserve"> </w:t>
      </w:r>
      <w:r>
        <w:t xml:space="preserve">Servicio de Microbiología, Hospital Universitario Ramón y Cajal and Instituto Ramón y Cajal de Investigación Sanitaria (IRYCIS), Madrid, Spain</w:t>
      </w:r>
      <w:r>
        <w:br/>
      </w:r>
      <w:r>
        <w:rPr>
          <w:vertAlign w:val="superscript"/>
        </w:rPr>
        <w:t xml:space="preserve">3</w:t>
      </w:r>
      <w:r>
        <w:t xml:space="preserve"> </w:t>
      </w:r>
      <w:r>
        <w:t xml:space="preserve">Global Antibiotic Research and Development Partnership (GARDP), Geneva, Switzerland</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Matteo Morra &lt;matteo.morra@univr.it&gt;</w:t>
        </w:r>
      </w:hyperlink>
    </w:p>
    <w:bookmarkStart w:id="21" w:name="introduction"/>
    <w:p>
      <w:pPr>
        <w:pStyle w:val="Heading1"/>
      </w:pPr>
      <w:r>
        <w:rPr>
          <w:b/>
          <w:bCs/>
        </w:rPr>
        <w:t xml:space="preserve">Introduction</w:t>
      </w:r>
    </w:p>
    <w:p>
      <w:pPr>
        <w:pStyle w:val="FirstParagraph"/>
      </w:pPr>
      <w:r>
        <w:t xml:space="preserve">Cefiderocol is a novel siderophore–cephalosporin that has emerged as a promising agent against multidrug-resistant Gram-negative bacteria (MDR-GNB), including carbapenem-resistant</w:t>
      </w:r>
      <w:r>
        <w:t xml:space="preserve"> </w:t>
      </w:r>
      <w:r>
        <w:rPr>
          <w:i/>
          <w:iCs/>
        </w:rPr>
        <w:t xml:space="preserve">Enterobacterales</w:t>
      </w:r>
      <w:r>
        <w:t xml:space="preserve">,</w:t>
      </w:r>
      <w:r>
        <w:t xml:space="preserve"> </w:t>
      </w:r>
      <w:r>
        <w:rPr>
          <w:i/>
          <w:iCs/>
        </w:rPr>
        <w:t xml:space="preserve">Pseudomonas aeruginosa</w:t>
      </w:r>
      <w:r>
        <w:t xml:space="preserve">, and</w:t>
      </w:r>
      <w:r>
        <w:t xml:space="preserve"> </w:t>
      </w:r>
      <w:r>
        <w:rPr>
          <w:i/>
          <w:iCs/>
        </w:rPr>
        <w:t xml:space="preserve">Acinetobacter</w:t>
      </w:r>
      <w:r>
        <w:t xml:space="preserve"> </w:t>
      </w:r>
      <w:r>
        <w:t xml:space="preserve">species</w:t>
      </w:r>
      <w:r>
        <w:t xml:space="preserve"> </w:t>
      </w:r>
      <w:r>
        <w:t xml:space="preserve">[1,2]</w:t>
      </w:r>
      <w:r>
        <w:t xml:space="preserve">.</w:t>
      </w:r>
    </w:p>
    <w:p>
      <w:pPr>
        <w:pStyle w:val="BodyText"/>
      </w:pPr>
      <w:r>
        <w:t xml:space="preserve">While most recent guidelines for usage of cefiderocol consistently recommend monotherapy  for CRE and CRPA infections, when susceptibility is confirmed in vitro, there is no consensus on indications for CRAB infections</w:t>
      </w:r>
      <w:r>
        <w:t xml:space="preserve"> </w:t>
      </w:r>
      <w:r>
        <w:t xml:space="preserve">[3,4]</w:t>
      </w:r>
      <w:r>
        <w:t xml:space="preserve">. The 2024 Infectious Diseases Society of America (IDSA) guidance suggests the use of cefiderocol as an alternative agent for CRAB infections, specifically for cases refractory to other treatments or when patients cannot tolerate other options, always within a combination regimen, on the basis that there is insufficient evidence that supports the effectiveness of any single molecule when used alone. Conversely, the 2022  European Society of Clinical Microbiology and Infectious Diseases (ESCMID) guidelines conditionally recommend against the use of cefiderocol for CRAB infections, mainly on the basis of results of a single study showing increased mortality in patients receiving cefiderocol compared to those receiving the best available treatment</w:t>
      </w:r>
      <w:r>
        <w:t xml:space="preserve"> </w:t>
      </w:r>
      <w:r>
        <w:t xml:space="preserve">[3,4]</w:t>
      </w:r>
      <w:r>
        <w:t xml:space="preserve">.</w:t>
      </w:r>
    </w:p>
    <w:p>
      <w:pPr>
        <w:pStyle w:val="BodyText"/>
      </w:pPr>
      <w:r>
        <w:t xml:space="preserve">The 2019 COHERENCE survey, involving 1012 experts worldwide, identified the intent to improve efficacy (81% of respondents) and to prevent resistance (51% of respondents) as the main reasons for the use of combination therapy in the treatment of CR-GNB infections, although many experts acknowledged the poor quality of supporting data and the lack of standardization of regimens</w:t>
      </w:r>
      <w:r>
        <w:t xml:space="preserve"> </w:t>
      </w:r>
      <w:r>
        <w:t xml:space="preserve">[5]</w:t>
      </w:r>
      <w:r>
        <w:t xml:space="preserve">. Similar findings emerged from the CLEARER 2023 global survey, focusing on cefiderocol perception and prescribing attitudes, in which combination therapy was frequently preferred for CRAB and MBL-producing GNB infections, particularly to minimise resistance development and in the case of critical illness (personal data, not shown).</w:t>
      </w:r>
    </w:p>
    <w:p>
      <w:pPr>
        <w:pStyle w:val="BodyText"/>
      </w:pPr>
      <w:r>
        <w:t xml:space="preserve">This systematic review aims to assess the efficacy of cefiderocol-based combination therapy compared with monotherapy in treating carbapenem-resistant Gram-negative bacterial infections. Evidence is synthesized across</w:t>
      </w:r>
      <w:r>
        <w:t xml:space="preserve"> </w:t>
      </w:r>
      <w:r>
        <w:rPr>
          <w:i/>
          <w:iCs/>
        </w:rPr>
        <w:t xml:space="preserve">in vitro</w:t>
      </w:r>
      <w:r>
        <w:t xml:space="preserve"> </w:t>
      </w:r>
      <w:r>
        <w:t xml:space="preserve">studies assessing synergy,</w:t>
      </w:r>
      <w:r>
        <w:t xml:space="preserve"> </w:t>
      </w:r>
      <w:r>
        <w:rPr>
          <w:i/>
          <w:iCs/>
        </w:rPr>
        <w:t xml:space="preserve">in vivo</w:t>
      </w:r>
      <w:r>
        <w:t xml:space="preserve"> </w:t>
      </w:r>
      <w:r>
        <w:t xml:space="preserve">models evaluating bacterial clearance, and clinical trials examining mortality, clinical cure, and microbiological eradication.</w:t>
      </w:r>
    </w:p>
    <w:bookmarkEnd w:id="21"/>
    <w:bookmarkStart w:id="25" w:name="methods"/>
    <w:p>
      <w:pPr>
        <w:pStyle w:val="Heading1"/>
      </w:pPr>
      <w:r>
        <w:t xml:space="preserve">Methods</w:t>
      </w:r>
    </w:p>
    <w:bookmarkStart w:id="22" w:name="search-strategy-and-eligibility-criteria"/>
    <w:p>
      <w:pPr>
        <w:pStyle w:val="Heading2"/>
      </w:pPr>
      <w:r>
        <w:rPr>
          <w:b/>
          <w:bCs/>
        </w:rPr>
        <w:t xml:space="preserve">Search strategy and eligibility criteria</w:t>
      </w:r>
    </w:p>
    <w:p>
      <w:pPr>
        <w:pStyle w:val="FirstParagraph"/>
      </w:pPr>
      <w:r>
        <w:t xml:space="preserve">A Medline-based search was conducted from 1st of January 2015 until 31st of January 2025 using</w:t>
      </w:r>
      <w:r>
        <w:t xml:space="preserve"> </w:t>
      </w:r>
      <w:r>
        <w:t xml:space="preserve">“cefiderocol[tw]”</w:t>
      </w:r>
      <w:r>
        <w:t xml:space="preserve"> </w:t>
      </w:r>
      <w:r>
        <w:t xml:space="preserve">or</w:t>
      </w:r>
      <w:r>
        <w:t xml:space="preserve"> </w:t>
      </w:r>
      <w:r>
        <w:t xml:space="preserve">“S-649266[tw]”</w:t>
      </w:r>
      <w:r>
        <w:t xml:space="preserve"> </w:t>
      </w:r>
      <w:r>
        <w:t xml:space="preserve">as keywords to identify</w:t>
      </w:r>
      <w:r>
        <w:t xml:space="preserve"> </w:t>
      </w:r>
      <w:r>
        <w:rPr>
          <w:i/>
          <w:iCs/>
        </w:rPr>
        <w:t xml:space="preserve">in vivo, in vitro</w:t>
      </w:r>
      <w:r>
        <w:t xml:space="preserve">, and clinical studies on humans reporting data on cefiderocol as part of combination regimens. Only studies published in the English language were included. The screening of papers was conducted independently by three authors (Ma.Mo., J.DC, and R.S.) and disagreements were addressed by involving a third reviewer (E.R. or Ma.Me.). If eligibility could not be determined, the full article was retrieved. References of reviews and original publications were hand searched for further eligible studies.For in vitro studies, an additional web-based search of abstracts presented at the annual European Congress of Clinical Microbiology and Infectious Diseases (ECCMID) and IDWeek was conducted by systematically screening the ESCMID eLibrary and the Open Forum Infectious Diseases library, respectively, over the same period. All</w:t>
      </w:r>
      <w:r>
        <w:t xml:space="preserve"> </w:t>
      </w:r>
      <w:r>
        <w:rPr>
          <w:i/>
          <w:iCs/>
        </w:rPr>
        <w:t xml:space="preserve">in vivo</w:t>
      </w:r>
      <w:r>
        <w:t xml:space="preserve"> </w:t>
      </w:r>
      <w:r>
        <w:t xml:space="preserve">and</w:t>
      </w:r>
      <w:r>
        <w:t xml:space="preserve"> </w:t>
      </w:r>
      <w:r>
        <w:rPr>
          <w:i/>
          <w:iCs/>
        </w:rPr>
        <w:t xml:space="preserve">in vitro</w:t>
      </w:r>
      <w:r>
        <w:t xml:space="preserve"> </w:t>
      </w:r>
      <w:r>
        <w:t xml:space="preserve">studies were included, except for case reports, irrespective of  the technique performed to evaluate synergies.</w:t>
      </w:r>
    </w:p>
    <w:p>
      <w:pPr>
        <w:pStyle w:val="BodyText"/>
      </w:pPr>
      <w:r>
        <w:t xml:space="preserve">Regarding human studies, randomized trials, observational comparative studies, and non-comparative cohort studies were included, provided that they reported on cefiderocol-based combination therapy. Case reports and case series with fewer than 10 patients were excluded.</w:t>
      </w:r>
    </w:p>
    <w:bookmarkEnd w:id="22"/>
    <w:bookmarkStart w:id="23" w:name="data-extraction-and-synthesis"/>
    <w:p>
      <w:pPr>
        <w:pStyle w:val="Heading2"/>
      </w:pPr>
      <w:r>
        <w:rPr>
          <w:b/>
          <w:bCs/>
        </w:rPr>
        <w:t xml:space="preserve">Data extraction and synthesis</w:t>
      </w:r>
    </w:p>
    <w:p>
      <w:pPr>
        <w:pStyle w:val="FirstParagraph"/>
      </w:pPr>
      <w:r>
        <w:t xml:space="preserve">A standardised data-extraction method was used to record relevant features from each study into a database, including year of publication, country, study design, number of isolates/animals/patients included, type of bacterium cultured, type of antibiotic molecules tested, antibiotic susceptibility profile, type of infection, and setting. The susceptibility profile of isolates to the antibiotic(s) tested, including cefiderocol, were extracted, when available, according to the microbiological guidelines for breakpoint interpretation adopted by the individual study.  Results were presented narratively, grouped by pathogen species for</w:t>
      </w:r>
      <w:r>
        <w:t xml:space="preserve"> </w:t>
      </w:r>
      <w:r>
        <w:rPr>
          <w:i/>
          <w:iCs/>
        </w:rPr>
        <w:t xml:space="preserve">in vitro</w:t>
      </w:r>
      <w:r>
        <w:t xml:space="preserve"> </w:t>
      </w:r>
      <w:r>
        <w:t xml:space="preserve">and</w:t>
      </w:r>
      <w:r>
        <w:t xml:space="preserve"> </w:t>
      </w:r>
      <w:r>
        <w:rPr>
          <w:i/>
          <w:iCs/>
        </w:rPr>
        <w:t xml:space="preserve">in vivo</w:t>
      </w:r>
      <w:r>
        <w:t xml:space="preserve"> </w:t>
      </w:r>
      <w:r>
        <w:t xml:space="preserve">studies and by study design for clinical studies.</w:t>
      </w:r>
    </w:p>
    <w:p>
      <w:pPr>
        <w:pStyle w:val="BodyText"/>
      </w:pPr>
      <w:r>
        <w:t xml:space="preserve">Limited to the clinical studies, a pair-wise meta-analysis was conducted comparing clinical and microbiological outcomes in cefiderocol monotherapy vs. cefiderocol-based combination therapy. Only studies with more than 25 patients were considered for the pooled analysis; case series and non-comparative reports were excluded. Full methodology is detailed in the</w:t>
      </w:r>
      <w:r>
        <w:t xml:space="preserve"> </w:t>
      </w:r>
      <w:r>
        <w:rPr>
          <w:b/>
          <w:bCs/>
        </w:rPr>
        <w:t xml:space="preserve">Supplementary Material</w:t>
      </w:r>
      <w:r>
        <w:t xml:space="preserve">.</w:t>
      </w:r>
    </w:p>
    <w:bookmarkEnd w:id="23"/>
    <w:bookmarkStart w:id="24" w:name="quality-assessment"/>
    <w:p>
      <w:pPr>
        <w:pStyle w:val="Heading2"/>
      </w:pPr>
      <w:r>
        <w:rPr>
          <w:b/>
          <w:bCs/>
        </w:rPr>
        <w:t xml:space="preserve">Quality assessment</w:t>
      </w:r>
    </w:p>
    <w:p>
      <w:pPr>
        <w:pStyle w:val="FirstParagraph"/>
      </w:pPr>
      <w:r>
        <w:t xml:space="preserve">Two independent reviewers (Ma.Mo. and Ma.Me.) assessed the study quality using two different scores according to the study design</w:t>
      </w:r>
      <w:r>
        <w:rPr>
          <w:b/>
          <w:bCs/>
        </w:rPr>
        <w:t xml:space="preserve">:</w:t>
      </w:r>
      <w:r>
        <w:t xml:space="preserve"> </w:t>
      </w:r>
      <w:r>
        <w:t xml:space="preserve">Cochrane Risk of Bias tool for randomized trials and the Newcastle-Ottawa Scale for observational cohort studies.</w:t>
      </w:r>
    </w:p>
    <w:bookmarkEnd w:id="24"/>
    <w:bookmarkEnd w:id="25"/>
    <w:bookmarkStart w:id="33" w:name="results"/>
    <w:p>
      <w:pPr>
        <w:pStyle w:val="Heading1"/>
      </w:pPr>
      <w:r>
        <w:t xml:space="preserve">Results</w:t>
      </w:r>
    </w:p>
    <w:p>
      <w:pPr>
        <w:pStyle w:val="FirstParagraph"/>
      </w:pPr>
      <w:r>
        <w:t xml:space="preserve">A total of 1496 citations were retrieved. From these, 191 articles were included for further screening and 66 (34</w:t>
      </w:r>
      <w:r>
        <w:t xml:space="preserve"> </w:t>
      </w:r>
      <w:r>
        <w:rPr>
          <w:i/>
          <w:iCs/>
        </w:rPr>
        <w:t xml:space="preserve">in vitro,</w:t>
      </w:r>
      <w:r>
        <w:t xml:space="preserve"> </w:t>
      </w:r>
      <w:r>
        <w:t xml:space="preserve">2</w:t>
      </w:r>
      <w:r>
        <w:t xml:space="preserve"> </w:t>
      </w:r>
      <w:r>
        <w:rPr>
          <w:i/>
          <w:iCs/>
        </w:rPr>
        <w:t xml:space="preserve">in vivo</w:t>
      </w:r>
      <w:r>
        <w:t xml:space="preserve">, and 30 clinical studies) met the eligibility criteria and were included in the evidence assessment. Four ECCMID abstracts and three IDWeek abstracts were identified.  Three</w:t>
      </w:r>
      <w:r>
        <w:t xml:space="preserve"> </w:t>
      </w:r>
      <w:r>
        <w:rPr>
          <w:i/>
          <w:iCs/>
        </w:rPr>
        <w:t xml:space="preserve">in vivo</w:t>
      </w:r>
      <w:r>
        <w:t xml:space="preserve"> </w:t>
      </w:r>
      <w:r>
        <w:t xml:space="preserve">models were described by the authors as part of</w:t>
      </w:r>
      <w:r>
        <w:t xml:space="preserve"> </w:t>
      </w:r>
      <w:r>
        <w:rPr>
          <w:i/>
          <w:iCs/>
        </w:rPr>
        <w:t xml:space="preserve">in vitro</w:t>
      </w:r>
      <w:r>
        <w:t xml:space="preserve"> </w:t>
      </w:r>
      <w:r>
        <w:t xml:space="preserve">articles.</w:t>
      </w:r>
    </w:p>
    <w:p>
      <w:pPr>
        <w:pStyle w:val="BodyText"/>
      </w:pPr>
      <w:r>
        <w:t xml:space="preserve">PRISMA flow chart for data search and extraction, screening, and selection process is displayed in</w:t>
      </w:r>
      <w:r>
        <w:t xml:space="preserve"> </w:t>
      </w:r>
      <w:r>
        <w:rPr>
          <w:b/>
          <w:bCs/>
        </w:rPr>
        <w:t xml:space="preserve">Figure 1</w:t>
      </w:r>
      <w:r>
        <w:t xml:space="preserve">. Results are reported by type of studies.</w:t>
      </w:r>
    </w:p>
    <w:bookmarkStart w:id="30" w:name="in-vitro-studies"/>
    <w:p>
      <w:pPr>
        <w:pStyle w:val="Heading2"/>
      </w:pPr>
      <w:r>
        <w:rPr>
          <w:b/>
          <w:bCs/>
          <w:i/>
          <w:iCs/>
        </w:rPr>
        <w:t xml:space="preserve">In vitro</w:t>
      </w:r>
      <w:r>
        <w:t xml:space="preserve"> </w:t>
      </w:r>
      <w:r>
        <w:rPr>
          <w:b/>
          <w:bCs/>
        </w:rPr>
        <w:t xml:space="preserve">studies</w:t>
      </w:r>
    </w:p>
    <w:p>
      <w:pPr>
        <w:pStyle w:val="FirstParagraph"/>
      </w:pPr>
      <w:r>
        <w:t xml:space="preserve">A total of 34 studies were included, 11 of them with ≥30 isolates and 20 with cefiderocol-resistant isolates. Eighteen of them included combinations with avibactam and 7 with sulbactam, whereas xeruborbactam and meropenem were the molecules evaluated with more isolates, 325 and 274, respectively. Four methods were used: time-kill assays (12 studies), checkerboard analysis (13), broth microdilution (9), and gradient diffusion strip crossing (7), with 9 studies employing ≥1 method.</w:t>
      </w:r>
    </w:p>
    <w:p>
      <w:pPr>
        <w:pStyle w:val="BodyText"/>
      </w:pPr>
      <w:r>
        <w:t xml:space="preserve">Overall, combinations with β-lactamase inhibitors, particularly novel agents, emerged as the most promising ones in most cases (</w:t>
      </w:r>
      <w:r>
        <w:rPr>
          <w:b/>
          <w:bCs/>
        </w:rPr>
        <w:t xml:space="preserve">Table 1</w:t>
      </w:r>
      <w:r>
        <w:t xml:space="preserve">). Some experiments included different bacterial species. In a study with 82 GNB, meropenem showed synergy for all species, while amikacin and colistin were not synergistic in</w:t>
      </w:r>
      <w:r>
        <w:t xml:space="preserve"> </w:t>
      </w:r>
      <w:r>
        <w:rPr>
          <w:i/>
          <w:iCs/>
        </w:rPr>
        <w:t xml:space="preserve">P. aeruginosa</w:t>
      </w:r>
      <w:r>
        <w:t xml:space="preserve"> </w:t>
      </w:r>
      <w:r>
        <w:t xml:space="preserve">[6]</w:t>
      </w:r>
      <w:r>
        <w:t xml:space="preserve">. In another evaluation, no synergy was demonstrated with piperacillin-tazobactam, meropenem-vaborbactam, or imipenem-relebactam and synergy with fosfomycin and ceftazidime-avibactam was found only in two isolates</w:t>
      </w:r>
      <w:r>
        <w:t xml:space="preserve"> </w:t>
      </w:r>
      <w:r>
        <w:t xml:space="preserve">[7]</w:t>
      </w:r>
      <w:r>
        <w:t xml:space="preserve">, but ceftazidime-avibactam also caused a ≥8-fold MIC decrease in 32 of 33 non-NDM-producing GNB</w:t>
      </w:r>
      <w:r>
        <w:t xml:space="preserve"> </w:t>
      </w:r>
      <w:r>
        <w:t xml:space="preserve">[8]</w:t>
      </w:r>
      <w:r>
        <w:t xml:space="preserve">. Synergy was found for ceftazidime-avibactam, ceftolozane-tazobactam, and meropenem for non-NDM-producing isolates from SIDERO-WT-2014 study</w:t>
      </w:r>
      <w:r>
        <w:t xml:space="preserve"> </w:t>
      </w:r>
      <w:r>
        <w:t xml:space="preserve">[9]</w:t>
      </w:r>
      <w:r>
        <w:t xml:space="preserve">. Cefiderocol-sulbactam enhanced cefiderocol activity in 6 GNB</w:t>
      </w:r>
      <w:r>
        <w:t xml:space="preserve"> </w:t>
      </w:r>
      <w:r>
        <w:t xml:space="preserve">[10]</w:t>
      </w:r>
      <w:r>
        <w:t xml:space="preserve"> </w:t>
      </w:r>
      <w:r>
        <w:t xml:space="preserve">and positive interaction but no synergy was found for glycine in 10 GNB</w:t>
      </w:r>
      <w:r>
        <w:t xml:space="preserve"> </w:t>
      </w:r>
      <w:r>
        <w:t xml:space="preserve">[11]</w:t>
      </w:r>
      <w:r>
        <w:t xml:space="preserve">.  Zidebactam, another BLI, was found synergistic in</w:t>
      </w:r>
      <w:r>
        <w:t xml:space="preserve"> </w:t>
      </w:r>
      <w:r>
        <w:rPr>
          <w:i/>
          <w:iCs/>
        </w:rPr>
        <w:t xml:space="preserve">P. aeruginosa</w:t>
      </w:r>
      <w:r>
        <w:t xml:space="preserve"> </w:t>
      </w:r>
      <w:r>
        <w:t xml:space="preserve">and in Enterobacterales, and avibactam, zidebactam, taniborbactam, and relebactam combinations increased cefiderocol susceptibility rates more than 80% in</w:t>
      </w:r>
      <w:r>
        <w:t xml:space="preserve"> </w:t>
      </w:r>
      <w:r>
        <w:rPr>
          <w:i/>
          <w:iCs/>
        </w:rPr>
        <w:t xml:space="preserve">A. baumannii</w:t>
      </w:r>
      <w:r>
        <w:t xml:space="preserve"> </w:t>
      </w:r>
      <w:r>
        <w:t xml:space="preserve">complex</w:t>
      </w:r>
      <w:r>
        <w:t xml:space="preserve"> </w:t>
      </w:r>
      <w:r>
        <w:t xml:space="preserve">[12,13]</w:t>
      </w:r>
      <w:r>
        <w:t xml:space="preserve">. Xeruborbactam significantly improved cefiderocol activity in two studies with 160 and 165 139 CR GNB</w:t>
      </w:r>
      <w:r>
        <w:t xml:space="preserve"> </w:t>
      </w:r>
      <w:r>
        <w:t xml:space="preserve">[14,15]</w:t>
      </w:r>
      <w:r>
        <w:t xml:space="preserve">.</w:t>
      </w:r>
    </w:p>
    <w:bookmarkStart w:id="26" w:name="acinetobacter-baumannii-complex"/>
    <w:p>
      <w:pPr>
        <w:pStyle w:val="Heading3"/>
      </w:pPr>
      <w:r>
        <w:rPr>
          <w:b/>
          <w:bCs/>
          <w:i/>
          <w:iCs/>
        </w:rPr>
        <w:t xml:space="preserve">Acinetobacter baumannii</w:t>
      </w:r>
      <w:r>
        <w:t xml:space="preserve"> </w:t>
      </w:r>
      <w:r>
        <w:rPr>
          <w:b/>
          <w:bCs/>
        </w:rPr>
        <w:t xml:space="preserve">complex</w:t>
      </w:r>
    </w:p>
    <w:p>
      <w:pPr>
        <w:pStyle w:val="FirstParagraph"/>
      </w:pPr>
      <w:r>
        <w:t xml:space="preserve">Synergy with amikacin was shown in 7 amikacin-resistant isolates </w:t>
      </w:r>
      <w:r>
        <w:t xml:space="preserve"> </w:t>
      </w:r>
      <w:r>
        <w:t xml:space="preserve">[6,16]</w:t>
      </w:r>
      <w:r>
        <w:t xml:space="preserve"> </w:t>
      </w:r>
      <w:r>
        <w:t xml:space="preserve">and with tigecycline, minocycline, meropenem, and sulbactam in cefiderocol-resistant isolates</w:t>
      </w:r>
      <w:r>
        <w:t xml:space="preserve"> </w:t>
      </w:r>
      <w:r>
        <w:t xml:space="preserve">[16]</w:t>
      </w:r>
      <w:r>
        <w:t xml:space="preserve">. Besides this, tigecycline showed synergism in 123 isolates, confirmed</w:t>
      </w:r>
      <w:r>
        <w:t xml:space="preserve"> </w:t>
      </w:r>
      <w:r>
        <w:rPr>
          <w:i/>
          <w:iCs/>
        </w:rPr>
        <w:t xml:space="preserve">in vivo</w:t>
      </w:r>
      <w:r>
        <w:t xml:space="preserve"> </w:t>
      </w:r>
      <w:r>
        <w:t xml:space="preserve">with a</w:t>
      </w:r>
      <w:r>
        <w:t xml:space="preserve"> </w:t>
      </w:r>
      <w:r>
        <w:rPr>
          <w:i/>
          <w:iCs/>
        </w:rPr>
        <w:t xml:space="preserve">Galleria mellonella</w:t>
      </w:r>
      <w:r>
        <w:t xml:space="preserve"> </w:t>
      </w:r>
      <w:r>
        <w:t xml:space="preserve">model</w:t>
      </w:r>
      <w:r>
        <w:t xml:space="preserve"> </w:t>
      </w:r>
      <w:r>
        <w:t xml:space="preserve">[17]</w:t>
      </w:r>
      <w:r>
        <w:t xml:space="preserve">, as well as other tetracycline analogues (minocycline, tigecycline, eravacycline, and omadacycline) in CRAB isolates, verifying the eravacycline synergism in a neutropenic murine thigh-infection model</w:t>
      </w:r>
      <w:r>
        <w:t xml:space="preserve"> </w:t>
      </w:r>
      <w:r>
        <w:t xml:space="preserve">[18]</w:t>
      </w:r>
      <w:r>
        <w:t xml:space="preserve">. No synergy was observed with colistin, tigecycline, or fosfomycin in 15 CRAB</w:t>
      </w:r>
      <w:r>
        <w:rPr>
          <w:i/>
          <w:iCs/>
        </w:rPr>
        <w:t xml:space="preserve">,</w:t>
      </w:r>
      <w:r>
        <w:t xml:space="preserve"> </w:t>
      </w:r>
      <w:r>
        <w:t xml:space="preserve">potentially due to the use of the gradient diffusion strip crossing technique</w:t>
      </w:r>
      <w:r>
        <w:t xml:space="preserve"> </w:t>
      </w:r>
      <w:r>
        <w:t xml:space="preserve">[19]</w:t>
      </w:r>
      <w:r>
        <w:t xml:space="preserve">.</w:t>
      </w:r>
    </w:p>
    <w:p>
      <w:pPr>
        <w:pStyle w:val="BodyText"/>
      </w:pPr>
      <w:r>
        <w:t xml:space="preserve">Among β-lactams, cefiderocol synergism with meropenem was demonstrated in CRAB but was not reported in other three studies</w:t>
      </w:r>
      <w:r>
        <w:t xml:space="preserve"> </w:t>
      </w:r>
      <w:r>
        <w:t xml:space="preserve">[6,9,16,17]</w:t>
      </w:r>
      <w:r>
        <w:t xml:space="preserve">. Avibactam and sulbactam were found synergistic in 2 cefiderocol-resistant PER-producing isolates, but not tazobactam, avibactam, vaborbactam, or relebactam in 7 OXA-carbapenemase-producing isolates</w:t>
      </w:r>
      <w:r>
        <w:t xml:space="preserve"> </w:t>
      </w:r>
      <w:r>
        <w:t xml:space="preserve">[9,20]</w:t>
      </w:r>
      <w:r>
        <w:t xml:space="preserve">. Cefiderocol-zidebactam was shown as a promising combination by an</w:t>
      </w:r>
      <w:r>
        <w:t xml:space="preserve"> </w:t>
      </w:r>
      <w:r>
        <w:rPr>
          <w:i/>
          <w:iCs/>
        </w:rPr>
        <w:t xml:space="preserve">in silico</w:t>
      </w:r>
      <w:r>
        <w:t xml:space="preserve"> </w:t>
      </w:r>
      <w:r>
        <w:t xml:space="preserve">analysis</w:t>
      </w:r>
      <w:r>
        <w:t xml:space="preserve"> </w:t>
      </w:r>
      <w:r>
        <w:t xml:space="preserve">[21]</w:t>
      </w:r>
      <w:r>
        <w:t xml:space="preserve"> </w:t>
      </w:r>
      <w:r>
        <w:t xml:space="preserve">and durlobactam lowered the cefiderocol-MIC</w:t>
      </w:r>
      <w:r>
        <w:rPr>
          <w:vertAlign w:val="subscript"/>
        </w:rPr>
        <w:t xml:space="preserve">50</w:t>
      </w:r>
      <w:r>
        <w:t xml:space="preserve"> </w:t>
      </w:r>
      <w:r>
        <w:t xml:space="preserve">and MIC</w:t>
      </w:r>
      <w:r>
        <w:rPr>
          <w:vertAlign w:val="subscript"/>
        </w:rPr>
        <w:t xml:space="preserve">90</w:t>
      </w:r>
      <w:r>
        <w:t xml:space="preserve"> </w:t>
      </w:r>
      <w:r>
        <w:t xml:space="preserve">of 66 isolates but sulbactam did not</w:t>
      </w:r>
      <w:r>
        <w:t xml:space="preserve"> </w:t>
      </w:r>
      <w:r>
        <w:t xml:space="preserve">[22]</w:t>
      </w:r>
      <w:r>
        <w:t xml:space="preserve">. In another study, only the cefiderocol-sulbactam-tigecycline combination reached synergy in an extensively drug-resistant (XDR)</w:t>
      </w:r>
      <w:r>
        <w:t xml:space="preserve"> </w:t>
      </w:r>
      <w:r>
        <w:rPr>
          <w:i/>
          <w:iCs/>
        </w:rPr>
        <w:t xml:space="preserve">A. baumannii</w:t>
      </w:r>
      <w:r>
        <w:t xml:space="preserve"> </w:t>
      </w:r>
      <w:r>
        <w:t xml:space="preserve">strain from a patient with VAP</w:t>
      </w:r>
      <w:r>
        <w:t xml:space="preserve"> </w:t>
      </w:r>
      <w:r>
        <w:t xml:space="preserve">[23]</w:t>
      </w:r>
      <w:r>
        <w:t xml:space="preserve">. Of note, exposure of</w:t>
      </w:r>
      <w:r>
        <w:t xml:space="preserve"> </w:t>
      </w:r>
      <w:r>
        <w:rPr>
          <w:i/>
          <w:iCs/>
        </w:rPr>
        <w:t xml:space="preserve">A. baumannii</w:t>
      </w:r>
      <w:r>
        <w:t xml:space="preserve"> </w:t>
      </w:r>
      <w:r>
        <w:t xml:space="preserve">to cefiderocol and sulbactam or avibactam led to the selection of resistant strains</w:t>
      </w:r>
      <w:r>
        <w:t xml:space="preserve"> </w:t>
      </w:r>
      <w:r>
        <w:t xml:space="preserve">[24]</w:t>
      </w:r>
      <w:r>
        <w:t xml:space="preserve">. Cefiderocol, polymyxin B, and rifampicin showed synergistic effects by artificial intelligence but ampicillin-sulbactam exhibited significant antagonistic interaction</w:t>
      </w:r>
      <w:r>
        <w:t xml:space="preserve"> </w:t>
      </w:r>
      <w:r>
        <w:t xml:space="preserve">[25]</w:t>
      </w:r>
      <w:r>
        <w:rPr>
          <w:b/>
          <w:bCs/>
        </w:rPr>
        <w:t xml:space="preserve">.</w:t>
      </w:r>
    </w:p>
    <w:bookmarkEnd w:id="26"/>
    <w:bookmarkStart w:id="27" w:name="enterobacterales"/>
    <w:p>
      <w:pPr>
        <w:pStyle w:val="Heading3"/>
      </w:pPr>
      <w:r>
        <w:rPr>
          <w:b/>
          <w:bCs/>
        </w:rPr>
        <w:t xml:space="preserve">Enterobacterales</w:t>
      </w:r>
    </w:p>
    <w:p>
      <w:pPr>
        <w:pStyle w:val="FirstParagraph"/>
      </w:pPr>
      <w:r>
        <w:t xml:space="preserve">Synergies with BLIs have been the most frequently evaluated, demonstrated in tazobactam, avibactam, vaborbactam, and relebactam in three OXA-48 producers but very low synergy with tazobactam, relebactam, and avibactam and no synergy with vaborbactam was found in 7 MBL producers</w:t>
      </w:r>
      <w:r>
        <w:t xml:space="preserve"> </w:t>
      </w:r>
      <w:r>
        <w:t xml:space="preserve">[20]</w:t>
      </w:r>
      <w:r>
        <w:t xml:space="preserve">. In addition, no synergy with avibactam was shown in 10 double-carbapenemase producers</w:t>
      </w:r>
      <w:r>
        <w:t xml:space="preserve"> </w:t>
      </w:r>
      <w:r>
        <w:t xml:space="preserve">[26]</w:t>
      </w:r>
      <w:r>
        <w:t xml:space="preserve">, but it was found synergistic in 20 NDM-producing</w:t>
      </w:r>
      <w:r>
        <w:t xml:space="preserve"> </w:t>
      </w:r>
      <w:r>
        <w:rPr>
          <w:i/>
          <w:iCs/>
        </w:rPr>
        <w:t xml:space="preserve">E. cloacae</w:t>
      </w:r>
      <w:r>
        <w:t xml:space="preserve"> </w:t>
      </w:r>
      <w:r>
        <w:t xml:space="preserve">isolates</w:t>
      </w:r>
      <w:r>
        <w:t xml:space="preserve"> </w:t>
      </w:r>
      <w:r>
        <w:t xml:space="preserve">[27]</w:t>
      </w:r>
      <w:r>
        <w:t xml:space="preserve">.</w:t>
      </w:r>
    </w:p>
    <w:p>
      <w:pPr>
        <w:pStyle w:val="BodyText"/>
      </w:pPr>
      <w:r>
        <w:t xml:space="preserve">In</w:t>
      </w:r>
      <w:r>
        <w:t xml:space="preserve"> </w:t>
      </w:r>
      <w:r>
        <w:rPr>
          <w:i/>
          <w:iCs/>
        </w:rPr>
        <w:t xml:space="preserve">K. pneumoniae</w:t>
      </w:r>
      <w:r>
        <w:t xml:space="preserve">, synergy with avibactam was demonstrated in different experiments including KPC and NDM-producers</w:t>
      </w:r>
      <w:r>
        <w:t xml:space="preserve"> </w:t>
      </w:r>
      <w:r>
        <w:t xml:space="preserve">[20,26,28,29]</w:t>
      </w:r>
      <w:r>
        <w:t xml:space="preserve"> </w:t>
      </w:r>
      <w:r>
        <w:t xml:space="preserve">and it produced the most remarkable fold reduction in the MIC compared to other BLIs in 34 isolates</w:t>
      </w:r>
      <w:r>
        <w:t xml:space="preserve"> </w:t>
      </w:r>
      <w:r>
        <w:t xml:space="preserve">[30]</w:t>
      </w:r>
      <w:r>
        <w:t xml:space="preserve">. However, cefiderocol activity was not improved by the addition of avibactam alone but only when aztreonam or dipicolinic acid was also added in 1 isolate producing NDM-1, OXA-232 and CTX-M-15 and with a mutation in catecholate-siderophore receptor . Relebactam and vaborbactam were found synergic in 18 KPC-producers</w:t>
      </w:r>
      <w:r>
        <w:t xml:space="preserve"> </w:t>
      </w:r>
      <w:r>
        <w:t xml:space="preserve">[26]</w:t>
      </w:r>
      <w:r>
        <w:t xml:space="preserve">, and synergy with meropenem was demonstrated in one KPC-producer, but was not confirmed for amikacin</w:t>
      </w:r>
      <w:r>
        <w:t xml:space="preserve"> </w:t>
      </w:r>
      <w:r>
        <w:t xml:space="preserve">[6]</w:t>
      </w:r>
      <w:r>
        <w:t xml:space="preserve">.</w:t>
      </w:r>
    </w:p>
    <w:bookmarkEnd w:id="27"/>
    <w:bookmarkStart w:id="28" w:name="pseudomonas-aeruginosa"/>
    <w:p>
      <w:pPr>
        <w:pStyle w:val="Heading3"/>
      </w:pPr>
      <w:r>
        <w:rPr>
          <w:b/>
          <w:bCs/>
          <w:i/>
          <w:iCs/>
        </w:rPr>
        <w:t xml:space="preserve">Pseudomonas aeruginosa</w:t>
      </w:r>
    </w:p>
    <w:p>
      <w:pPr>
        <w:pStyle w:val="FirstParagraph"/>
      </w:pPr>
      <w:r>
        <w:t xml:space="preserve">No synergy was shown for avibactam, vaborbactam, or tazobactam in 1 MBL-producer, but it was found for relebactam in this isolate</w:t>
      </w:r>
      <w:r>
        <w:t xml:space="preserve"> </w:t>
      </w:r>
      <w:r>
        <w:t xml:space="preserve">[20]</w:t>
      </w:r>
      <w:r>
        <w:t xml:space="preserve"> </w:t>
      </w:r>
      <w:r>
        <w:t xml:space="preserve">and two VIM-producers, and for imipenem-relebactam in two IMP-producers</w:t>
      </w:r>
      <w:r>
        <w:t xml:space="preserve"> </w:t>
      </w:r>
      <w:r>
        <w:t xml:space="preserve">[28,31]</w:t>
      </w:r>
      <w:r>
        <w:t xml:space="preserve">. Cotreatment with imipenem resulted in synergistic bactericidal activity in 5 isolates</w:t>
      </w:r>
      <w:r>
        <w:t xml:space="preserve"> </w:t>
      </w:r>
      <w:r>
        <w:t xml:space="preserve">[32]</w:t>
      </w:r>
      <w:r>
        <w:t xml:space="preserve"> </w:t>
      </w:r>
      <w:r>
        <w:t xml:space="preserve">but no synergy for meropenem or amikacin was found in one VIM-producer</w:t>
      </w:r>
      <w:r>
        <w:t xml:space="preserve"> </w:t>
      </w:r>
      <w:r>
        <w:t xml:space="preserve">[6]</w:t>
      </w:r>
      <w:r>
        <w:t xml:space="preserve">. However, colistin significantly improved cefiderocol efficacy against biofilms in 2 isolates in an</w:t>
      </w:r>
      <w:r>
        <w:t xml:space="preserve"> </w:t>
      </w:r>
      <w:r>
        <w:rPr>
          <w:i/>
          <w:iCs/>
        </w:rPr>
        <w:t xml:space="preserve">in vitro</w:t>
      </w:r>
      <w:r>
        <w:t xml:space="preserve"> </w:t>
      </w:r>
      <w:r>
        <w:t xml:space="preserve">pharmacodynamic model</w:t>
      </w:r>
      <w:r>
        <w:t xml:space="preserve"> </w:t>
      </w:r>
      <w:r>
        <w:t xml:space="preserve">[33]</w:t>
      </w:r>
      <w:r>
        <w:t xml:space="preserve">. Vancomycin addition to cefiderocol was indifferent in 2 isolates</w:t>
      </w:r>
      <w:r>
        <w:t xml:space="preserve"> </w:t>
      </w:r>
      <w:r>
        <w:t xml:space="preserve">[34]</w:t>
      </w:r>
      <w:r>
        <w:t xml:space="preserve"> </w:t>
      </w:r>
      <w:r>
        <w:t xml:space="preserve">and colloidal bismuth citrate showed synergism, confirmed in a murine acute pneumonia model, and increased cefiderocol efficacy against biofilm formation, restored susceptibility in a cefiderocol-resistant isolate and significantly increased survival rate and decreased the bacterial load</w:t>
      </w:r>
      <w:r>
        <w:t xml:space="preserve"> </w:t>
      </w:r>
      <w:r>
        <w:rPr>
          <w:i/>
          <w:iCs/>
        </w:rPr>
        <w:t xml:space="preserve">in vivo</w:t>
      </w:r>
      <w:r>
        <w:t xml:space="preserve"> </w:t>
      </w:r>
      <w:r>
        <w:t xml:space="preserve">[35]</w:t>
      </w:r>
      <w:r>
        <w:t xml:space="preserve">.</w:t>
      </w:r>
    </w:p>
    <w:bookmarkEnd w:id="28"/>
    <w:bookmarkStart w:id="29" w:name="stenotrophomonas-maltophilia"/>
    <w:p>
      <w:pPr>
        <w:pStyle w:val="Heading3"/>
      </w:pPr>
      <w:r>
        <w:rPr>
          <w:b/>
          <w:bCs/>
          <w:i/>
          <w:iCs/>
        </w:rPr>
        <w:t xml:space="preserve">Stenotrophomonas maltophilia</w:t>
      </w:r>
    </w:p>
    <w:p>
      <w:pPr>
        <w:pStyle w:val="FirstParagraph"/>
      </w:pPr>
      <w:r>
        <w:t xml:space="preserve">Different synergy values were found with levofloxacin, minocycline, polymyxin B, and trimethoprim-sulfamethoxazole among 9 isolates</w:t>
      </w:r>
      <w:r>
        <w:t xml:space="preserve"> </w:t>
      </w:r>
      <w:r>
        <w:t xml:space="preserve">[36]</w:t>
      </w:r>
      <w:r>
        <w:t xml:space="preserve">. </w:t>
      </w:r>
    </w:p>
    <w:bookmarkEnd w:id="29"/>
    <w:bookmarkEnd w:id="30"/>
    <w:bookmarkStart w:id="31" w:name="in-vivo-studies"/>
    <w:p>
      <w:pPr>
        <w:pStyle w:val="Heading2"/>
      </w:pPr>
      <w:r>
        <w:rPr>
          <w:b/>
          <w:bCs/>
          <w:i/>
          <w:iCs/>
        </w:rPr>
        <w:t xml:space="preserve">In vivo</w:t>
      </w:r>
      <w:r>
        <w:t xml:space="preserve"> </w:t>
      </w:r>
      <w:r>
        <w:rPr>
          <w:b/>
          <w:bCs/>
        </w:rPr>
        <w:t xml:space="preserve">studies</w:t>
      </w:r>
    </w:p>
    <w:p>
      <w:pPr>
        <w:pStyle w:val="FirstParagraph"/>
      </w:pPr>
      <w:r>
        <w:t xml:space="preserve">Three</w:t>
      </w:r>
      <w:r>
        <w:t xml:space="preserve"> </w:t>
      </w:r>
      <w:r>
        <w:rPr>
          <w:i/>
          <w:iCs/>
        </w:rPr>
        <w:t xml:space="preserve">in vitro</w:t>
      </w:r>
      <w:r>
        <w:t xml:space="preserve"> </w:t>
      </w:r>
      <w:r>
        <w:t xml:space="preserve">studies also included an</w:t>
      </w:r>
      <w:r>
        <w:t xml:space="preserve"> </w:t>
      </w:r>
      <w:r>
        <w:rPr>
          <w:i/>
          <w:iCs/>
        </w:rPr>
        <w:t xml:space="preserve">in vivo</w:t>
      </w:r>
      <w:r>
        <w:t xml:space="preserve"> </w:t>
      </w:r>
      <w:r>
        <w:t xml:space="preserve">model</w:t>
      </w:r>
      <w:r>
        <w:t xml:space="preserve"> </w:t>
      </w:r>
      <w:r>
        <w:t xml:space="preserve">[17,18,37]</w:t>
      </w:r>
      <w:r>
        <w:t xml:space="preserve">. Ni</w:t>
      </w:r>
      <w:r>
        <w:t xml:space="preserve"> </w:t>
      </w:r>
      <w:r>
        <w:rPr>
          <w:i/>
          <w:iCs/>
        </w:rPr>
        <w:t xml:space="preserve">et al.</w:t>
      </w:r>
      <w:r>
        <w:t xml:space="preserve"> </w:t>
      </w:r>
      <w:r>
        <w:t xml:space="preserve">demonstrated increased survival in a</w:t>
      </w:r>
      <w:r>
        <w:t xml:space="preserve"> </w:t>
      </w:r>
      <w:r>
        <w:rPr>
          <w:i/>
          <w:iCs/>
        </w:rPr>
        <w:t xml:space="preserve">Galleria mellonella</w:t>
      </w:r>
      <w:r>
        <w:t xml:space="preserve"> </w:t>
      </w:r>
      <w:r>
        <w:t xml:space="preserve">model for both cefiderocol-resistant CRAB (treated with cefiderocol and either colistin or tigecycline) and for cefiderocol-susceptible CRAB (treated with cefiderocol and tigecycline). In this study all the isolates were susceptible to colistin</w:t>
      </w:r>
      <w:r>
        <w:t xml:space="preserve"> </w:t>
      </w:r>
      <w:r>
        <w:t xml:space="preserve">[17]</w:t>
      </w:r>
      <w:r>
        <w:t xml:space="preserve">. Wang</w:t>
      </w:r>
      <w:r>
        <w:t xml:space="preserve"> </w:t>
      </w:r>
      <w:r>
        <w:rPr>
          <w:i/>
          <w:iCs/>
        </w:rPr>
        <w:t xml:space="preserve">et al.</w:t>
      </w:r>
      <w:r>
        <w:t xml:space="preserve"> </w:t>
      </w:r>
      <w:r>
        <w:t xml:space="preserve">demonstrated increased survival for combination of cefiderocol with CBS in a</w:t>
      </w:r>
      <w:r>
        <w:t xml:space="preserve"> </w:t>
      </w:r>
      <w:r>
        <w:rPr>
          <w:i/>
          <w:iCs/>
        </w:rPr>
        <w:t xml:space="preserve">P. aeruginosa</w:t>
      </w:r>
      <w:r>
        <w:t xml:space="preserve"> </w:t>
      </w:r>
      <w:r>
        <w:t xml:space="preserve">murine pneumonia model and Yin</w:t>
      </w:r>
      <w:r>
        <w:t xml:space="preserve"> </w:t>
      </w:r>
      <w:r>
        <w:rPr>
          <w:i/>
          <w:iCs/>
        </w:rPr>
        <w:t xml:space="preserve">et al</w:t>
      </w:r>
      <w:r>
        <w:t xml:space="preserve">. verified the cefiderocol-eravacycline bacterial cell reduction in a neutropenic murine thigh-infection model</w:t>
      </w:r>
      <w:r>
        <w:t xml:space="preserve"> </w:t>
      </w:r>
      <w:r>
        <w:t xml:space="preserve">[18,35]</w:t>
      </w:r>
      <w:r>
        <w:t xml:space="preserve">. Two studies were retrieved with an exclusive focus on an in vivo model</w:t>
      </w:r>
      <w:r>
        <w:t xml:space="preserve"> </w:t>
      </w:r>
      <w:r>
        <w:t xml:space="preserve">[38,39]</w:t>
      </w:r>
      <w:r>
        <w:t xml:space="preserve">. Ding</w:t>
      </w:r>
      <w:r>
        <w:t xml:space="preserve"> </w:t>
      </w:r>
      <w:r>
        <w:rPr>
          <w:i/>
          <w:iCs/>
        </w:rPr>
        <w:t xml:space="preserve">et al</w:t>
      </w:r>
      <w:r>
        <w:t xml:space="preserve">. have evaluated nanomedicine elements in a mouse intra-abdominal infection model. Deferiprone-loaded layered double hydroxide-based therapy associated with cefiderocol suppressed the emergence of drug-resistant bacteria and enhanced the bactericidal efficacy</w:t>
      </w:r>
      <w:r>
        <w:t xml:space="preserve"> </w:t>
      </w:r>
      <w:r>
        <w:t xml:space="preserve">[38]</w:t>
      </w:r>
      <w:r>
        <w:t xml:space="preserve">.</w:t>
      </w:r>
    </w:p>
    <w:p>
      <w:pPr>
        <w:pStyle w:val="BodyText"/>
      </w:pPr>
      <w:r>
        <w:t xml:space="preserve">Cefiderocol efficacy and resistance were tested in combination with ceftazidime-avibactam, ampicillin-sulbactam, or meropenem against</w:t>
      </w:r>
      <w:r>
        <w:t xml:space="preserve"> </w:t>
      </w:r>
      <w:r>
        <w:rPr>
          <w:i/>
          <w:iCs/>
        </w:rPr>
        <w:t xml:space="preserve">A. baumannii</w:t>
      </w:r>
      <w:r>
        <w:t xml:space="preserve"> </w:t>
      </w:r>
      <w:r>
        <w:t xml:space="preserve">complex isolates using human-simulated regimens in a murine thigh infection model. The isolates were classified according to cefiderocol MICs (3 had MIC of 2 mg/L, 2 of 8 mg/L, and 10 of ≥ 32 mg/L) and some included VEB and PER β-lactamases. When cefiderocol was combined with ceftazidime-avibactam or ampicillin-sulbactam in isolates that were cefiderocol- and ceftazidime-avibactam-resistant, mean log</w:t>
      </w:r>
      <w:r>
        <w:rPr>
          <w:vertAlign w:val="subscript"/>
        </w:rPr>
        <w:t xml:space="preserve">10</w:t>
      </w:r>
      <w:r>
        <w:t xml:space="preserve"> </w:t>
      </w:r>
      <w:r>
        <w:t xml:space="preserve">CFU/thigh reductions of −3.75 ± 0.37 and −3.55 ± 0.50 were observed, respectively. The combination with meropenem was less effective. Post-treatment, combination with ceftazidime-avibactam and ampicillin-sulbactam did not show MICs increase; conversely, cefiderocol monotherapy was associated with elevated MICs in all 3 isolates with baseline MICs of 2 mg/L.</w:t>
      </w:r>
      <w:r>
        <w:t xml:space="preserve"> </w:t>
      </w:r>
      <w:r>
        <w:rPr>
          <w:i/>
          <w:iCs/>
        </w:rPr>
        <w:t xml:space="preserve">In vitro</w:t>
      </w:r>
      <w:r>
        <w:t xml:space="preserve"> </w:t>
      </w:r>
      <w:r>
        <w:t xml:space="preserve">disk stacking assessments demonstrated a return of all tested isolates treated with ceftazidime-avibactam or ampicillin-sulbactam combinations to the Clinical &amp; Laboratory Standards Institute (CLSI) intermediate breakpoint</w:t>
      </w:r>
      <w:r>
        <w:t xml:space="preserve"> </w:t>
      </w:r>
      <w:r>
        <w:t xml:space="preserve">[39]</w:t>
      </w:r>
      <w:r>
        <w:t xml:space="preserve">.</w:t>
      </w:r>
    </w:p>
    <w:bookmarkEnd w:id="31"/>
    <w:bookmarkStart w:id="32" w:name="clinical-studies"/>
    <w:p>
      <w:pPr>
        <w:pStyle w:val="Heading2"/>
      </w:pPr>
      <w:r>
        <w:rPr>
          <w:b/>
          <w:bCs/>
        </w:rPr>
        <w:t xml:space="preserve">Clinical studies</w:t>
      </w:r>
    </w:p>
    <w:p>
      <w:pPr>
        <w:pStyle w:val="FirstParagraph"/>
      </w:pPr>
      <w:r>
        <w:t xml:space="preserve">Three prospective,28 retrospective observational studies, and one randomised trial were included for the analysis. The risk of bias  was either moderate or high for cohort studies and (</w:t>
      </w:r>
      <w:r>
        <w:rPr>
          <w:b/>
          <w:bCs/>
        </w:rPr>
        <w:t xml:space="preserve">Supplementary Table 3</w:t>
      </w:r>
      <w:r>
        <w:t xml:space="preserve">) and moderate for the randomised trial. Cohort studies were often monocentric</w:t>
      </w:r>
      <w:r>
        <w:t xml:space="preserve"> </w:t>
      </w:r>
      <w:r>
        <w:t xml:space="preserve">[40–48]</w:t>
      </w:r>
      <w:r>
        <w:t xml:space="preserve">, focusing exclusively</w:t>
      </w:r>
      <w:r>
        <w:t xml:space="preserve"> </w:t>
      </w:r>
      <w:r>
        <w:t xml:space="preserve">[40–44]</w:t>
      </w:r>
      <w:r>
        <w:t xml:space="preserve"> </w:t>
      </w:r>
      <w:r>
        <w:t xml:space="preserve">or mainly</w:t>
      </w:r>
      <w:r>
        <w:t xml:space="preserve"> </w:t>
      </w:r>
      <w:r>
        <w:t xml:space="preserve">[45,46,49,50]</w:t>
      </w:r>
      <w:r>
        <w:t xml:space="preserve"> </w:t>
      </w:r>
      <w:r>
        <w:t xml:space="preserve">on CRAB infections, and some used cefiderocol as a rescue therapy</w:t>
      </w:r>
      <w:r>
        <w:t xml:space="preserve"> </w:t>
      </w:r>
      <w:r>
        <w:t xml:space="preserve">[42,44,51]</w:t>
      </w:r>
      <w:r>
        <w:t xml:space="preserve">. Only four articles, including 142, 41, 38, 200 and 45 patients respectively, compared cefiderocol monotherapy with combination therapy as a primary outcome</w:t>
      </w:r>
      <w:r>
        <w:t xml:space="preserve"> </w:t>
      </w:r>
      <w:r>
        <w:t xml:space="preserve">[45,52–54]</w:t>
      </w:r>
      <w:r>
        <w:t xml:space="preserve">. Over 15 antibiotic combinations were used in different studies, including the association with antibiotics without</w:t>
      </w:r>
      <w:r>
        <w:t xml:space="preserve"> </w:t>
      </w:r>
      <w:r>
        <w:rPr>
          <w:i/>
          <w:iCs/>
        </w:rPr>
        <w:t xml:space="preserve">in vitro</w:t>
      </w:r>
      <w:r>
        <w:t xml:space="preserve"> </w:t>
      </w:r>
      <w:r>
        <w:t xml:space="preserve">activity against target CR-GNB. Detailed data and results  of the single studies are summarized in</w:t>
      </w:r>
      <w:r>
        <w:t xml:space="preserve"> </w:t>
      </w:r>
      <w:r>
        <w:rPr>
          <w:b/>
          <w:bCs/>
        </w:rPr>
        <w:t xml:space="preserve">Table 2.</w:t>
      </w:r>
    </w:p>
    <w:p>
      <w:pPr>
        <w:pStyle w:val="BodyText"/>
      </w:pPr>
      <w:r>
        <w:t xml:space="preserve">In the exploratory meta-analysis comparing monotherapy with cefiderocol and combination therapy, the pooled 30-day all cause mortality was computed on 854 patients (9 studies), while pooled clinical and microbiological cure was computed on 799 patients (nine studies) and 454 patients (five studies), respectively. Pooled mortality was significantly higher among patients receiving cefiderocol combination therapy (OR = 1.42, 95% CI: 1.03–1.95). No significant differences were observed between combination therapy and monotherapy in terms of clinical cure (OR = 0.79, 95% CI: 0.48–1.31) or microbiological eradication (OR = 0.96, 95% CI: 0.57–1.63).</w:t>
      </w:r>
    </w:p>
    <w:bookmarkEnd w:id="32"/>
    <w:bookmarkEnd w:id="33"/>
    <w:bookmarkStart w:id="34" w:name="discussion"/>
    <w:p>
      <w:pPr>
        <w:pStyle w:val="Heading1"/>
      </w:pPr>
      <w:r>
        <w:rPr>
          <w:b/>
          <w:bCs/>
        </w:rPr>
        <w:t xml:space="preserve">Discussion</w:t>
      </w:r>
    </w:p>
    <w:p>
      <w:pPr>
        <w:pStyle w:val="FirstParagraph"/>
      </w:pPr>
      <w:r>
        <w:t xml:space="preserve">This study comprehensively assessed the state of art of the cefiderocol-based combination treatments against CR-GNB infections encompassing</w:t>
      </w:r>
      <w:r>
        <w:t xml:space="preserve"> </w:t>
      </w:r>
      <w:r>
        <w:rPr>
          <w:i/>
          <w:iCs/>
        </w:rPr>
        <w:t xml:space="preserve">in vitro</w:t>
      </w:r>
      <w:r>
        <w:t xml:space="preserve"> </w:t>
      </w:r>
      <w:r>
        <w:t xml:space="preserve">and</w:t>
      </w:r>
      <w:r>
        <w:t xml:space="preserve"> </w:t>
      </w:r>
      <w:r>
        <w:rPr>
          <w:i/>
          <w:iCs/>
        </w:rPr>
        <w:t xml:space="preserve">in vivo studies</w:t>
      </w:r>
      <w:r>
        <w:t xml:space="preserve"> </w:t>
      </w:r>
      <w:r>
        <w:t xml:space="preserve">as well as current clinical practice.</w:t>
      </w:r>
      <w:r>
        <w:t xml:space="preserve"> </w:t>
      </w:r>
      <w:r>
        <w:rPr>
          <w:b/>
          <w:bCs/>
        </w:rPr>
        <w:t xml:space="preserve">Figure 2</w:t>
      </w:r>
      <w:r>
        <w:t xml:space="preserve"> </w:t>
      </w:r>
      <w:r>
        <w:t xml:space="preserve">summarizes the main findings and limitations of the studies included.</w:t>
      </w:r>
    </w:p>
    <w:p>
      <w:pPr>
        <w:pStyle w:val="BodyText"/>
      </w:pPr>
      <w:r>
        <w:rPr>
          <w:i/>
          <w:iCs/>
        </w:rPr>
        <w:t xml:space="preserve">In vitro</w:t>
      </w:r>
      <w:r>
        <w:t xml:space="preserve"> </w:t>
      </w:r>
      <w:r>
        <w:t xml:space="preserve">experiments with cefiderocol combinations may elucidate which combinations could be synergistic for both cefiderocol-susceptible and resistant isolates. Results from these studies can be equally useful, the former to outline the mechanisms that reduce cefiderocol MICs, and the latter to investigate how to overcome cefiderocol resistance. However, there are some limitations hampering the comparability and therefore the applicability of results into practice. First, different techniques were employed for assessing the synergy. Reduction of CFU/mL in time was assessed by time-kill assays, whereas MIC changes were evaluated using the fractional inhibitory concentration index in most experiments. MICs were obtained by broth microdilution in checkerboard analysis. Moreover, conclusions from studies using MIC gradient test strips should be interpreted carefully and might not be as valid as other techniques</w:t>
      </w:r>
      <w:r>
        <w:t xml:space="preserve"> </w:t>
      </w:r>
      <w:r>
        <w:t xml:space="preserve">[55]</w:t>
      </w:r>
      <w:r>
        <w:t xml:space="preserve">. Second, several</w:t>
      </w:r>
      <w:r>
        <w:t xml:space="preserve"> </w:t>
      </w:r>
      <w:r>
        <w:rPr>
          <w:i/>
          <w:iCs/>
        </w:rPr>
        <w:t xml:space="preserve">in vitro</w:t>
      </w:r>
      <w:r>
        <w:t xml:space="preserve"> </w:t>
      </w:r>
      <w:r>
        <w:t xml:space="preserve">experiments have analysed different types of resistant bacteria in an aggregate manner, making it difficult to interpret the results as distinct resistance patterns were found. Third, the number of isolates varied widely across studies, with the majority including small experiments. Even when considering these drawbacks, the most relevant synergies identified for clinical application were BLIs, tigecycline, meropenem, ceftazidime-avibactam and, to a lesser extent, colistin, and fosfomycin. An increasing number of</w:t>
      </w:r>
      <w:r>
        <w:t xml:space="preserve"> </w:t>
      </w:r>
      <w:r>
        <w:rPr>
          <w:i/>
          <w:iCs/>
        </w:rPr>
        <w:t xml:space="preserve">in vitro</w:t>
      </w:r>
      <w:r>
        <w:t xml:space="preserve"> </w:t>
      </w:r>
      <w:r>
        <w:t xml:space="preserve">studies, involving considerable numbers of isolates, suggests that cefiderocol combined with BLIs may be active against selected pathogens. Of the BLIs evaluated, sulbactam has shown promising activity when combined with cefiderocol against CRAB. Although sulbactam–durlobactam with imipenem is currently recommended as first-line therapy by the IDSA guidance for this pathogen, the optimal combination partner, particularly for MBL producing strains, remains undefined. Based on current</w:t>
      </w:r>
      <w:r>
        <w:t xml:space="preserve"> </w:t>
      </w:r>
      <w:r>
        <w:rPr>
          <w:i/>
          <w:iCs/>
        </w:rPr>
        <w:t xml:space="preserve">in vitro</w:t>
      </w:r>
      <w:r>
        <w:t xml:space="preserve"> </w:t>
      </w:r>
      <w:r>
        <w:t xml:space="preserve">data, cefiderocol may therefore represent a good candidate to combine with sulbbactam-dorlubactam. Another promising option is cefiderocol in combination with xeruborbactam, a bicyclic boronate β-lactamase inhibitor currently tested in combination with cefiderocol in a phase 1 clinical trial. The two recent in vitro studies by Hara et al, which together tested 325 cefiderocol-resistant isolates (165</w:t>
      </w:r>
      <w:r>
        <w:t xml:space="preserve"> </w:t>
      </w:r>
      <w:r>
        <w:rPr>
          <w:i/>
          <w:iCs/>
        </w:rPr>
        <w:t xml:space="preserve">Enterobacterales</w:t>
      </w:r>
      <w:r>
        <w:t xml:space="preserve"> </w:t>
      </w:r>
      <w:r>
        <w:t xml:space="preserve">and 160</w:t>
      </w:r>
      <w:r>
        <w:t xml:space="preserve"> </w:t>
      </w:r>
      <w:r>
        <w:rPr>
          <w:i/>
          <w:iCs/>
        </w:rPr>
        <w:t xml:space="preserve">Acinetobacter baumannii</w:t>
      </w:r>
      <w:r>
        <w:t xml:space="preserve">), represent the largest datasets to date evaluating cefiderocol combinations. Both studies employed the reference broth microdilution method in iron-depleted cation-adjusted Mueller-Hinton broth, following CLSI guidelines. To date, no other combination has been tested on such a large number of cefiderocol-resistant isolates using this standardised approach</w:t>
      </w:r>
      <w:r>
        <w:t xml:space="preserve"> </w:t>
      </w:r>
      <w:r>
        <w:t xml:space="preserve">[15,56]</w:t>
      </w:r>
      <w:r>
        <w:t xml:space="preserve">.</w:t>
      </w:r>
    </w:p>
    <w:p>
      <w:pPr>
        <w:pStyle w:val="BodyText"/>
      </w:pPr>
      <w:r>
        <w:t xml:space="preserve">Evidence from</w:t>
      </w:r>
      <w:r>
        <w:t xml:space="preserve"> </w:t>
      </w:r>
      <w:r>
        <w:rPr>
          <w:i/>
          <w:iCs/>
        </w:rPr>
        <w:t xml:space="preserve">in vivo</w:t>
      </w:r>
      <w:r>
        <w:t xml:space="preserve"> </w:t>
      </w:r>
      <w:r>
        <w:t xml:space="preserve">studies remains scarce and provides limited insights. Although some studies have assessed</w:t>
      </w:r>
      <w:r>
        <w:t xml:space="preserve"> </w:t>
      </w:r>
      <w:r>
        <w:rPr>
          <w:i/>
          <w:iCs/>
        </w:rPr>
        <w:t xml:space="preserve">in vivo</w:t>
      </w:r>
      <w:r>
        <w:t xml:space="preserve"> </w:t>
      </w:r>
      <w:r>
        <w:t xml:space="preserve">the synergistic effects observed</w:t>
      </w:r>
      <w:r>
        <w:t xml:space="preserve"> </w:t>
      </w:r>
      <w:r>
        <w:rPr>
          <w:i/>
          <w:iCs/>
        </w:rPr>
        <w:t xml:space="preserve">in vitro</w:t>
      </w:r>
      <w:r>
        <w:t xml:space="preserve"> </w:t>
      </w:r>
      <w:r>
        <w:t xml:space="preserve">using various methods, these investigations have typically involved only a small number of isolates, limiting the strength of the conclusions that can be drawn.</w:t>
      </w:r>
    </w:p>
    <w:p>
      <w:pPr>
        <w:pStyle w:val="BodyText"/>
      </w:pPr>
      <w:r>
        <w:t xml:space="preserve">The number of observational studies on the use of cefiderocol has increased in recent years, reflecting the expanding clinical use of this agent and the growing interest in optimizing its clinical application. Cefiderocol used in combination, in particular with fosfomycin as companion agent, appears promising</w:t>
      </w:r>
      <w:r>
        <w:t xml:space="preserve"> </w:t>
      </w:r>
      <w:r>
        <w:t xml:space="preserve">[41,43,57]</w:t>
      </w:r>
      <w:r>
        <w:t xml:space="preserve">, especially for the treatment of CRAB infections. Our meta-analysis suggests that cefiderocol combination therapy does not confer a consistent advantage over monotherapy, irrespective of type of pathogen considered. While pooled estimates slightly favored combination therapy for microbiological eradication, confidence intervals were wide and subgroup differences were generally not statistically significant or based on limited study numbers.</w:t>
      </w:r>
    </w:p>
    <w:p>
      <w:pPr>
        <w:pStyle w:val="BodyText"/>
      </w:pPr>
      <w:r>
        <w:t xml:space="preserve">Nonetheless, a major limitation in evaluating the efficacy of cefiderocol-based combination therapy in human studies lies in the heterogeneity and methodological quality of the available data. In many cohorts, cefiderocol was combined with various companion antibiotics leading to outcome aggregation across non-uniform regimens. This may have masked potential benefits by including combinations with antagonistic or toxic effects. The lack of detailed microbiological characterization, particularly regarding resistance mechanisms like MBLs, further limits the ability to interpret treatment effects across different bacterial profiles. Moreover, most observational studies do not adequately adjust for confounding variables. Patients receiving combination therapy are often more severely ill or have a higher risk of mortality at baseline, which may bias outcomes in favor of monotherapy. As a result, the apparent lack of benefit observed in some studies may reflect confounding by indication rather than a true absence of effect.</w:t>
      </w:r>
    </w:p>
    <w:bookmarkEnd w:id="34"/>
    <w:bookmarkStart w:id="149" w:name="conclusions"/>
    <w:p>
      <w:pPr>
        <w:pStyle w:val="Heading1"/>
      </w:pPr>
      <w:r>
        <w:rPr>
          <w:b/>
          <w:bCs/>
        </w:rPr>
        <w:t xml:space="preserve">Conclusions</w:t>
      </w:r>
    </w:p>
    <w:p>
      <w:pPr>
        <w:pStyle w:val="FirstParagraph"/>
      </w:pPr>
      <w:r>
        <w:t xml:space="preserve">Currently available evidence is of low quality, highly heterogeneous, and insufficient to support firm conclusions about the clinical applicability of cefiderocol-based combination therapies. Nevertheless, these findings offer valuable insight into potential directions for future research. Systematic</w:t>
      </w:r>
      <w:r>
        <w:t xml:space="preserve"> </w:t>
      </w:r>
      <w:r>
        <w:rPr>
          <w:i/>
          <w:iCs/>
        </w:rPr>
        <w:t xml:space="preserve">in vitro</w:t>
      </w:r>
      <w:r>
        <w:t xml:space="preserve"> </w:t>
      </w:r>
      <w:r>
        <w:t xml:space="preserve">evaluation of cefiderocol-based combinations against well-characterized CR-GNB, using validated and standardized synergy testing methods, is warranted. Particular emphasis should be placed on combinations with BLIs, which are increasingly supported by emerging preclinical data. At the same time, continued investigation of agents such as tigecycline, carbapenems, fosfomycin, colistin and selected non-antibiotic adjuvants remains essential to fully explore their synergistic potential.</w:t>
      </w:r>
    </w:p>
    <w:p>
      <w:pPr>
        <w:pStyle w:val="BodyText"/>
      </w:pPr>
      <w:r>
        <w:t xml:space="preserve">Well-structured clinical trials and observational studies are needed to define the role of cefiderocol-based combinations, with systematic assessment of clinical outcomes and microbiological endpoints, including resistance emergence. Given the promising in vitro activity and the paucity of clinical trials or high-quality observational studies assessing cefiderocol–BLI combinations, in vivo and clinical evaluation is needed to better define their therapeutic role.</w:t>
      </w:r>
    </w:p>
    <w:bookmarkStart w:id="35" w:name="funding"/>
    <w:p>
      <w:pPr>
        <w:pStyle w:val="Heading3"/>
      </w:pPr>
      <w:r>
        <w:rPr>
          <w:b/>
          <w:bCs/>
        </w:rPr>
        <w:t xml:space="preserve">Funding</w:t>
      </w:r>
    </w:p>
    <w:p>
      <w:pPr>
        <w:pStyle w:val="FirstParagraph"/>
      </w:pPr>
      <w:r>
        <w:t xml:space="preserve">This work was part of the CLEARER project (Current cLinical scEnARios for the use of cefidErocol in multidrug-Resistant infections: a case study-based approach) supported by the Global Antibiotic Research and Development Partnership (GARDP).</w:t>
      </w:r>
    </w:p>
    <w:bookmarkEnd w:id="35"/>
    <w:bookmarkStart w:id="36" w:name="transparency-declarations"/>
    <w:p>
      <w:pPr>
        <w:pStyle w:val="Heading3"/>
      </w:pPr>
      <w:r>
        <w:rPr>
          <w:b/>
          <w:bCs/>
        </w:rPr>
        <w:t xml:space="preserve">Transparency declarations</w:t>
      </w:r>
    </w:p>
    <w:p>
      <w:pPr>
        <w:pStyle w:val="FirstParagraph"/>
      </w:pPr>
      <w:r>
        <w:t xml:space="preserve">No conflicts of interest to declare</w:t>
      </w:r>
    </w:p>
    <w:bookmarkEnd w:id="36"/>
    <w:bookmarkStart w:id="148" w:name="references"/>
    <w:p>
      <w:pPr>
        <w:pStyle w:val="Heading3"/>
      </w:pPr>
      <w:r>
        <w:t xml:space="preserve">References</w:t>
      </w:r>
    </w:p>
    <w:bookmarkStart w:id="147" w:name="refs"/>
    <w:bookmarkStart w:id="38" w:name="ref-ito2016"/>
    <w:p>
      <w:pPr>
        <w:pStyle w:val="Bibliography"/>
      </w:pPr>
      <w:r>
        <w:t xml:space="preserve">[1]</w:t>
      </w:r>
      <w:r>
        <w:t xml:space="preserve"> </w:t>
      </w:r>
      <w:r>
        <w:t xml:space="preserve">	</w:t>
      </w:r>
      <w:r>
        <w:t xml:space="preserve">Ito A, Nishikawa T, Matsumoto S, Yoshizawa H, Sato T, Nakamura R, et al. Siderophore Cephalosporin Cefiderocol Utilizes Ferric Iron Transporter Systems for Antibacterial Activity against Pseudomonas aeruginosa. Antimicrobial Agents and Chemotherapy 2016;60:7396–401.</w:t>
      </w:r>
      <w:r>
        <w:t xml:space="preserve"> </w:t>
      </w:r>
      <w:hyperlink r:id="rId37">
        <w:r>
          <w:rPr>
            <w:rStyle w:val="Hyperlink"/>
          </w:rPr>
          <w:t xml:space="preserve">https://doi.org/10.1128/AAC.01405-16</w:t>
        </w:r>
      </w:hyperlink>
      <w:r>
        <w:t xml:space="preserve">.</w:t>
      </w:r>
    </w:p>
    <w:bookmarkEnd w:id="38"/>
    <w:bookmarkStart w:id="40" w:name="ref-hackel2018"/>
    <w:p>
      <w:pPr>
        <w:pStyle w:val="Bibliography"/>
      </w:pPr>
      <w:r>
        <w:t xml:space="preserve">[2]</w:t>
      </w:r>
      <w:r>
        <w:t xml:space="preserve"> </w:t>
      </w:r>
      <w:r>
        <w:t xml:space="preserve">	</w:t>
      </w:r>
      <w:r>
        <w:t xml:space="preserve">Hackel MA, Tsuji M, Yamano Y, Echols R, Karlowsky JA, Sahm DF. In Vitro Activity of the Siderophore Cephalosporin, Cefiderocol, against Carbapenem-Nonsusceptible and Multidrug-Resistant Isolates of Gram-Negative Bacilli Collected Worldwide in 2014 to 2016. Antimicrobial Agents and Chemotherapy 2018;62:e01968–17.</w:t>
      </w:r>
      <w:r>
        <w:t xml:space="preserve"> </w:t>
      </w:r>
      <w:hyperlink r:id="rId39">
        <w:r>
          <w:rPr>
            <w:rStyle w:val="Hyperlink"/>
          </w:rPr>
          <w:t xml:space="preserve">https://doi.org/10.1128/AAC.01968-17</w:t>
        </w:r>
      </w:hyperlink>
      <w:r>
        <w:t xml:space="preserve">.</w:t>
      </w:r>
    </w:p>
    <w:bookmarkEnd w:id="40"/>
    <w:bookmarkStart w:id="42" w:name="ref-paul2022"/>
    <w:p>
      <w:pPr>
        <w:pStyle w:val="Bibliography"/>
      </w:pPr>
      <w:r>
        <w:t xml:space="preserve">[3]</w:t>
      </w:r>
      <w:r>
        <w:t xml:space="preserve"> </w:t>
      </w:r>
      <w:r>
        <w:t xml:space="preserve">	</w:t>
      </w:r>
      <w:r>
        <w:t xml:space="preserve">Paul M, Carrara E, Retamar P, Tängdén T, Bitterman R, Bonomo RA, et al. European Society of Clinical Microbiology and Infectious Diseases (ESCMID) guidelines for the treatment of infections caused by multidrug-resistant Gram-negative bacilli (endorsed by European society of intensive care medicine). Clinical Microbiology and Infection: The Official Publication of the European Society of Clinical Microbiology and Infectious Diseases 2022;28:521–47.</w:t>
      </w:r>
      <w:r>
        <w:t xml:space="preserve"> </w:t>
      </w:r>
      <w:hyperlink r:id="rId41">
        <w:r>
          <w:rPr>
            <w:rStyle w:val="Hyperlink"/>
          </w:rPr>
          <w:t xml:space="preserve">https://doi.org/10.1016/j.cmi.2021.11.025</w:t>
        </w:r>
      </w:hyperlink>
      <w:r>
        <w:t xml:space="preserve">.</w:t>
      </w:r>
    </w:p>
    <w:bookmarkEnd w:id="42"/>
    <w:bookmarkStart w:id="44" w:name="ref-tamma2024"/>
    <w:p>
      <w:pPr>
        <w:pStyle w:val="Bibliography"/>
      </w:pPr>
      <w:r>
        <w:t xml:space="preserve">[4]</w:t>
      </w:r>
      <w:r>
        <w:t xml:space="preserve"> </w:t>
      </w:r>
      <w:r>
        <w:t xml:space="preserve">	</w:t>
      </w:r>
      <w:r>
        <w:t xml:space="preserve">Tamma PD, Heil EL, Justo JA, Mathers AJ, Satlin MJ, Bonomo RA. Infectious diseases society of america 2024 guidance on the treatment of antimicrobial-resistant gram-negative infections. Clinical Infectious Diseases 2024:ciae403.</w:t>
      </w:r>
      <w:r>
        <w:t xml:space="preserve"> </w:t>
      </w:r>
      <w:hyperlink r:id="rId43">
        <w:r>
          <w:rPr>
            <w:rStyle w:val="Hyperlink"/>
          </w:rPr>
          <w:t xml:space="preserve">https://doi.org/10.1093/cid/ciae403</w:t>
        </w:r>
      </w:hyperlink>
      <w:r>
        <w:t xml:space="preserve">.</w:t>
      </w:r>
    </w:p>
    <w:bookmarkEnd w:id="44"/>
    <w:bookmarkStart w:id="46" w:name="ref-carrara2022"/>
    <w:p>
      <w:pPr>
        <w:pStyle w:val="Bibliography"/>
      </w:pPr>
      <w:r>
        <w:t xml:space="preserve">[5]</w:t>
      </w:r>
      <w:r>
        <w:t xml:space="preserve"> </w:t>
      </w:r>
      <w:r>
        <w:t xml:space="preserve">	</w:t>
      </w:r>
      <w:r>
        <w:t xml:space="preserve">Carrara E, Savoldi A, Piddock LJV, Franceschi F, Ellis S, Sharland M, et al. Clinical management of severe infections caused by carbapenem-resistant gram-negative bacteria: a worldwide cross-sectional survey addressing the use of antibiotic combinations. Clinical Microbiology and Infection: The Official Publication of the European Society of Clinical Microbiology and Infectious Diseases 2022;28:66–72.</w:t>
      </w:r>
      <w:r>
        <w:t xml:space="preserve"> </w:t>
      </w:r>
      <w:hyperlink r:id="rId45">
        <w:r>
          <w:rPr>
            <w:rStyle w:val="Hyperlink"/>
          </w:rPr>
          <w:t xml:space="preserve">https://doi.org/10.1016/j.cmi.2021.05.002</w:t>
        </w:r>
      </w:hyperlink>
      <w:r>
        <w:t xml:space="preserve">.</w:t>
      </w:r>
    </w:p>
    <w:bookmarkEnd w:id="46"/>
    <w:bookmarkStart w:id="48" w:name="ref-tsuji2016"/>
    <w:p>
      <w:pPr>
        <w:pStyle w:val="Bibliography"/>
      </w:pPr>
      <w:r>
        <w:t xml:space="preserve">[6]</w:t>
      </w:r>
      <w:r>
        <w:t xml:space="preserve"> </w:t>
      </w:r>
      <w:r>
        <w:t xml:space="preserve">	</w:t>
      </w:r>
      <w:r>
        <w:t xml:space="preserve">Abdul-Mutakabbir JC, Nguyen L, Stamper K, Maassen P, Lev K, Morrisette T, et al. 1295. Activity of SPR206, a polymyxin b derivative, compared to colistin alone and in combination against multidrug-resistant pseudomonas aeruginosa strains. Open Forum Infectious Diseases 2020;7:S662–3.</w:t>
      </w:r>
      <w:r>
        <w:t xml:space="preserve"> </w:t>
      </w:r>
      <w:hyperlink r:id="rId47">
        <w:r>
          <w:rPr>
            <w:rStyle w:val="Hyperlink"/>
          </w:rPr>
          <w:t xml:space="preserve">https://doi.org/10.1093/ofid/ofaa439.1478</w:t>
        </w:r>
      </w:hyperlink>
      <w:r>
        <w:t xml:space="preserve">.</w:t>
      </w:r>
    </w:p>
    <w:bookmarkEnd w:id="48"/>
    <w:bookmarkStart w:id="50" w:name="ref-palombo2023"/>
    <w:p>
      <w:pPr>
        <w:pStyle w:val="Bibliography"/>
      </w:pPr>
      <w:r>
        <w:t xml:space="preserve">[7]</w:t>
      </w:r>
      <w:r>
        <w:t xml:space="preserve"> </w:t>
      </w:r>
      <w:r>
        <w:t xml:space="preserve">	</w:t>
      </w:r>
      <w:r>
        <w:t xml:space="preserve">Palombo M, Bovo F, Amadesi S, Gaibani P. Synergistic Activity of Cefiderocol in Combination with Piperacillin-Tazobactam, Fosfomycin, Ampicillin-Sulbactam, Imipenem-Relebactam and Ceftazidime-Avibactam against Carbapenem-Resistant Gram-Negative Bacteria. Antibiotics 2023;12:858.</w:t>
      </w:r>
      <w:r>
        <w:t xml:space="preserve"> </w:t>
      </w:r>
      <w:hyperlink r:id="rId49">
        <w:r>
          <w:rPr>
            <w:rStyle w:val="Hyperlink"/>
          </w:rPr>
          <w:t xml:space="preserve">https://doi.org/10.3390/antibiotics12050858</w:t>
        </w:r>
      </w:hyperlink>
      <w:r>
        <w:t xml:space="preserve">.</w:t>
      </w:r>
    </w:p>
    <w:bookmarkEnd w:id="50"/>
    <w:bookmarkStart w:id="52" w:name="ref-kohira2020"/>
    <w:p>
      <w:pPr>
        <w:pStyle w:val="Bibliography"/>
      </w:pPr>
      <w:r>
        <w:t xml:space="preserve">[8]</w:t>
      </w:r>
      <w:r>
        <w:t xml:space="preserve"> </w:t>
      </w:r>
      <w:r>
        <w:t xml:space="preserve">	</w:t>
      </w:r>
      <w:r>
        <w:t xml:space="preserve">Kohira N, Hackel MA, Ishioka Y, Kuroiwa M, Sahm DF, Sato T, et al. Reduced susceptibility mechanism to cefiderocol, a siderophore cephalosporin, among clinical isolates from a global surveillance programme (SIDERO-WT-2014). Journal of Global Antimicrobial Resistance 2020;22:738–41.</w:t>
      </w:r>
      <w:r>
        <w:t xml:space="preserve"> </w:t>
      </w:r>
      <w:hyperlink r:id="rId51">
        <w:r>
          <w:rPr>
            <w:rStyle w:val="Hyperlink"/>
          </w:rPr>
          <w:t xml:space="preserve">https://doi.org/10.1016/j.jgar.2020.07.009</w:t>
        </w:r>
      </w:hyperlink>
      <w:r>
        <w:t xml:space="preserve">.</w:t>
      </w:r>
    </w:p>
    <w:bookmarkEnd w:id="52"/>
    <w:bookmarkStart w:id="54" w:name="ref-yamano2020"/>
    <w:p>
      <w:pPr>
        <w:pStyle w:val="Bibliography"/>
      </w:pPr>
      <w:r>
        <w:t xml:space="preserve">[9]</w:t>
      </w:r>
      <w:r>
        <w:t xml:space="preserve"> </w:t>
      </w:r>
      <w:r>
        <w:t xml:space="preserve">	</w:t>
      </w:r>
      <w:r>
        <w:t xml:space="preserve">Yamano Y, Takemura M, Anan N, Nakamura R, Echols R. 1626. Synergistic effect of cefiderocol with other antibiotics against PER-producing acinetobacter baumannii isolates from the multinational SIDERO-WT studies. Open Forum Infectious Diseases 2020;7:S805.</w:t>
      </w:r>
      <w:r>
        <w:t xml:space="preserve"> </w:t>
      </w:r>
      <w:hyperlink r:id="rId53">
        <w:r>
          <w:rPr>
            <w:rStyle w:val="Hyperlink"/>
          </w:rPr>
          <w:t xml:space="preserve">https://doi.org/10.1093/ofid/ofaa439.1806</w:t>
        </w:r>
      </w:hyperlink>
      <w:r>
        <w:t xml:space="preserve">.</w:t>
      </w:r>
    </w:p>
    <w:bookmarkEnd w:id="54"/>
    <w:bookmarkStart w:id="56" w:name="ref-lewis2024"/>
    <w:p>
      <w:pPr>
        <w:pStyle w:val="Bibliography"/>
      </w:pPr>
      <w:r>
        <w:t xml:space="preserve">[10]</w:t>
      </w:r>
      <w:r>
        <w:t xml:space="preserve"> </w:t>
      </w:r>
      <w:r>
        <w:t xml:space="preserve">	</w:t>
      </w:r>
      <w:r>
        <w:t xml:space="preserve">Lewis RE, Palombo M, Diani E, Secci B, Gibellini D, Gaibani P. Synergistic Activity of Cefiderocol in Combination with Avibactam, Sulbactam or Tazobactam against Carbapenem-Resistant Gram-Negative Bacteria. Cells 2024;13:1315.</w:t>
      </w:r>
      <w:r>
        <w:t xml:space="preserve"> </w:t>
      </w:r>
      <w:hyperlink r:id="rId55">
        <w:r>
          <w:rPr>
            <w:rStyle w:val="Hyperlink"/>
          </w:rPr>
          <w:t xml:space="preserve">https://doi.org/10.3390/cells13161315</w:t>
        </w:r>
      </w:hyperlink>
      <w:r>
        <w:t xml:space="preserve">.</w:t>
      </w:r>
    </w:p>
    <w:bookmarkEnd w:id="56"/>
    <w:bookmarkStart w:id="58" w:name="ref-giordano2024"/>
    <w:p>
      <w:pPr>
        <w:pStyle w:val="Bibliography"/>
      </w:pPr>
      <w:r>
        <w:t xml:space="preserve">[11]</w:t>
      </w:r>
      <w:r>
        <w:t xml:space="preserve"> </w:t>
      </w:r>
      <w:r>
        <w:t xml:space="preserve">	</w:t>
      </w:r>
      <w:r>
        <w:t xml:space="preserve">Giordano C, Barnini S. Glycine restores the sensitivity to antibiotics in multidrug-resistant bacteria. Microbiology Spectrum 2024;12:e00164–24.</w:t>
      </w:r>
      <w:r>
        <w:t xml:space="preserve"> </w:t>
      </w:r>
      <w:hyperlink r:id="rId57">
        <w:r>
          <w:rPr>
            <w:rStyle w:val="Hyperlink"/>
          </w:rPr>
          <w:t xml:space="preserve">https://doi.org/10.1128/spectrum.00164-24</w:t>
        </w:r>
      </w:hyperlink>
      <w:r>
        <w:t xml:space="preserve">.</w:t>
      </w:r>
    </w:p>
    <w:bookmarkEnd w:id="58"/>
    <w:bookmarkStart w:id="60" w:name="ref-leterrier2024"/>
    <w:p>
      <w:pPr>
        <w:pStyle w:val="Bibliography"/>
      </w:pPr>
      <w:r>
        <w:t xml:space="preserve">[12]</w:t>
      </w:r>
      <w:r>
        <w:t xml:space="preserve"> </w:t>
      </w:r>
      <w:r>
        <w:t xml:space="preserve">	</w:t>
      </w:r>
      <w:r>
        <w:t xml:space="preserve">Le Terrier C, Freire S, Nordmann P, Poirel L. Multidrug-resistant Gram-negative clinical isolates with reduced susceptibility/resistance to cefiderocol: which are the best present and future therapeutic alternatives? European Journal of Clinical Microbiology &amp; Infectious Diseases 2024;43:339–54.</w:t>
      </w:r>
      <w:r>
        <w:t xml:space="preserve"> </w:t>
      </w:r>
      <w:hyperlink r:id="rId59">
        <w:r>
          <w:rPr>
            <w:rStyle w:val="Hyperlink"/>
          </w:rPr>
          <w:t xml:space="preserve">https://doi.org/10.1007/s10096-023-04732-4</w:t>
        </w:r>
      </w:hyperlink>
      <w:r>
        <w:t xml:space="preserve">.</w:t>
      </w:r>
    </w:p>
    <w:bookmarkEnd w:id="60"/>
    <w:bookmarkStart w:id="62" w:name="ref-xu2025"/>
    <w:p>
      <w:pPr>
        <w:pStyle w:val="Bibliography"/>
      </w:pPr>
      <w:r>
        <w:t xml:space="preserve">[13]</w:t>
      </w:r>
      <w:r>
        <w:t xml:space="preserve"> </w:t>
      </w:r>
      <w:r>
        <w:t xml:space="preserve">	</w:t>
      </w:r>
      <w:r>
        <w:t xml:space="preserve">Xu C, Li X, Zhang G, Li C, You J, Zhang C, et al. Zidebactam restores cefiderocol sensitivity in resistant bacteria. Journal of Infection 2025;90:106417.</w:t>
      </w:r>
      <w:r>
        <w:t xml:space="preserve"> </w:t>
      </w:r>
      <w:hyperlink r:id="rId61">
        <w:r>
          <w:rPr>
            <w:rStyle w:val="Hyperlink"/>
          </w:rPr>
          <w:t xml:space="preserve">https://doi.org/10.1016/j.jinf.2025.106417</w:t>
        </w:r>
      </w:hyperlink>
      <w:r>
        <w:t xml:space="preserve">.</w:t>
      </w:r>
    </w:p>
    <w:bookmarkEnd w:id="62"/>
    <w:bookmarkStart w:id="64" w:name="ref-hara2025"/>
    <w:p>
      <w:pPr>
        <w:pStyle w:val="Bibliography"/>
      </w:pPr>
      <w:r>
        <w:t xml:space="preserve">[14]</w:t>
      </w:r>
      <w:r>
        <w:t xml:space="preserve"> </w:t>
      </w:r>
      <w:r>
        <w:t xml:space="preserve">	</w:t>
      </w:r>
      <w:r>
        <w:t xml:space="preserve">Hara T, Ishibashi N, Miyagawa D, Onishi M, Lomovskaya O, Yamano Y. 514. The impact of xeruborbactam on in vitro activity of cefiderocol against a panel of acinetobacter baumannii enriched in isolates with reduced cefiderocol susceptibility. Open Forum Infectious Diseases 2025;12:ofae631.166.</w:t>
      </w:r>
      <w:r>
        <w:t xml:space="preserve"> </w:t>
      </w:r>
      <w:hyperlink r:id="rId63">
        <w:r>
          <w:rPr>
            <w:rStyle w:val="Hyperlink"/>
          </w:rPr>
          <w:t xml:space="preserve">https://doi.org/10.1093/ofid/ofae631.166</w:t>
        </w:r>
      </w:hyperlink>
      <w:r>
        <w:t xml:space="preserve">.</w:t>
      </w:r>
    </w:p>
    <w:bookmarkEnd w:id="64"/>
    <w:bookmarkStart w:id="66" w:name="ref-hara2025a"/>
    <w:p>
      <w:pPr>
        <w:pStyle w:val="Bibliography"/>
      </w:pPr>
      <w:r>
        <w:t xml:space="preserve">[15]</w:t>
      </w:r>
      <w:r>
        <w:t xml:space="preserve"> </w:t>
      </w:r>
      <w:r>
        <w:t xml:space="preserve">	</w:t>
      </w:r>
      <w:r>
        <w:t xml:space="preserve">Hara T, Ishibashi N, Miyagawa D, Onishi M, Lomovskaya O, Yamano Y. P-1110. The Impact of Xeruborbactam on in vitro Activity of Cefiderocol against a Panel of Enterobacterales Enriched with Isolates with Reduced Cefiderocol Susceptibility. Open Forum Infectious Diseases 2025;12:ofae631.1298.</w:t>
      </w:r>
      <w:r>
        <w:t xml:space="preserve"> </w:t>
      </w:r>
      <w:hyperlink r:id="rId65">
        <w:r>
          <w:rPr>
            <w:rStyle w:val="Hyperlink"/>
          </w:rPr>
          <w:t xml:space="preserve">https://doi.org/10.1093/ofid/ofae631.1298</w:t>
        </w:r>
      </w:hyperlink>
      <w:r>
        <w:t xml:space="preserve">.</w:t>
      </w:r>
    </w:p>
    <w:bookmarkEnd w:id="66"/>
    <w:bookmarkStart w:id="67" w:name="ref-abdul-mutakabbir2020"/>
    <w:p>
      <w:pPr>
        <w:pStyle w:val="Bibliography"/>
      </w:pPr>
      <w:r>
        <w:t xml:space="preserve">[16]</w:t>
      </w:r>
      <w:r>
        <w:t xml:space="preserve"> </w:t>
      </w:r>
      <w:r>
        <w:t xml:space="preserve">	</w:t>
      </w:r>
      <w:r>
        <w:t xml:space="preserve">Abdul-Mutakabbir JC, Nguyen L, Stamper K, Maassen P, Lev K, Morrisette T, et al. 1295. Activity of SPR206, a polymyxin b derivative, compared to colistin alone and in combination against multidrug-resistant pseudomonas aeruginosa strains. Open Forum Infectious Diseases 2020;7:S662–3.</w:t>
      </w:r>
      <w:r>
        <w:t xml:space="preserve"> </w:t>
      </w:r>
      <w:hyperlink r:id="rId47">
        <w:r>
          <w:rPr>
            <w:rStyle w:val="Hyperlink"/>
          </w:rPr>
          <w:t xml:space="preserve">https://doi.org/10.1093/ofid/ofaa439.1478</w:t>
        </w:r>
      </w:hyperlink>
      <w:r>
        <w:t xml:space="preserve">.</w:t>
      </w:r>
    </w:p>
    <w:bookmarkEnd w:id="67"/>
    <w:bookmarkStart w:id="69" w:name="ref-ni2022"/>
    <w:p>
      <w:pPr>
        <w:pStyle w:val="Bibliography"/>
      </w:pPr>
      <w:r>
        <w:t xml:space="preserve">[17]</w:t>
      </w:r>
      <w:r>
        <w:t xml:space="preserve"> </w:t>
      </w:r>
      <w:r>
        <w:t xml:space="preserve">	</w:t>
      </w:r>
      <w:r>
        <w:t xml:space="preserve">Ni W, Wang Y, Ma X, He Y, Zhao J, Guan J, et al. In vitro and in vivo efficacy of cefiderocol plus tigecycline, colistin, or meropenem against carbapenem-resistant Acinetobacter baumannii. European Journal of Clinical Microbiology &amp; Infectious Diseases 2022;41:1451–7.</w:t>
      </w:r>
      <w:r>
        <w:t xml:space="preserve"> </w:t>
      </w:r>
      <w:hyperlink r:id="rId68">
        <w:r>
          <w:rPr>
            <w:rStyle w:val="Hyperlink"/>
          </w:rPr>
          <w:t xml:space="preserve">https://doi.org/10.1007/s10096-022-04503-7</w:t>
        </w:r>
      </w:hyperlink>
      <w:r>
        <w:t xml:space="preserve">.</w:t>
      </w:r>
    </w:p>
    <w:bookmarkEnd w:id="69"/>
    <w:bookmarkStart w:id="71" w:name="ref-yin2025"/>
    <w:p>
      <w:pPr>
        <w:pStyle w:val="Bibliography"/>
      </w:pPr>
      <w:r>
        <w:t xml:space="preserve">[18]</w:t>
      </w:r>
      <w:r>
        <w:t xml:space="preserve"> </w:t>
      </w:r>
      <w:r>
        <w:t xml:space="preserve">	</w:t>
      </w:r>
      <w:r>
        <w:t xml:space="preserve">Yin Y, Xu N, Wang X. Activity of cefiderocol in combination with tetracycline analogues against carbapenem-resistant Acinetobacter baumannii. The Journal of Antibiotics 2025;78:190–6.</w:t>
      </w:r>
      <w:r>
        <w:t xml:space="preserve"> </w:t>
      </w:r>
      <w:hyperlink r:id="rId70">
        <w:r>
          <w:rPr>
            <w:rStyle w:val="Hyperlink"/>
          </w:rPr>
          <w:t xml:space="preserve">https://doi.org/10.1038/s41429-024-00801-8</w:t>
        </w:r>
      </w:hyperlink>
      <w:r>
        <w:t xml:space="preserve">.</w:t>
      </w:r>
    </w:p>
    <w:bookmarkEnd w:id="71"/>
    <w:bookmarkStart w:id="72" w:name="ref-stolfa2021"/>
    <w:p>
      <w:pPr>
        <w:pStyle w:val="Bibliography"/>
      </w:pPr>
      <w:r>
        <w:t xml:space="preserve">[19]</w:t>
      </w:r>
      <w:r>
        <w:t xml:space="preserve"> </w:t>
      </w:r>
      <w:r>
        <w:t xml:space="preserve">	</w:t>
      </w:r>
      <w:r>
        <w:t xml:space="preserve">Stolfa S, Romanelli F, Ronga L, Bavaro DF, Stufano M, Dalfino L, et al. In vitro activity of cefiderocol in combination with colistin, fosfomycin and tigecycline against</w:t>
      </w:r>
      <w:r>
        <w:t xml:space="preserve"> </w:t>
      </w:r>
      <w:r>
        <w:rPr>
          <w:i/>
          <w:iCs/>
        </w:rPr>
        <w:t xml:space="preserve">acinetobacter baumannii</w:t>
      </w:r>
      <w:r>
        <w:t xml:space="preserve">. Abstracts of the 31st european congress of clinical microbiology &amp; infectious diseases (ECCMID), Online: 2021.</w:t>
      </w:r>
    </w:p>
    <w:bookmarkEnd w:id="72"/>
    <w:bookmarkStart w:id="74" w:name="ref-bianco2022"/>
    <w:p>
      <w:pPr>
        <w:pStyle w:val="Bibliography"/>
      </w:pPr>
      <w:r>
        <w:t xml:space="preserve">[20]</w:t>
      </w:r>
      <w:r>
        <w:t xml:space="preserve"> </w:t>
      </w:r>
      <w:r>
        <w:t xml:space="preserve">	</w:t>
      </w:r>
      <w:r>
        <w:t xml:space="preserve">Bianco G, Gaibani P, Comini S, Boattini M, Banche G, Costa C, et al. Synergistic Effect of Clinically Available Beta-Lactamase Inhibitors Combined with Cefiderocol against Carbapenemase-Producing Gram-Negative Organisms. Antibiotics (Basel, Switzerland) 2022;11:1681.</w:t>
      </w:r>
      <w:r>
        <w:t xml:space="preserve"> </w:t>
      </w:r>
      <w:hyperlink r:id="rId73">
        <w:r>
          <w:rPr>
            <w:rStyle w:val="Hyperlink"/>
          </w:rPr>
          <w:t xml:space="preserve">https://doi.org/10.3390/antibiotics11121681</w:t>
        </w:r>
      </w:hyperlink>
      <w:r>
        <w:t xml:space="preserve">.</w:t>
      </w:r>
    </w:p>
    <w:bookmarkEnd w:id="74"/>
    <w:bookmarkStart w:id="76" w:name="ref-gopikrishnan2023"/>
    <w:p>
      <w:pPr>
        <w:pStyle w:val="Bibliography"/>
      </w:pPr>
      <w:r>
        <w:t xml:space="preserve">[21]</w:t>
      </w:r>
      <w:r>
        <w:t xml:space="preserve"> </w:t>
      </w:r>
      <w:r>
        <w:t xml:space="preserve">	</w:t>
      </w:r>
      <w:r>
        <w:t xml:space="preserve">Gopikrishnan M, Ramireddy S, Varghese RP, Bakathavatchalam YD, D TK, Manesh A, et al. Determination of potential combination of non</w:t>
      </w:r>
      <w:r>
        <w:t xml:space="preserve">-</w:t>
      </w:r>
      <w:r>
        <w:t xml:space="preserve">β</w:t>
      </w:r>
      <w:r>
        <w:t xml:space="preserve">-</w:t>
      </w:r>
      <w:r>
        <w:t xml:space="preserve">lactam, β</w:t>
      </w:r>
      <w:r>
        <w:t xml:space="preserve">-</w:t>
      </w:r>
      <w:r>
        <w:t xml:space="preserve">lactam, and β</w:t>
      </w:r>
      <w:r>
        <w:t xml:space="preserve">-</w:t>
      </w:r>
      <w:r>
        <w:t xml:space="preserve">lactamase inhibitors/β</w:t>
      </w:r>
      <w:r>
        <w:t xml:space="preserve">-</w:t>
      </w:r>
      <w:r>
        <w:t xml:space="preserve">lactam enhancer against class D oxacillinases producing Acinetobacter baumannii : Evidence from in</w:t>
      </w:r>
      <w:r>
        <w:t xml:space="preserve">-</w:t>
      </w:r>
      <w:r>
        <w:t xml:space="preserve">vitro , molecular docking and dynamics simulation. Journal of Cellular Biochemistry 2023;124:974–88.</w:t>
      </w:r>
      <w:r>
        <w:t xml:space="preserve"> </w:t>
      </w:r>
      <w:hyperlink r:id="rId75">
        <w:r>
          <w:rPr>
            <w:rStyle w:val="Hyperlink"/>
          </w:rPr>
          <w:t xml:space="preserve">https://doi.org/10.1002/jcb.30424</w:t>
        </w:r>
      </w:hyperlink>
      <w:r>
        <w:t xml:space="preserve">.</w:t>
      </w:r>
    </w:p>
    <w:bookmarkEnd w:id="76"/>
    <w:bookmarkStart w:id="78" w:name="ref-huband2023"/>
    <w:p>
      <w:pPr>
        <w:pStyle w:val="Bibliography"/>
      </w:pPr>
      <w:r>
        <w:t xml:space="preserve">[22]</w:t>
      </w:r>
      <w:r>
        <w:t xml:space="preserve"> </w:t>
      </w:r>
      <w:r>
        <w:t xml:space="preserve">	</w:t>
      </w:r>
      <w:r>
        <w:t xml:space="preserve">Huband MD, Mendes RE, Morgan GM, Huynh H, Castanheira M. 2517. Activity of sulbactam-durlobactam, antibacterial combinations, and comparators against a challenge set of 66 acinetobacter baumannii-calcoaceticus species complex isolates. Open Forum Infectious Diseases 2023;10:ofad500.2135.</w:t>
      </w:r>
      <w:r>
        <w:t xml:space="preserve"> </w:t>
      </w:r>
      <w:hyperlink r:id="rId77">
        <w:r>
          <w:rPr>
            <w:rStyle w:val="Hyperlink"/>
          </w:rPr>
          <w:t xml:space="preserve">https://doi.org/10.1093/ofid/ofad500.2135</w:t>
        </w:r>
      </w:hyperlink>
      <w:r>
        <w:t xml:space="preserve">.</w:t>
      </w:r>
    </w:p>
    <w:bookmarkEnd w:id="78"/>
    <w:bookmarkStart w:id="80" w:name="ref-kobic2022"/>
    <w:p>
      <w:pPr>
        <w:pStyle w:val="Bibliography"/>
      </w:pPr>
      <w:r>
        <w:t xml:space="preserve">[23]</w:t>
      </w:r>
      <w:r>
        <w:t xml:space="preserve"> </w:t>
      </w:r>
      <w:r>
        <w:t xml:space="preserve">	</w:t>
      </w:r>
      <w:r>
        <w:t xml:space="preserve">Kobic E, Abouelhassan Y, Singaravelu K, Nicolau DP. Pharmacokinetic Analysis and In Vitro Synergy Evaluation of Cefiderocol, Sulbactam, and Tigecycline in an Extensively Drug-Resistant Acinetobacter baumannii Pneumonia Patient Receiving Continuous Venovenous Hemodiafiltration. Open Forum Infectious Diseases 2022;9:ofac484.</w:t>
      </w:r>
      <w:r>
        <w:t xml:space="preserve"> </w:t>
      </w:r>
      <w:hyperlink r:id="rId79">
        <w:r>
          <w:rPr>
            <w:rStyle w:val="Hyperlink"/>
          </w:rPr>
          <w:t xml:space="preserve">https://doi.org/10.1093/ofid/ofac484</w:t>
        </w:r>
      </w:hyperlink>
      <w:r>
        <w:t xml:space="preserve">.</w:t>
      </w:r>
    </w:p>
    <w:bookmarkEnd w:id="80"/>
    <w:bookmarkStart w:id="82" w:name="ref-wong2024"/>
    <w:p>
      <w:pPr>
        <w:pStyle w:val="Bibliography"/>
      </w:pPr>
      <w:r>
        <w:t xml:space="preserve">[24]</w:t>
      </w:r>
      <w:r>
        <w:t xml:space="preserve"> </w:t>
      </w:r>
      <w:r>
        <w:t xml:space="preserve">	</w:t>
      </w:r>
      <w:r>
        <w:t xml:space="preserve">Wong O, Mezcord V, Lopez C, Traglia GM, Pasteran F, Tuttobene MR, et al. Hetero-antagonism of avibactam and sulbactam with cefiderocol in carbapenem-resistant</w:t>
      </w:r>
      <w:r>
        <w:t xml:space="preserve"> </w:t>
      </w:r>
      <w:r>
        <w:rPr>
          <w:i/>
          <w:iCs/>
        </w:rPr>
        <w:t xml:space="preserve">Acinetobacter</w:t>
      </w:r>
      <w:r>
        <w:t xml:space="preserve"> </w:t>
      </w:r>
      <w:r>
        <w:t xml:space="preserve">spp. Microbiology Spectrum 2024;12:e00930–24.</w:t>
      </w:r>
      <w:r>
        <w:t xml:space="preserve"> </w:t>
      </w:r>
      <w:hyperlink r:id="rId81">
        <w:r>
          <w:rPr>
            <w:rStyle w:val="Hyperlink"/>
          </w:rPr>
          <w:t xml:space="preserve">https://doi.org/10.1128/spectrum.00930-24</w:t>
        </w:r>
      </w:hyperlink>
      <w:r>
        <w:t xml:space="preserve">.</w:t>
      </w:r>
    </w:p>
    <w:bookmarkEnd w:id="82"/>
    <w:bookmarkStart w:id="84" w:name="ref-you2025"/>
    <w:p>
      <w:pPr>
        <w:pStyle w:val="Bibliography"/>
      </w:pPr>
      <w:r>
        <w:t xml:space="preserve">[25]</w:t>
      </w:r>
      <w:r>
        <w:t xml:space="preserve"> </w:t>
      </w:r>
      <w:r>
        <w:t xml:space="preserve">	</w:t>
      </w:r>
      <w:r>
        <w:t xml:space="preserve">You K, Binte Mohamed Yazid N, Chong LM, Hooi L, Wang P, Zhuang I, et al. Flash optimization of drug combinations for Acinetobacter baumannii with IDentif.AI-AMR. Npj Antimicrobials and Resistance 2025;3:12.</w:t>
      </w:r>
      <w:r>
        <w:t xml:space="preserve"> </w:t>
      </w:r>
      <w:hyperlink r:id="rId83">
        <w:r>
          <w:rPr>
            <w:rStyle w:val="Hyperlink"/>
          </w:rPr>
          <w:t xml:space="preserve">https://doi.org/10.1038/s44259-025-00079-2</w:t>
        </w:r>
      </w:hyperlink>
      <w:r>
        <w:t xml:space="preserve">.</w:t>
      </w:r>
    </w:p>
    <w:bookmarkEnd w:id="84"/>
    <w:bookmarkStart w:id="86" w:name="ref-bianco2022a"/>
    <w:p>
      <w:pPr>
        <w:pStyle w:val="Bibliography"/>
      </w:pPr>
      <w:r>
        <w:t xml:space="preserve">[26]</w:t>
      </w:r>
      <w:r>
        <w:t xml:space="preserve"> </w:t>
      </w:r>
      <w:r>
        <w:t xml:space="preserve">	</w:t>
      </w:r>
      <w:r>
        <w:t xml:space="preserve">Bianco G, Boattini M, Comini S, Casale R, Iannaccone M, Cavallo R, et al. Occurrence of multi-carbapenemases producers among carbapenemase-producing Enterobacterales and in vitro activity of combinations including cefiderocol, ceftazidime-avibactam, meropenem-vaborbactam, and aztreonam in the COVID-19 era. European Journal of Clinical Microbiology &amp; Infectious Diseases 2022;41:573–80.</w:t>
      </w:r>
      <w:r>
        <w:t xml:space="preserve"> </w:t>
      </w:r>
      <w:hyperlink r:id="rId85">
        <w:r>
          <w:rPr>
            <w:rStyle w:val="Hyperlink"/>
          </w:rPr>
          <w:t xml:space="preserve">https://doi.org/10.1007/s10096-022-04408-5</w:t>
        </w:r>
      </w:hyperlink>
      <w:r>
        <w:t xml:space="preserve">.</w:t>
      </w:r>
    </w:p>
    <w:bookmarkEnd w:id="86"/>
    <w:bookmarkStart w:id="88" w:name="ref-göpel2024"/>
    <w:p>
      <w:pPr>
        <w:pStyle w:val="Bibliography"/>
      </w:pPr>
      <w:r>
        <w:t xml:space="preserve">[27]</w:t>
      </w:r>
      <w:r>
        <w:t xml:space="preserve"> </w:t>
      </w:r>
      <w:r>
        <w:t xml:space="preserve">	</w:t>
      </w:r>
      <w:r>
        <w:t xml:space="preserve">Göpel L, Tran Nguyen MT, Tran Thanh T, Hauswaldt S, Nur Canbulat Ö, Rupp J, et al. Delaying cefiderocol resistance development in NDM-producing enterobacter cloacae complex by combining cefiderocol with aztreonam in vitro. bioRxiv 2024.</w:t>
      </w:r>
      <w:r>
        <w:t xml:space="preserve"> </w:t>
      </w:r>
      <w:hyperlink r:id="rId87">
        <w:r>
          <w:rPr>
            <w:rStyle w:val="Hyperlink"/>
          </w:rPr>
          <w:t xml:space="preserve">https://doi.org/10.1101/2024.02.13.579981</w:t>
        </w:r>
      </w:hyperlink>
      <w:r>
        <w:t xml:space="preserve">.</w:t>
      </w:r>
    </w:p>
    <w:bookmarkEnd w:id="88"/>
    <w:bookmarkStart w:id="90" w:name="ref-boattini2023"/>
    <w:p>
      <w:pPr>
        <w:pStyle w:val="Bibliography"/>
      </w:pPr>
      <w:r>
        <w:t xml:space="preserve">[28]</w:t>
      </w:r>
      <w:r>
        <w:t xml:space="preserve"> </w:t>
      </w:r>
      <w:r>
        <w:t xml:space="preserve">	</w:t>
      </w:r>
      <w:r>
        <w:t xml:space="preserve">Boattini M, Comini S, Bianco G, Iannaccone M, Casale R, Cavallo R, et al. Activity of cefiderocol and synergy of novel β-lactam-β-lactamase inhibitor-based combinations against metallo-β-lactamase-producing gram-negative bacilli: insights from a two-year study (2019-2020). Journal of Chemotherapy (Florence, Italy) 2023;35:198–204.</w:t>
      </w:r>
      <w:r>
        <w:t xml:space="preserve"> </w:t>
      </w:r>
      <w:hyperlink r:id="rId89">
        <w:r>
          <w:rPr>
            <w:rStyle w:val="Hyperlink"/>
          </w:rPr>
          <w:t xml:space="preserve">https://doi.org/10.1080/1120009X.2022.2090615</w:t>
        </w:r>
      </w:hyperlink>
      <w:r>
        <w:t xml:space="preserve">.</w:t>
      </w:r>
    </w:p>
    <w:bookmarkEnd w:id="90"/>
    <w:bookmarkStart w:id="92" w:name="ref-moon2023"/>
    <w:p>
      <w:pPr>
        <w:pStyle w:val="Bibliography"/>
      </w:pPr>
      <w:r>
        <w:t xml:space="preserve">[29]</w:t>
      </w:r>
      <w:r>
        <w:t xml:space="preserve"> </w:t>
      </w:r>
      <w:r>
        <w:t xml:space="preserve">	</w:t>
      </w:r>
      <w:r>
        <w:t xml:space="preserve">Moon SH, Huang E. Cefiderocol Resistance in Klebsiella pneumoniae Is Linked to SHV Extended-Spectrum β-Lactamase Activities and Functional Loss of the Outer Membrane Porin OmpK35. Microbiology Spectrum 2023;11:e03496–22.</w:t>
      </w:r>
      <w:r>
        <w:t xml:space="preserve"> </w:t>
      </w:r>
      <w:hyperlink r:id="rId91">
        <w:r>
          <w:rPr>
            <w:rStyle w:val="Hyperlink"/>
          </w:rPr>
          <w:t xml:space="preserve">https://doi.org/10.1128/spectrum.03496-22</w:t>
        </w:r>
      </w:hyperlink>
      <w:r>
        <w:t xml:space="preserve">.</w:t>
      </w:r>
    </w:p>
    <w:bookmarkEnd w:id="92"/>
    <w:bookmarkStart w:id="94" w:name="ref-daoud2023"/>
    <w:p>
      <w:pPr>
        <w:pStyle w:val="Bibliography"/>
      </w:pPr>
      <w:r>
        <w:t xml:space="preserve">[30]</w:t>
      </w:r>
      <w:r>
        <w:t xml:space="preserve"> </w:t>
      </w:r>
      <w:r>
        <w:t xml:space="preserve">	</w:t>
      </w:r>
      <w:r>
        <w:t xml:space="preserve">Daoud L, Al-Marzooq F, Ghazawi A, Anes F, Collyns T. High efficacy and enhanced synergistic activity of the novel siderophore-cephalosporin cefiderocol against multidrug-resistant and extensively drug-resistant Klebsiella pneumoniae from inpatients attending a single hospital in the United Arab Emirates. Journal of Infection and Public Health 2023;16:33–44.</w:t>
      </w:r>
      <w:r>
        <w:t xml:space="preserve"> </w:t>
      </w:r>
      <w:hyperlink r:id="rId93">
        <w:r>
          <w:rPr>
            <w:rStyle w:val="Hyperlink"/>
          </w:rPr>
          <w:t xml:space="preserve">https://doi.org/10.1016/j.jiph.2023.11.003</w:t>
        </w:r>
      </w:hyperlink>
      <w:r>
        <w:t xml:space="preserve">.</w:t>
      </w:r>
    </w:p>
    <w:bookmarkEnd w:id="94"/>
    <w:bookmarkStart w:id="96" w:name="ref-granata2025"/>
    <w:p>
      <w:pPr>
        <w:pStyle w:val="Bibliography"/>
      </w:pPr>
      <w:r>
        <w:t xml:space="preserve">[31]</w:t>
      </w:r>
      <w:r>
        <w:t xml:space="preserve"> </w:t>
      </w:r>
      <w:r>
        <w:t xml:space="preserve">	</w:t>
      </w:r>
      <w:r>
        <w:t xml:space="preserve">Granata G, Venditti C, Rotondo C, Dimartino V, D’Arezzo S, Gallo A, et al. Combating Metallo-β-Lactamase-Producing Pseudomonas aeruginosa: The Fractional Inhibitory Concentration Index as a Tool to Evaluate Antibiotic Synergy. Antibiotics 2025;14:210.</w:t>
      </w:r>
      <w:r>
        <w:t xml:space="preserve"> </w:t>
      </w:r>
      <w:hyperlink r:id="rId95">
        <w:r>
          <w:rPr>
            <w:rStyle w:val="Hyperlink"/>
          </w:rPr>
          <w:t xml:space="preserve">https://doi.org/10.3390/antibiotics14020210</w:t>
        </w:r>
      </w:hyperlink>
      <w:r>
        <w:t xml:space="preserve">.</w:t>
      </w:r>
    </w:p>
    <w:bookmarkEnd w:id="96"/>
    <w:bookmarkStart w:id="98" w:name="ref-ferretti2024"/>
    <w:p>
      <w:pPr>
        <w:pStyle w:val="Bibliography"/>
      </w:pPr>
      <w:r>
        <w:t xml:space="preserve">[32]</w:t>
      </w:r>
      <w:r>
        <w:t xml:space="preserve"> </w:t>
      </w:r>
      <w:r>
        <w:t xml:space="preserve">	</w:t>
      </w:r>
      <w:r>
        <w:t xml:space="preserve">Ferretti C, Poma NV, Bernardo M, Rindi L, Cesta N, Tavanti A, et al. Evaluation of antibiofilm activity of cefiderocol alone and in combination with imipenem against Pseudomonas aeruginosa. Journal of Global Antimicrobial Resistance 2024;37:53–61.</w:t>
      </w:r>
      <w:r>
        <w:t xml:space="preserve"> </w:t>
      </w:r>
      <w:hyperlink r:id="rId97">
        <w:r>
          <w:rPr>
            <w:rStyle w:val="Hyperlink"/>
          </w:rPr>
          <w:t xml:space="preserve">https://doi.org/10.1016/j.jgar.2024.01.021</w:t>
        </w:r>
      </w:hyperlink>
      <w:r>
        <w:t xml:space="preserve">.</w:t>
      </w:r>
    </w:p>
    <w:bookmarkEnd w:id="98"/>
    <w:bookmarkStart w:id="99" w:name="ref-elhaj2024"/>
    <w:p>
      <w:pPr>
        <w:pStyle w:val="Bibliography"/>
      </w:pPr>
      <w:r>
        <w:t xml:space="preserve">[33]</w:t>
      </w:r>
      <w:r>
        <w:t xml:space="preserve"> </w:t>
      </w:r>
      <w:r>
        <w:t xml:space="preserve">	</w:t>
      </w:r>
      <w:r>
        <w:t xml:space="preserve">El Haj C, Agustí E, Benavent E, Tubau Quintano MF, Càmara J, Rigo-Bonnin R, et al. Efficacy of cefiderocol alone and combined with colistin against biofilms by MDR/XDR</w:t>
      </w:r>
      <w:r>
        <w:t xml:space="preserve"> </w:t>
      </w:r>
      <w:r>
        <w:rPr>
          <w:i/>
          <w:iCs/>
        </w:rPr>
        <w:t xml:space="preserve">pseudomonas aeruginosa</w:t>
      </w:r>
      <w:r>
        <w:t xml:space="preserve">: A dynamic study. Abstracts of the 34th european congress of clinical microbiology &amp; infectious diseases (ECCMID), Barcelona, Spain: 2024.</w:t>
      </w:r>
    </w:p>
    <w:bookmarkEnd w:id="99"/>
    <w:bookmarkStart w:id="101" w:name="ref-schilling2024"/>
    <w:p>
      <w:pPr>
        <w:pStyle w:val="Bibliography"/>
      </w:pPr>
      <w:r>
        <w:t xml:space="preserve">[34]</w:t>
      </w:r>
      <w:r>
        <w:t xml:space="preserve"> </w:t>
      </w:r>
      <w:r>
        <w:t xml:space="preserve">	</w:t>
      </w:r>
      <w:r>
        <w:t xml:space="preserve">Schilling B, Hii M, Shanks HQ, Romanowski EG, Mandell JB, Shanks RMQ, et al. Efficacy of Cefiderocol Against Endophthalmitis Isolates. Antibiotics 2024;13:1236.</w:t>
      </w:r>
      <w:r>
        <w:t xml:space="preserve"> </w:t>
      </w:r>
      <w:hyperlink r:id="rId100">
        <w:r>
          <w:rPr>
            <w:rStyle w:val="Hyperlink"/>
          </w:rPr>
          <w:t xml:space="preserve">https://doi.org/10.3390/antibiotics13121236</w:t>
        </w:r>
      </w:hyperlink>
      <w:r>
        <w:t xml:space="preserve">.</w:t>
      </w:r>
    </w:p>
    <w:bookmarkEnd w:id="101"/>
    <w:bookmarkStart w:id="103" w:name="ref-wang2023"/>
    <w:p>
      <w:pPr>
        <w:pStyle w:val="Bibliography"/>
      </w:pPr>
      <w:r>
        <w:t xml:space="preserve">[35]</w:t>
      </w:r>
      <w:r>
        <w:t xml:space="preserve"> </w:t>
      </w:r>
      <w:r>
        <w:t xml:space="preserve">	</w:t>
      </w:r>
      <w:r>
        <w:t xml:space="preserve">Wang C, Xia Y, Wang R, Li J, Chan C-L, Kao RY-T, et al. Metallo-sideromycin as a dual functional complex for combating antimicrobial resistance. Nature Communications 2023;14:5311.</w:t>
      </w:r>
      <w:r>
        <w:t xml:space="preserve"> </w:t>
      </w:r>
      <w:hyperlink r:id="rId102">
        <w:r>
          <w:rPr>
            <w:rStyle w:val="Hyperlink"/>
          </w:rPr>
          <w:t xml:space="preserve">https://doi.org/10.1038/s41467-023-40828-3</w:t>
        </w:r>
      </w:hyperlink>
      <w:r>
        <w:t xml:space="preserve">.</w:t>
      </w:r>
    </w:p>
    <w:bookmarkEnd w:id="103"/>
    <w:bookmarkStart w:id="105" w:name="ref-biagi2020"/>
    <w:p>
      <w:pPr>
        <w:pStyle w:val="Bibliography"/>
      </w:pPr>
      <w:r>
        <w:t xml:space="preserve">[36]</w:t>
      </w:r>
      <w:r>
        <w:t xml:space="preserve"> </w:t>
      </w:r>
      <w:r>
        <w:t xml:space="preserve">	</w:t>
      </w:r>
      <w:r>
        <w:t xml:space="preserve">Biagi M, Vialichka A, Jurkovic M, Wu T, Shajee A, Lee M, et al. Activity of cefiderocol alone and in combination with levofloxacin, minocycline, polymyxin b, or trimethoprim-sulfamethoxazole against multidrug-resistant stenotrophomonas maltophilia. Antimicrobial Agents and Chemotherapy 2020;64:10.1128/aac.00559–20.</w:t>
      </w:r>
      <w:r>
        <w:t xml:space="preserve"> </w:t>
      </w:r>
      <w:hyperlink r:id="rId104">
        <w:r>
          <w:rPr>
            <w:rStyle w:val="Hyperlink"/>
          </w:rPr>
          <w:t xml:space="preserve">https://doi.org/10.1128/aac.00559-20</w:t>
        </w:r>
      </w:hyperlink>
      <w:r>
        <w:t xml:space="preserve">.</w:t>
      </w:r>
    </w:p>
    <w:bookmarkEnd w:id="105"/>
    <w:bookmarkStart w:id="107" w:name="ref-wang2022"/>
    <w:p>
      <w:pPr>
        <w:pStyle w:val="Bibliography"/>
      </w:pPr>
      <w:r>
        <w:t xml:space="preserve">[37]</w:t>
      </w:r>
      <w:r>
        <w:t xml:space="preserve"> </w:t>
      </w:r>
      <w:r>
        <w:t xml:space="preserve">	</w:t>
      </w:r>
      <w:r>
        <w:t xml:space="preserve">Wang B, Zhang L, Wang Y, Dai T, Qin Z, Zhou F, et al. Alterations in microbiota of patients with COVID-19: potential mechanisms and therapeutic interventions. Signal Transduction and Targeted Therapy 2022;7:143.</w:t>
      </w:r>
      <w:r>
        <w:t xml:space="preserve"> </w:t>
      </w:r>
      <w:hyperlink r:id="rId106">
        <w:r>
          <w:rPr>
            <w:rStyle w:val="Hyperlink"/>
          </w:rPr>
          <w:t xml:space="preserve">https://doi.org/10.1038/s41392-022-00986-0</w:t>
        </w:r>
      </w:hyperlink>
      <w:r>
        <w:t xml:space="preserve">.</w:t>
      </w:r>
    </w:p>
    <w:bookmarkEnd w:id="107"/>
    <w:bookmarkStart w:id="109" w:name="ref-ding2024"/>
    <w:p>
      <w:pPr>
        <w:pStyle w:val="Bibliography"/>
      </w:pPr>
      <w:r>
        <w:t xml:space="preserve">[38]</w:t>
      </w:r>
      <w:r>
        <w:t xml:space="preserve"> </w:t>
      </w:r>
      <w:r>
        <w:t xml:space="preserve">	</w:t>
      </w:r>
      <w:r>
        <w:t xml:space="preserve">Ding J, Wang X, Liu W, Ding C, Wu J, He R, et al. Biofilm Microenvironment Activated Antibiotic Adjuvant for Implant</w:t>
      </w:r>
      <w:r>
        <w:t xml:space="preserve">-</w:t>
      </w:r>
      <w:r>
        <w:t xml:space="preserve">Associated Infections by Systematic Iron Metabolism Interference. Advanced Science 2024;11:2400862.</w:t>
      </w:r>
      <w:r>
        <w:t xml:space="preserve"> </w:t>
      </w:r>
      <w:hyperlink r:id="rId108">
        <w:r>
          <w:rPr>
            <w:rStyle w:val="Hyperlink"/>
          </w:rPr>
          <w:t xml:space="preserve">https://doi.org/10.1002/advs.202400862</w:t>
        </w:r>
      </w:hyperlink>
      <w:r>
        <w:t xml:space="preserve">.</w:t>
      </w:r>
    </w:p>
    <w:bookmarkEnd w:id="109"/>
    <w:bookmarkStart w:id="111" w:name="ref-gill2023"/>
    <w:p>
      <w:pPr>
        <w:pStyle w:val="Bibliography"/>
      </w:pPr>
      <w:r>
        <w:t xml:space="preserve">[39]</w:t>
      </w:r>
      <w:r>
        <w:t xml:space="preserve"> </w:t>
      </w:r>
      <w:r>
        <w:t xml:space="preserve">	</w:t>
      </w:r>
      <w:r>
        <w:t xml:space="preserve">Gill CM, Santini D, Takemura M, Longshaw C, Yamano Y, Echols R, et al. In vivo efficacy &amp; resistance prevention of cefiderocol in combination with ceftazidime/avibactam, ampicillin/sulbactam or meropenem using human-simulated regimens versus Acinetobacter baumannii. The Journal of Antimicrobial Chemotherapy 2023;78:983–90.</w:t>
      </w:r>
      <w:r>
        <w:t xml:space="preserve"> </w:t>
      </w:r>
      <w:hyperlink r:id="rId110">
        <w:r>
          <w:rPr>
            <w:rStyle w:val="Hyperlink"/>
          </w:rPr>
          <w:t xml:space="preserve">https://doi.org/10.1093/jac/dkad032</w:t>
        </w:r>
      </w:hyperlink>
      <w:r>
        <w:t xml:space="preserve">.</w:t>
      </w:r>
    </w:p>
    <w:bookmarkEnd w:id="111"/>
    <w:bookmarkStart w:id="113" w:name="ref-dalfino2023"/>
    <w:p>
      <w:pPr>
        <w:pStyle w:val="Bibliography"/>
      </w:pPr>
      <w:r>
        <w:t xml:space="preserve">[40]</w:t>
      </w:r>
      <w:r>
        <w:t xml:space="preserve"> </w:t>
      </w:r>
      <w:r>
        <w:t xml:space="preserve">	</w:t>
      </w:r>
      <w:r>
        <w:t xml:space="preserve">Dalfino L, Stufano M, Bavaro DF, Diella L, Belati A, Stolfa S, et al. Effectiveness of First-Line Therapy with Old and Novel Antibiotics in Ventilator-Associated Pneumonia Caused by Carbapenem-Resistant Acinetobacter baumannii: A Real Life, Prospective, Observational, Single-Center Study. Antibiotics 2023;12:1048.</w:t>
      </w:r>
      <w:r>
        <w:t xml:space="preserve"> </w:t>
      </w:r>
      <w:hyperlink r:id="rId112">
        <w:r>
          <w:rPr>
            <w:rStyle w:val="Hyperlink"/>
          </w:rPr>
          <w:t xml:space="preserve">https://doi.org/10.3390/antibiotics12061048</w:t>
        </w:r>
      </w:hyperlink>
      <w:r>
        <w:t xml:space="preserve">.</w:t>
      </w:r>
    </w:p>
    <w:bookmarkEnd w:id="113"/>
    <w:bookmarkStart w:id="115" w:name="ref-falcone2022"/>
    <w:p>
      <w:pPr>
        <w:pStyle w:val="Bibliography"/>
      </w:pPr>
      <w:r>
        <w:t xml:space="preserve">[41]</w:t>
      </w:r>
      <w:r>
        <w:t xml:space="preserve"> </w:t>
      </w:r>
      <w:r>
        <w:t xml:space="preserve">	</w:t>
      </w:r>
      <w:r>
        <w:t xml:space="preserve">Falcone M, Tiseo G, Leonildi A, Della Sala L, Vecchione A, Barnini S, et al. Cefiderocol- compared to colistin-based regimens for the treatment of severe infections caused by carbapenem-resistant acinetobacter baumannii. Antimicrobial Agents and Chemotherapy 2022;66:e02142–21.</w:t>
      </w:r>
      <w:r>
        <w:t xml:space="preserve"> </w:t>
      </w:r>
      <w:hyperlink r:id="rId114">
        <w:r>
          <w:rPr>
            <w:rStyle w:val="Hyperlink"/>
          </w:rPr>
          <w:t xml:space="preserve">https://doi.org/10.1128/aac.02142-21</w:t>
        </w:r>
      </w:hyperlink>
      <w:r>
        <w:t xml:space="preserve">.</w:t>
      </w:r>
    </w:p>
    <w:bookmarkEnd w:id="115"/>
    <w:bookmarkStart w:id="117" w:name="ref-mazzitelli2023"/>
    <w:p>
      <w:pPr>
        <w:pStyle w:val="Bibliography"/>
      </w:pPr>
      <w:r>
        <w:t xml:space="preserve">[42]</w:t>
      </w:r>
      <w:r>
        <w:t xml:space="preserve"> </w:t>
      </w:r>
      <w:r>
        <w:t xml:space="preserve">	</w:t>
      </w:r>
      <w:r>
        <w:t xml:space="preserve">Mazzitelli M, Gregori D, Sasset L, Trevenzoli M, Scaglione V, Lo Menzo S, et al. Cefiderocol-Based versus Colistin-Based Regimens for Severe Carbapenem-Resistant Acinetobacter baumannii Infections: A Propensity Score-Weighted, Retrospective Cohort Study during the First Two Years of the COVID-19 Pandemic. Microorganisms 2023;11:984.</w:t>
      </w:r>
      <w:r>
        <w:t xml:space="preserve"> </w:t>
      </w:r>
      <w:hyperlink r:id="rId116">
        <w:r>
          <w:rPr>
            <w:rStyle w:val="Hyperlink"/>
          </w:rPr>
          <w:t xml:space="preserve">https://doi.org/10.3390/microorganisms11040984</w:t>
        </w:r>
      </w:hyperlink>
      <w:r>
        <w:t xml:space="preserve">.</w:t>
      </w:r>
    </w:p>
    <w:bookmarkEnd w:id="117"/>
    <w:bookmarkStart w:id="119" w:name="ref-russo2024"/>
    <w:p>
      <w:pPr>
        <w:pStyle w:val="Bibliography"/>
      </w:pPr>
      <w:r>
        <w:t xml:space="preserve">[43]</w:t>
      </w:r>
      <w:r>
        <w:t xml:space="preserve"> </w:t>
      </w:r>
      <w:r>
        <w:t xml:space="preserve">	</w:t>
      </w:r>
      <w:r>
        <w:t xml:space="preserve">Russo A, Gullì SP, D’Avino A, Borrazzo C, Carannante N, Dezza FC, et al. Intravenous fosfomycin for treatment of severe infections caused by carbapenem-resistant Acinetobacter baumannii: A multi-centre clinical experience. International Journal of Antimicrobial Agents 2024;64:107190.</w:t>
      </w:r>
      <w:r>
        <w:t xml:space="preserve"> </w:t>
      </w:r>
      <w:hyperlink r:id="rId118">
        <w:r>
          <w:rPr>
            <w:rStyle w:val="Hyperlink"/>
          </w:rPr>
          <w:t xml:space="preserve">https://doi.org/10.1016/j.ijantimicag.2024.107190</w:t>
        </w:r>
      </w:hyperlink>
      <w:r>
        <w:t xml:space="preserve">.</w:t>
      </w:r>
    </w:p>
    <w:bookmarkEnd w:id="119"/>
    <w:bookmarkStart w:id="121" w:name="ref-bavaro2023"/>
    <w:p>
      <w:pPr>
        <w:pStyle w:val="Bibliography"/>
      </w:pPr>
      <w:r>
        <w:t xml:space="preserve">[44]</w:t>
      </w:r>
      <w:r>
        <w:t xml:space="preserve"> </w:t>
      </w:r>
      <w:r>
        <w:t xml:space="preserve">	</w:t>
      </w:r>
      <w:r>
        <w:t xml:space="preserve">Bavaro DF, Papagni R, Belati A, Diella L, De Luca A, Brindicci G, et al. Cefiderocol Versus Colistin for the Treatment of Carbapenem-Resistant Acinetobacter baumannii Complex Bloodstream Infections: A Retrospective, Propensity-Score Adjusted, Monocentric Cohort Study. Infectious Diseases and Therapy 2023;12:2147–63.</w:t>
      </w:r>
      <w:r>
        <w:t xml:space="preserve"> </w:t>
      </w:r>
      <w:hyperlink r:id="rId120">
        <w:r>
          <w:rPr>
            <w:rStyle w:val="Hyperlink"/>
          </w:rPr>
          <w:t xml:space="preserve">https://doi.org/10.1007/s40121-023-00854-6</w:t>
        </w:r>
      </w:hyperlink>
      <w:r>
        <w:t xml:space="preserve">.</w:t>
      </w:r>
    </w:p>
    <w:bookmarkEnd w:id="121"/>
    <w:bookmarkStart w:id="123" w:name="ref-piccica2023"/>
    <w:p>
      <w:pPr>
        <w:pStyle w:val="Bibliography"/>
      </w:pPr>
      <w:r>
        <w:t xml:space="preserve">[45]</w:t>
      </w:r>
      <w:r>
        <w:t xml:space="preserve"> </w:t>
      </w:r>
      <w:r>
        <w:t xml:space="preserve">	</w:t>
      </w:r>
      <w:r>
        <w:t xml:space="preserve">Piccica M, Spinicci M, Botta A, Bianco V, Lagi F, Graziani L, et al. Cefiderocol use for the treatment of infections by carbapenem-resistant gram-negative bacteria: An italian multicentre real-life experience. Journal of Antimicrobial Chemotherapy 2023;78:2752–61.</w:t>
      </w:r>
      <w:r>
        <w:t xml:space="preserve"> </w:t>
      </w:r>
      <w:hyperlink r:id="rId122">
        <w:r>
          <w:rPr>
            <w:rStyle w:val="Hyperlink"/>
          </w:rPr>
          <w:t xml:space="preserve">https://doi.org/10.1093/jac/dkad298</w:t>
        </w:r>
      </w:hyperlink>
      <w:r>
        <w:t xml:space="preserve">.</w:t>
      </w:r>
    </w:p>
    <w:bookmarkEnd w:id="123"/>
    <w:bookmarkStart w:id="125" w:name="ref-gavaghan2023"/>
    <w:p>
      <w:pPr>
        <w:pStyle w:val="Bibliography"/>
      </w:pPr>
      <w:r>
        <w:t xml:space="preserve">[46]</w:t>
      </w:r>
      <w:r>
        <w:t xml:space="preserve"> </w:t>
      </w:r>
      <w:r>
        <w:t xml:space="preserve">	</w:t>
      </w:r>
      <w:r>
        <w:t xml:space="preserve">Gavaghan V, Miller JL, Dela-Pena J. Case series of cefiderocol for salvage therapy in carbapenem-resistant Gram-negative infections. Infection 2023;51:475–82.</w:t>
      </w:r>
      <w:r>
        <w:t xml:space="preserve"> </w:t>
      </w:r>
      <w:hyperlink r:id="rId124">
        <w:r>
          <w:rPr>
            <w:rStyle w:val="Hyperlink"/>
          </w:rPr>
          <w:t xml:space="preserve">https://doi.org/10.1007/s15010-022-01933-5</w:t>
        </w:r>
      </w:hyperlink>
      <w:r>
        <w:t xml:space="preserve">.</w:t>
      </w:r>
    </w:p>
    <w:bookmarkEnd w:id="125"/>
    <w:bookmarkStart w:id="127" w:name="ref-frattari2024"/>
    <w:p>
      <w:pPr>
        <w:pStyle w:val="Bibliography"/>
      </w:pPr>
      <w:r>
        <w:t xml:space="preserve">[47]</w:t>
      </w:r>
      <w:r>
        <w:t xml:space="preserve"> </w:t>
      </w:r>
      <w:r>
        <w:t xml:space="preserve">	</w:t>
      </w:r>
      <w:r>
        <w:t xml:space="preserve">Frattari A, Polilli E, Timelli L, Spagnuolo F, Fazii P, Parruti G. Monitoring Immune Dysfunction in Critically Ill Patients with Carbapenem-Resistant Acinetobacter baumannii Sepsis Treated with Regimens Including Cefiderocol: A Pilot Study to Identify Accessible Biomarkers to Stratify Patients</w:t>
      </w:r>
      <w:r>
        <w:t xml:space="preserve">’</w:t>
      </w:r>
      <w:r>
        <w:t xml:space="preserve"> </w:t>
      </w:r>
      <w:r>
        <w:t xml:space="preserve">Prognosis. Antibiotics 2024;13:1001.</w:t>
      </w:r>
      <w:r>
        <w:t xml:space="preserve"> </w:t>
      </w:r>
      <w:hyperlink r:id="rId126">
        <w:r>
          <w:rPr>
            <w:rStyle w:val="Hyperlink"/>
          </w:rPr>
          <w:t xml:space="preserve">https://doi.org/10.3390/antibiotics13111001</w:t>
        </w:r>
      </w:hyperlink>
      <w:r>
        <w:t xml:space="preserve">.</w:t>
      </w:r>
    </w:p>
    <w:bookmarkEnd w:id="127"/>
    <w:bookmarkStart w:id="129" w:name="ref-oliva2024"/>
    <w:p>
      <w:pPr>
        <w:pStyle w:val="Bibliography"/>
      </w:pPr>
      <w:r>
        <w:t xml:space="preserve">[48]</w:t>
      </w:r>
      <w:r>
        <w:t xml:space="preserve"> </w:t>
      </w:r>
      <w:r>
        <w:t xml:space="preserve">	</w:t>
      </w:r>
      <w:r>
        <w:t xml:space="preserve">Oliva A, Liguori L, Covino S, Petrucci F, Cogliati-Dezza F, Curtolo A, et al. Clinical effectiveness of cefiderocol for the treatment of bloodstream infections due to carbapenem-resistant Acinetobacter baumannii during the COVID-19 era: a single center, observational study. European Journal of Clinical Microbiology &amp; Infectious Diseases 2024;43:1149–60.</w:t>
      </w:r>
      <w:r>
        <w:t xml:space="preserve"> </w:t>
      </w:r>
      <w:hyperlink r:id="rId128">
        <w:r>
          <w:rPr>
            <w:rStyle w:val="Hyperlink"/>
          </w:rPr>
          <w:t xml:space="preserve">https://doi.org/10.1007/s10096-024-04833-8</w:t>
        </w:r>
      </w:hyperlink>
      <w:r>
        <w:t xml:space="preserve">.</w:t>
      </w:r>
    </w:p>
    <w:bookmarkEnd w:id="129"/>
    <w:bookmarkStart w:id="131" w:name="ref-elghali2024"/>
    <w:p>
      <w:pPr>
        <w:pStyle w:val="Bibliography"/>
      </w:pPr>
      <w:r>
        <w:t xml:space="preserve">[49]</w:t>
      </w:r>
      <w:r>
        <w:t xml:space="preserve"> </w:t>
      </w:r>
      <w:r>
        <w:t xml:space="preserve">	</w:t>
      </w:r>
      <w:r>
        <w:t xml:space="preserve">El Ghali A, Kunz Coyne AJ, Lucas K, Tieman M, Xhemali X, Lau S, et al. Cefiderocol: early clinical experience for multi-drug resistant gram-negative infections. Microbiology Spectrum 2024;12:e03108–23.</w:t>
      </w:r>
      <w:r>
        <w:t xml:space="preserve"> </w:t>
      </w:r>
      <w:hyperlink r:id="rId130">
        <w:r>
          <w:rPr>
            <w:rStyle w:val="Hyperlink"/>
          </w:rPr>
          <w:t xml:space="preserve">https://doi.org/10.1128/spectrum.03108-23</w:t>
        </w:r>
      </w:hyperlink>
      <w:r>
        <w:t xml:space="preserve">.</w:t>
      </w:r>
    </w:p>
    <w:bookmarkEnd w:id="131"/>
    <w:bookmarkStart w:id="133" w:name="ref-clancy2024"/>
    <w:p>
      <w:pPr>
        <w:pStyle w:val="Bibliography"/>
      </w:pPr>
      <w:r>
        <w:t xml:space="preserve">[50]</w:t>
      </w:r>
      <w:r>
        <w:t xml:space="preserve"> </w:t>
      </w:r>
      <w:r>
        <w:t xml:space="preserve">	</w:t>
      </w:r>
      <w:r>
        <w:t xml:space="preserve">Clancy C, Cornely O, Marcella S, Nguyen S, Gozalo L, Cai B. Effectiveness and Safety of Cefiderocol in Clinical Practice for Treatment of Patients with Gram-Negative Bacterial Infections: US Interim Results of the PROVE Study. Infection and Drug Resistance 2024;Volume 17:4427–43.</w:t>
      </w:r>
      <w:r>
        <w:t xml:space="preserve"> </w:t>
      </w:r>
      <w:hyperlink r:id="rId132">
        <w:r>
          <w:rPr>
            <w:rStyle w:val="Hyperlink"/>
          </w:rPr>
          <w:t xml:space="preserve">https://doi.org/10.2147/IDR.S475462</w:t>
        </w:r>
      </w:hyperlink>
      <w:r>
        <w:t xml:space="preserve">.</w:t>
      </w:r>
    </w:p>
    <w:bookmarkEnd w:id="133"/>
    <w:bookmarkStart w:id="135" w:name="ref-giannella2023"/>
    <w:p>
      <w:pPr>
        <w:pStyle w:val="Bibliography"/>
      </w:pPr>
      <w:r>
        <w:t xml:space="preserve">[51]</w:t>
      </w:r>
      <w:r>
        <w:t xml:space="preserve"> </w:t>
      </w:r>
      <w:r>
        <w:t xml:space="preserve">	</w:t>
      </w:r>
      <w:r>
        <w:t xml:space="preserve">Giannella M, Verardi S, Karas A, Hadi HA, Dupont H, Soriano A, et al. Carbapenem-Resistant Acinetobacter spp Infection in Critically Ill Patients With Limited Treatment Options: A Descriptive Study of Cefiderocol Therapy During the COVID-19 Pandemic. Open Forum Infectious Diseases 2023;10.</w:t>
      </w:r>
      <w:r>
        <w:t xml:space="preserve"> </w:t>
      </w:r>
      <w:hyperlink r:id="rId134">
        <w:r>
          <w:rPr>
            <w:rStyle w:val="Hyperlink"/>
          </w:rPr>
          <w:t xml:space="preserve">https://doi.org/10.1093/ofid/ofad329</w:t>
        </w:r>
      </w:hyperlink>
      <w:r>
        <w:t xml:space="preserve">.</w:t>
      </w:r>
    </w:p>
    <w:bookmarkEnd w:id="135"/>
    <w:bookmarkStart w:id="137" w:name="ref-palermo2023"/>
    <w:p>
      <w:pPr>
        <w:pStyle w:val="Bibliography"/>
      </w:pPr>
      <w:r>
        <w:t xml:space="preserve">[52]</w:t>
      </w:r>
      <w:r>
        <w:t xml:space="preserve"> </w:t>
      </w:r>
      <w:r>
        <w:t xml:space="preserve">	</w:t>
      </w:r>
      <w:r>
        <w:t xml:space="preserve">Palermo G, Medaglia AA, Pipitò L, Rubino R, Costantini M, Accomando S, et al. Cefiderocol efficacy in a real-life setting: Single-centre retrospective study. Antibiotics 2023;12:746.</w:t>
      </w:r>
      <w:r>
        <w:t xml:space="preserve"> </w:t>
      </w:r>
      <w:hyperlink r:id="rId136">
        <w:r>
          <w:rPr>
            <w:rStyle w:val="Hyperlink"/>
          </w:rPr>
          <w:t xml:space="preserve">https://doi.org/10.3390/antibiotics12040746</w:t>
        </w:r>
      </w:hyperlink>
      <w:r>
        <w:t xml:space="preserve">.</w:t>
      </w:r>
    </w:p>
    <w:bookmarkEnd w:id="137"/>
    <w:bookmarkStart w:id="139" w:name="ref-buonomo2024"/>
    <w:p>
      <w:pPr>
        <w:pStyle w:val="Bibliography"/>
      </w:pPr>
      <w:r>
        <w:t xml:space="preserve">[53]</w:t>
      </w:r>
      <w:r>
        <w:t xml:space="preserve"> </w:t>
      </w:r>
      <w:r>
        <w:t xml:space="preserve">	</w:t>
      </w:r>
      <w:r>
        <w:t xml:space="preserve">Buonomo AR, Scotto R, Esposito N, Viceconte G, Schiano Moriello N, Zumbo G, et al. Treatment of Carbapenem-Resistant Acinetobacter baumannii in Real Life (T-ACI): A Prospective Single-Center Observational Study. Antibiotics 2024;13:1007.</w:t>
      </w:r>
      <w:r>
        <w:t xml:space="preserve"> </w:t>
      </w:r>
      <w:hyperlink r:id="rId138">
        <w:r>
          <w:rPr>
            <w:rStyle w:val="Hyperlink"/>
          </w:rPr>
          <w:t xml:space="preserve">https://doi.org/10.3390/antibiotics13111007</w:t>
        </w:r>
      </w:hyperlink>
      <w:r>
        <w:t xml:space="preserve">.</w:t>
      </w:r>
    </w:p>
    <w:bookmarkEnd w:id="139"/>
    <w:bookmarkStart w:id="141" w:name="ref-giacobbe2024"/>
    <w:p>
      <w:pPr>
        <w:pStyle w:val="Bibliography"/>
      </w:pPr>
      <w:r>
        <w:t xml:space="preserve">[54]</w:t>
      </w:r>
      <w:r>
        <w:t xml:space="preserve"> </w:t>
      </w:r>
      <w:r>
        <w:t xml:space="preserve">	</w:t>
      </w:r>
      <w:r>
        <w:t xml:space="preserve">Giacobbe DR, Labate L, Russo Artimagnella C, Marelli C, Signori A, Di Pilato V, et al. Use of Cefiderocol in Adult Patients: Descriptive Analysis from a Prospective, Multicenter, Cohort Study. Infectious Diseases and Therapy 2024;13:1929–48.</w:t>
      </w:r>
      <w:r>
        <w:t xml:space="preserve"> </w:t>
      </w:r>
      <w:hyperlink r:id="rId140">
        <w:r>
          <w:rPr>
            <w:rStyle w:val="Hyperlink"/>
          </w:rPr>
          <w:t xml:space="preserve">https://doi.org/10.1007/s40121-024-01016-y</w:t>
        </w:r>
      </w:hyperlink>
      <w:r>
        <w:t xml:space="preserve">.</w:t>
      </w:r>
    </w:p>
    <w:bookmarkEnd w:id="141"/>
    <w:bookmarkStart w:id="143" w:name="ref-bonnin2022"/>
    <w:p>
      <w:pPr>
        <w:pStyle w:val="Bibliography"/>
      </w:pPr>
      <w:r>
        <w:t xml:space="preserve">[55]</w:t>
      </w:r>
      <w:r>
        <w:t xml:space="preserve"> </w:t>
      </w:r>
      <w:r>
        <w:t xml:space="preserve">	</w:t>
      </w:r>
      <w:r>
        <w:t xml:space="preserve">Bonnin RA, Emeraud C, Jousset AB, Naas T, Dortet L. Comparison of disk diffusion, MIC test strip and broth microdilution methods for cefiderocol susceptibility testing on carbapenem-resistant enterobacterales. Clinical Microbiology and Infection: The Official Publication of the European Society of Clinical Microbiology and Infectious Diseases 2022;28:1156.e1–5.</w:t>
      </w:r>
      <w:r>
        <w:t xml:space="preserve"> </w:t>
      </w:r>
      <w:hyperlink r:id="rId142">
        <w:r>
          <w:rPr>
            <w:rStyle w:val="Hyperlink"/>
          </w:rPr>
          <w:t xml:space="preserve">https://doi.org/10.1016/j.cmi.2022.04.013</w:t>
        </w:r>
      </w:hyperlink>
      <w:r>
        <w:t xml:space="preserve">.</w:t>
      </w:r>
    </w:p>
    <w:bookmarkEnd w:id="143"/>
    <w:bookmarkStart w:id="144" w:name="ref-hara2025b"/>
    <w:p>
      <w:pPr>
        <w:pStyle w:val="Bibliography"/>
      </w:pPr>
      <w:r>
        <w:t xml:space="preserve">[56]</w:t>
      </w:r>
      <w:r>
        <w:t xml:space="preserve"> </w:t>
      </w:r>
      <w:r>
        <w:t xml:space="preserve">	</w:t>
      </w:r>
      <w:r>
        <w:t xml:space="preserve">Hara T, Ishibashi N, Miyagawa D, Onishi M, Lomovskaya O, Yamano Y. 514. The Impact of Xeruborbactam on</w:t>
      </w:r>
      <w:r>
        <w:t xml:space="preserve"> </w:t>
      </w:r>
      <w:r>
        <w:rPr>
          <w:i/>
          <w:iCs/>
        </w:rPr>
        <w:t xml:space="preserve">in vitro</w:t>
      </w:r>
      <w:r>
        <w:t xml:space="preserve"> </w:t>
      </w:r>
      <w:r>
        <w:t xml:space="preserve">Activity of Cefiderocol against a Panel of</w:t>
      </w:r>
      <w:r>
        <w:t xml:space="preserve"> </w:t>
      </w:r>
      <w:r>
        <w:rPr>
          <w:i/>
          <w:iCs/>
        </w:rPr>
        <w:t xml:space="preserve">Acinetobacter baumannii</w:t>
      </w:r>
      <w:r>
        <w:t xml:space="preserve"> </w:t>
      </w:r>
      <w:r>
        <w:t xml:space="preserve">Enriched in Isolates with Reduced Cefiderocol Susceptibility. Open Forum Infectious Diseases 2025;12:ofae631.166.</w:t>
      </w:r>
      <w:r>
        <w:t xml:space="preserve"> </w:t>
      </w:r>
      <w:hyperlink r:id="rId63">
        <w:r>
          <w:rPr>
            <w:rStyle w:val="Hyperlink"/>
          </w:rPr>
          <w:t xml:space="preserve">https://doi.org/10.1093/ofid/ofae631.166</w:t>
        </w:r>
      </w:hyperlink>
      <w:r>
        <w:t xml:space="preserve">.</w:t>
      </w:r>
    </w:p>
    <w:bookmarkEnd w:id="144"/>
    <w:bookmarkStart w:id="146" w:name="ref-russo2023"/>
    <w:p>
      <w:pPr>
        <w:pStyle w:val="Bibliography"/>
      </w:pPr>
      <w:r>
        <w:t xml:space="preserve">[57]</w:t>
      </w:r>
      <w:r>
        <w:t xml:space="preserve"> </w:t>
      </w:r>
      <w:r>
        <w:t xml:space="preserve">	</w:t>
      </w:r>
      <w:r>
        <w:t xml:space="preserve">Russo A, Bruni A, Gullì S, Borrazzo C, Quirino A, Lionello R, et al. Efficacy of cefiderocol- vs colistin-containing regimen for treatment of bacteraemic ventilator-associated pneumonia caused by carbapenem-resistant acinetobacter baumannii in patients with COVID-19. International Journal of Antimicrobial Agents 2023;62:106825.</w:t>
      </w:r>
      <w:r>
        <w:t xml:space="preserve"> </w:t>
      </w:r>
      <w:hyperlink r:id="rId145">
        <w:r>
          <w:rPr>
            <w:rStyle w:val="Hyperlink"/>
          </w:rPr>
          <w:t xml:space="preserve">https://doi.org/10.1016/j.ijantimicag.2023.106825</w:t>
        </w:r>
      </w:hyperlink>
      <w:r>
        <w:t xml:space="preserve">.</w:t>
      </w:r>
    </w:p>
    <w:bookmarkEnd w:id="146"/>
    <w:bookmarkEnd w:id="147"/>
    <w:bookmarkEnd w:id="148"/>
    <w:bookmarkEnd w:id="1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8" Target="https://doi.org/10.1002/advs.202400862" TargetMode="External" /><Relationship Type="http://schemas.openxmlformats.org/officeDocument/2006/relationships/hyperlink" Id="rId75" Target="https://doi.org/10.1002/jcb.30424" TargetMode="External" /><Relationship Type="http://schemas.openxmlformats.org/officeDocument/2006/relationships/hyperlink" Id="rId85" Target="https://doi.org/10.1007/s10096-022-04408-5" TargetMode="External" /><Relationship Type="http://schemas.openxmlformats.org/officeDocument/2006/relationships/hyperlink" Id="rId68" Target="https://doi.org/10.1007/s10096-022-04503-7" TargetMode="External" /><Relationship Type="http://schemas.openxmlformats.org/officeDocument/2006/relationships/hyperlink" Id="rId59" Target="https://doi.org/10.1007/s10096-023-04732-4" TargetMode="External" /><Relationship Type="http://schemas.openxmlformats.org/officeDocument/2006/relationships/hyperlink" Id="rId128" Target="https://doi.org/10.1007/s10096-024-04833-8" TargetMode="External" /><Relationship Type="http://schemas.openxmlformats.org/officeDocument/2006/relationships/hyperlink" Id="rId124" Target="https://doi.org/10.1007/s15010-022-01933-5" TargetMode="External" /><Relationship Type="http://schemas.openxmlformats.org/officeDocument/2006/relationships/hyperlink" Id="rId120" Target="https://doi.org/10.1007/s40121-023-00854-6" TargetMode="External" /><Relationship Type="http://schemas.openxmlformats.org/officeDocument/2006/relationships/hyperlink" Id="rId140" Target="https://doi.org/10.1007/s40121-024-01016-y" TargetMode="External" /><Relationship Type="http://schemas.openxmlformats.org/officeDocument/2006/relationships/hyperlink" Id="rId45" Target="https://doi.org/10.1016/j.cmi.2021.05.002" TargetMode="External" /><Relationship Type="http://schemas.openxmlformats.org/officeDocument/2006/relationships/hyperlink" Id="rId41" Target="https://doi.org/10.1016/j.cmi.2021.11.025" TargetMode="External" /><Relationship Type="http://schemas.openxmlformats.org/officeDocument/2006/relationships/hyperlink" Id="rId142" Target="https://doi.org/10.1016/j.cmi.2022.04.013" TargetMode="External" /><Relationship Type="http://schemas.openxmlformats.org/officeDocument/2006/relationships/hyperlink" Id="rId145" Target="https://doi.org/10.1016/j.ijantimicag.2023.106825" TargetMode="External" /><Relationship Type="http://schemas.openxmlformats.org/officeDocument/2006/relationships/hyperlink" Id="rId118" Target="https://doi.org/10.1016/j.ijantimicag.2024.107190" TargetMode="External" /><Relationship Type="http://schemas.openxmlformats.org/officeDocument/2006/relationships/hyperlink" Id="rId51" Target="https://doi.org/10.1016/j.jgar.2020.07.009" TargetMode="External" /><Relationship Type="http://schemas.openxmlformats.org/officeDocument/2006/relationships/hyperlink" Id="rId97" Target="https://doi.org/10.1016/j.jgar.2024.01.021" TargetMode="External" /><Relationship Type="http://schemas.openxmlformats.org/officeDocument/2006/relationships/hyperlink" Id="rId61" Target="https://doi.org/10.1016/j.jinf.2025.106417" TargetMode="External" /><Relationship Type="http://schemas.openxmlformats.org/officeDocument/2006/relationships/hyperlink" Id="rId93" Target="https://doi.org/10.1016/j.jiph.2023.11.003" TargetMode="External" /><Relationship Type="http://schemas.openxmlformats.org/officeDocument/2006/relationships/hyperlink" Id="rId106" Target="https://doi.org/10.1038/s41392-022-00986-0" TargetMode="External" /><Relationship Type="http://schemas.openxmlformats.org/officeDocument/2006/relationships/hyperlink" Id="rId70" Target="https://doi.org/10.1038/s41429-024-00801-8" TargetMode="External" /><Relationship Type="http://schemas.openxmlformats.org/officeDocument/2006/relationships/hyperlink" Id="rId102" Target="https://doi.org/10.1038/s41467-023-40828-3" TargetMode="External" /><Relationship Type="http://schemas.openxmlformats.org/officeDocument/2006/relationships/hyperlink" Id="rId83" Target="https://doi.org/10.1038/s44259-025-00079-2" TargetMode="External" /><Relationship Type="http://schemas.openxmlformats.org/officeDocument/2006/relationships/hyperlink" Id="rId89" Target="https://doi.org/10.1080/1120009X.2022.2090615" TargetMode="External" /><Relationship Type="http://schemas.openxmlformats.org/officeDocument/2006/relationships/hyperlink" Id="rId43" Target="https://doi.org/10.1093/cid/ciae403" TargetMode="External" /><Relationship Type="http://schemas.openxmlformats.org/officeDocument/2006/relationships/hyperlink" Id="rId110" Target="https://doi.org/10.1093/jac/dkad032" TargetMode="External" /><Relationship Type="http://schemas.openxmlformats.org/officeDocument/2006/relationships/hyperlink" Id="rId122" Target="https://doi.org/10.1093/jac/dkad298" TargetMode="External" /><Relationship Type="http://schemas.openxmlformats.org/officeDocument/2006/relationships/hyperlink" Id="rId47" Target="https://doi.org/10.1093/ofid/ofaa439.1478" TargetMode="External" /><Relationship Type="http://schemas.openxmlformats.org/officeDocument/2006/relationships/hyperlink" Id="rId53" Target="https://doi.org/10.1093/ofid/ofaa439.1806" TargetMode="External" /><Relationship Type="http://schemas.openxmlformats.org/officeDocument/2006/relationships/hyperlink" Id="rId79" Target="https://doi.org/10.1093/ofid/ofac484" TargetMode="External" /><Relationship Type="http://schemas.openxmlformats.org/officeDocument/2006/relationships/hyperlink" Id="rId134" Target="https://doi.org/10.1093/ofid/ofad329" TargetMode="External" /><Relationship Type="http://schemas.openxmlformats.org/officeDocument/2006/relationships/hyperlink" Id="rId77" Target="https://doi.org/10.1093/ofid/ofad500.2135" TargetMode="External" /><Relationship Type="http://schemas.openxmlformats.org/officeDocument/2006/relationships/hyperlink" Id="rId65" Target="https://doi.org/10.1093/ofid/ofae631.1298" TargetMode="External" /><Relationship Type="http://schemas.openxmlformats.org/officeDocument/2006/relationships/hyperlink" Id="rId63" Target="https://doi.org/10.1093/ofid/ofae631.166" TargetMode="External" /><Relationship Type="http://schemas.openxmlformats.org/officeDocument/2006/relationships/hyperlink" Id="rId87" Target="https://doi.org/10.1101/2024.02.13.579981" TargetMode="External" /><Relationship Type="http://schemas.openxmlformats.org/officeDocument/2006/relationships/hyperlink" Id="rId37" Target="https://doi.org/10.1128/AAC.01405-16" TargetMode="External" /><Relationship Type="http://schemas.openxmlformats.org/officeDocument/2006/relationships/hyperlink" Id="rId39" Target="https://doi.org/10.1128/AAC.01968-17" TargetMode="External" /><Relationship Type="http://schemas.openxmlformats.org/officeDocument/2006/relationships/hyperlink" Id="rId104" Target="https://doi.org/10.1128/aac.00559-20" TargetMode="External" /><Relationship Type="http://schemas.openxmlformats.org/officeDocument/2006/relationships/hyperlink" Id="rId114" Target="https://doi.org/10.1128/aac.02142-21" TargetMode="External" /><Relationship Type="http://schemas.openxmlformats.org/officeDocument/2006/relationships/hyperlink" Id="rId57" Target="https://doi.org/10.1128/spectrum.00164-24" TargetMode="External" /><Relationship Type="http://schemas.openxmlformats.org/officeDocument/2006/relationships/hyperlink" Id="rId81" Target="https://doi.org/10.1128/spectrum.00930-24" TargetMode="External" /><Relationship Type="http://schemas.openxmlformats.org/officeDocument/2006/relationships/hyperlink" Id="rId130" Target="https://doi.org/10.1128/spectrum.03108-23" TargetMode="External" /><Relationship Type="http://schemas.openxmlformats.org/officeDocument/2006/relationships/hyperlink" Id="rId91" Target="https://doi.org/10.1128/spectrum.03496-22" TargetMode="External" /><Relationship Type="http://schemas.openxmlformats.org/officeDocument/2006/relationships/hyperlink" Id="rId132" Target="https://doi.org/10.2147/IDR.S475462" TargetMode="External" /><Relationship Type="http://schemas.openxmlformats.org/officeDocument/2006/relationships/hyperlink" Id="rId73" Target="https://doi.org/10.3390/antibiotics11121681" TargetMode="External" /><Relationship Type="http://schemas.openxmlformats.org/officeDocument/2006/relationships/hyperlink" Id="rId136" Target="https://doi.org/10.3390/antibiotics12040746" TargetMode="External" /><Relationship Type="http://schemas.openxmlformats.org/officeDocument/2006/relationships/hyperlink" Id="rId49" Target="https://doi.org/10.3390/antibiotics12050858" TargetMode="External" /><Relationship Type="http://schemas.openxmlformats.org/officeDocument/2006/relationships/hyperlink" Id="rId112" Target="https://doi.org/10.3390/antibiotics12061048" TargetMode="External" /><Relationship Type="http://schemas.openxmlformats.org/officeDocument/2006/relationships/hyperlink" Id="rId126" Target="https://doi.org/10.3390/antibiotics13111001" TargetMode="External" /><Relationship Type="http://schemas.openxmlformats.org/officeDocument/2006/relationships/hyperlink" Id="rId138" Target="https://doi.org/10.3390/antibiotics13111007" TargetMode="External" /><Relationship Type="http://schemas.openxmlformats.org/officeDocument/2006/relationships/hyperlink" Id="rId100" Target="https://doi.org/10.3390/antibiotics13121236" TargetMode="External" /><Relationship Type="http://schemas.openxmlformats.org/officeDocument/2006/relationships/hyperlink" Id="rId95" Target="https://doi.org/10.3390/antibiotics14020210" TargetMode="External" /><Relationship Type="http://schemas.openxmlformats.org/officeDocument/2006/relationships/hyperlink" Id="rId55" Target="https://doi.org/10.3390/cells13161315" TargetMode="External" /><Relationship Type="http://schemas.openxmlformats.org/officeDocument/2006/relationships/hyperlink" Id="rId116" Target="https://doi.org/10.3390/microorganisms11040984" TargetMode="External" /><Relationship Type="http://schemas.openxmlformats.org/officeDocument/2006/relationships/hyperlink" Id="rId20" Target="mailto:matteo.morra@univr.it" TargetMode="External" /></Relationships>
</file>

<file path=word/_rels/footnotes.xml.rels><?xml version="1.0" encoding="UTF-8"?><Relationships xmlns="http://schemas.openxmlformats.org/package/2006/relationships"><Relationship Type="http://schemas.openxmlformats.org/officeDocument/2006/relationships/hyperlink" Id="rId108" Target="https://doi.org/10.1002/advs.202400862" TargetMode="External" /><Relationship Type="http://schemas.openxmlformats.org/officeDocument/2006/relationships/hyperlink" Id="rId75" Target="https://doi.org/10.1002/jcb.30424" TargetMode="External" /><Relationship Type="http://schemas.openxmlformats.org/officeDocument/2006/relationships/hyperlink" Id="rId85" Target="https://doi.org/10.1007/s10096-022-04408-5" TargetMode="External" /><Relationship Type="http://schemas.openxmlformats.org/officeDocument/2006/relationships/hyperlink" Id="rId68" Target="https://doi.org/10.1007/s10096-022-04503-7" TargetMode="External" /><Relationship Type="http://schemas.openxmlformats.org/officeDocument/2006/relationships/hyperlink" Id="rId59" Target="https://doi.org/10.1007/s10096-023-04732-4" TargetMode="External" /><Relationship Type="http://schemas.openxmlformats.org/officeDocument/2006/relationships/hyperlink" Id="rId128" Target="https://doi.org/10.1007/s10096-024-04833-8" TargetMode="External" /><Relationship Type="http://schemas.openxmlformats.org/officeDocument/2006/relationships/hyperlink" Id="rId124" Target="https://doi.org/10.1007/s15010-022-01933-5" TargetMode="External" /><Relationship Type="http://schemas.openxmlformats.org/officeDocument/2006/relationships/hyperlink" Id="rId120" Target="https://doi.org/10.1007/s40121-023-00854-6" TargetMode="External" /><Relationship Type="http://schemas.openxmlformats.org/officeDocument/2006/relationships/hyperlink" Id="rId140" Target="https://doi.org/10.1007/s40121-024-01016-y" TargetMode="External" /><Relationship Type="http://schemas.openxmlformats.org/officeDocument/2006/relationships/hyperlink" Id="rId45" Target="https://doi.org/10.1016/j.cmi.2021.05.002" TargetMode="External" /><Relationship Type="http://schemas.openxmlformats.org/officeDocument/2006/relationships/hyperlink" Id="rId41" Target="https://doi.org/10.1016/j.cmi.2021.11.025" TargetMode="External" /><Relationship Type="http://schemas.openxmlformats.org/officeDocument/2006/relationships/hyperlink" Id="rId142" Target="https://doi.org/10.1016/j.cmi.2022.04.013" TargetMode="External" /><Relationship Type="http://schemas.openxmlformats.org/officeDocument/2006/relationships/hyperlink" Id="rId145" Target="https://doi.org/10.1016/j.ijantimicag.2023.106825" TargetMode="External" /><Relationship Type="http://schemas.openxmlformats.org/officeDocument/2006/relationships/hyperlink" Id="rId118" Target="https://doi.org/10.1016/j.ijantimicag.2024.107190" TargetMode="External" /><Relationship Type="http://schemas.openxmlformats.org/officeDocument/2006/relationships/hyperlink" Id="rId51" Target="https://doi.org/10.1016/j.jgar.2020.07.009" TargetMode="External" /><Relationship Type="http://schemas.openxmlformats.org/officeDocument/2006/relationships/hyperlink" Id="rId97" Target="https://doi.org/10.1016/j.jgar.2024.01.021" TargetMode="External" /><Relationship Type="http://schemas.openxmlformats.org/officeDocument/2006/relationships/hyperlink" Id="rId61" Target="https://doi.org/10.1016/j.jinf.2025.106417" TargetMode="External" /><Relationship Type="http://schemas.openxmlformats.org/officeDocument/2006/relationships/hyperlink" Id="rId93" Target="https://doi.org/10.1016/j.jiph.2023.11.003" TargetMode="External" /><Relationship Type="http://schemas.openxmlformats.org/officeDocument/2006/relationships/hyperlink" Id="rId106" Target="https://doi.org/10.1038/s41392-022-00986-0" TargetMode="External" /><Relationship Type="http://schemas.openxmlformats.org/officeDocument/2006/relationships/hyperlink" Id="rId70" Target="https://doi.org/10.1038/s41429-024-00801-8" TargetMode="External" /><Relationship Type="http://schemas.openxmlformats.org/officeDocument/2006/relationships/hyperlink" Id="rId102" Target="https://doi.org/10.1038/s41467-023-40828-3" TargetMode="External" /><Relationship Type="http://schemas.openxmlformats.org/officeDocument/2006/relationships/hyperlink" Id="rId83" Target="https://doi.org/10.1038/s44259-025-00079-2" TargetMode="External" /><Relationship Type="http://schemas.openxmlformats.org/officeDocument/2006/relationships/hyperlink" Id="rId89" Target="https://doi.org/10.1080/1120009X.2022.2090615" TargetMode="External" /><Relationship Type="http://schemas.openxmlformats.org/officeDocument/2006/relationships/hyperlink" Id="rId43" Target="https://doi.org/10.1093/cid/ciae403" TargetMode="External" /><Relationship Type="http://schemas.openxmlformats.org/officeDocument/2006/relationships/hyperlink" Id="rId110" Target="https://doi.org/10.1093/jac/dkad032" TargetMode="External" /><Relationship Type="http://schemas.openxmlformats.org/officeDocument/2006/relationships/hyperlink" Id="rId122" Target="https://doi.org/10.1093/jac/dkad298" TargetMode="External" /><Relationship Type="http://schemas.openxmlformats.org/officeDocument/2006/relationships/hyperlink" Id="rId47" Target="https://doi.org/10.1093/ofid/ofaa439.1478" TargetMode="External" /><Relationship Type="http://schemas.openxmlformats.org/officeDocument/2006/relationships/hyperlink" Id="rId53" Target="https://doi.org/10.1093/ofid/ofaa439.1806" TargetMode="External" /><Relationship Type="http://schemas.openxmlformats.org/officeDocument/2006/relationships/hyperlink" Id="rId79" Target="https://doi.org/10.1093/ofid/ofac484" TargetMode="External" /><Relationship Type="http://schemas.openxmlformats.org/officeDocument/2006/relationships/hyperlink" Id="rId134" Target="https://doi.org/10.1093/ofid/ofad329" TargetMode="External" /><Relationship Type="http://schemas.openxmlformats.org/officeDocument/2006/relationships/hyperlink" Id="rId77" Target="https://doi.org/10.1093/ofid/ofad500.2135" TargetMode="External" /><Relationship Type="http://schemas.openxmlformats.org/officeDocument/2006/relationships/hyperlink" Id="rId65" Target="https://doi.org/10.1093/ofid/ofae631.1298" TargetMode="External" /><Relationship Type="http://schemas.openxmlformats.org/officeDocument/2006/relationships/hyperlink" Id="rId63" Target="https://doi.org/10.1093/ofid/ofae631.166" TargetMode="External" /><Relationship Type="http://schemas.openxmlformats.org/officeDocument/2006/relationships/hyperlink" Id="rId87" Target="https://doi.org/10.1101/2024.02.13.579981" TargetMode="External" /><Relationship Type="http://schemas.openxmlformats.org/officeDocument/2006/relationships/hyperlink" Id="rId37" Target="https://doi.org/10.1128/AAC.01405-16" TargetMode="External" /><Relationship Type="http://schemas.openxmlformats.org/officeDocument/2006/relationships/hyperlink" Id="rId39" Target="https://doi.org/10.1128/AAC.01968-17" TargetMode="External" /><Relationship Type="http://schemas.openxmlformats.org/officeDocument/2006/relationships/hyperlink" Id="rId104" Target="https://doi.org/10.1128/aac.00559-20" TargetMode="External" /><Relationship Type="http://schemas.openxmlformats.org/officeDocument/2006/relationships/hyperlink" Id="rId114" Target="https://doi.org/10.1128/aac.02142-21" TargetMode="External" /><Relationship Type="http://schemas.openxmlformats.org/officeDocument/2006/relationships/hyperlink" Id="rId57" Target="https://doi.org/10.1128/spectrum.00164-24" TargetMode="External" /><Relationship Type="http://schemas.openxmlformats.org/officeDocument/2006/relationships/hyperlink" Id="rId81" Target="https://doi.org/10.1128/spectrum.00930-24" TargetMode="External" /><Relationship Type="http://schemas.openxmlformats.org/officeDocument/2006/relationships/hyperlink" Id="rId130" Target="https://doi.org/10.1128/spectrum.03108-23" TargetMode="External" /><Relationship Type="http://schemas.openxmlformats.org/officeDocument/2006/relationships/hyperlink" Id="rId91" Target="https://doi.org/10.1128/spectrum.03496-22" TargetMode="External" /><Relationship Type="http://schemas.openxmlformats.org/officeDocument/2006/relationships/hyperlink" Id="rId132" Target="https://doi.org/10.2147/IDR.S475462" TargetMode="External" /><Relationship Type="http://schemas.openxmlformats.org/officeDocument/2006/relationships/hyperlink" Id="rId73" Target="https://doi.org/10.3390/antibiotics11121681" TargetMode="External" /><Relationship Type="http://schemas.openxmlformats.org/officeDocument/2006/relationships/hyperlink" Id="rId136" Target="https://doi.org/10.3390/antibiotics12040746" TargetMode="External" /><Relationship Type="http://schemas.openxmlformats.org/officeDocument/2006/relationships/hyperlink" Id="rId49" Target="https://doi.org/10.3390/antibiotics12050858" TargetMode="External" /><Relationship Type="http://schemas.openxmlformats.org/officeDocument/2006/relationships/hyperlink" Id="rId112" Target="https://doi.org/10.3390/antibiotics12061048" TargetMode="External" /><Relationship Type="http://schemas.openxmlformats.org/officeDocument/2006/relationships/hyperlink" Id="rId126" Target="https://doi.org/10.3390/antibiotics13111001" TargetMode="External" /><Relationship Type="http://schemas.openxmlformats.org/officeDocument/2006/relationships/hyperlink" Id="rId138" Target="https://doi.org/10.3390/antibiotics13111007" TargetMode="External" /><Relationship Type="http://schemas.openxmlformats.org/officeDocument/2006/relationships/hyperlink" Id="rId100" Target="https://doi.org/10.3390/antibiotics13121236" TargetMode="External" /><Relationship Type="http://schemas.openxmlformats.org/officeDocument/2006/relationships/hyperlink" Id="rId95" Target="https://doi.org/10.3390/antibiotics14020210" TargetMode="External" /><Relationship Type="http://schemas.openxmlformats.org/officeDocument/2006/relationships/hyperlink" Id="rId55" Target="https://doi.org/10.3390/cells13161315" TargetMode="External" /><Relationship Type="http://schemas.openxmlformats.org/officeDocument/2006/relationships/hyperlink" Id="rId116" Target="https://doi.org/10.3390/microorganisms11040984" TargetMode="External" /><Relationship Type="http://schemas.openxmlformats.org/officeDocument/2006/relationships/hyperlink" Id="rId20" Target="mailto:matteo.morra@univr.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the evidence for use of cefiderocol as part of combination therapies: a systematic review of in vitro, in vivo, and clinical studies</dc:title>
  <dc:creator>Marco Meroi*,1, Juan Antonio del Castillo Polo*,2, Rebecca Scardellato1, Alessandra Nazeri1, Alessia Savoldi1, Renata Da Costa3, Laura Piddock3, Jennifer Cohn3, Evelina Tacconelli1, Matteo Morra1,✉, and Elda Righi1</dc:creator>
  <cp:keywords>cefiderocol, combination therapy, systematic review, in vitro studies, in vivo studies, human studies</cp:keywords>
  <dcterms:created xsi:type="dcterms:W3CDTF">2026-01-07T09:27:45Z</dcterms:created>
  <dcterms:modified xsi:type="dcterms:W3CDTF">2026-01-07T09:27:45Z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sl">
    <vt:lpwstr>Utils/elsevier-vancouver.csl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