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abstract"/>
    <w:p>
      <w:pPr>
        <w:pStyle w:val="Heading1"/>
      </w:pPr>
      <w:r>
        <w:t xml:space="preserve">Abstract</w:t>
      </w:r>
    </w:p>
    <w:p>
      <w:pPr>
        <w:pStyle w:val="FirstParagraph"/>
      </w:pPr>
      <w:r>
        <w:rPr>
          <w:b/>
          <w:bCs/>
        </w:rPr>
        <w:t xml:space="preserve">Background</w:t>
      </w:r>
      <w:r>
        <w:br/>
      </w:r>
      <w:r>
        <w:t xml:space="preserve">Cefiderocol is a siderophore cephalosporin with potent activity against carbapenem-resistant Gram-negative bacteria (CR-GNB). While monotherapy is recommended for susceptible Enterobacterales and</w:t>
      </w:r>
      <w:r>
        <w:t xml:space="preserve"> </w:t>
      </w:r>
      <w:r>
        <w:rPr>
          <w:i/>
          <w:iCs/>
        </w:rPr>
        <w:t xml:space="preserve">Pseudomonas aeruginosa</w:t>
      </w:r>
      <w:r>
        <w:t xml:space="preserve">, the role of cefiderocol-based combination therapy remains uncertain. We conducted a systematic review of preclinical and clinical evidence supporting cefiderocol combination regimens.</w:t>
      </w:r>
    </w:p>
    <w:p>
      <w:pPr>
        <w:pStyle w:val="BodyText"/>
      </w:pPr>
      <w:r>
        <w:rPr>
          <w:b/>
          <w:bCs/>
        </w:rPr>
        <w:t xml:space="preserve">Methods</w:t>
      </w:r>
      <w:r>
        <w:br/>
      </w:r>
      <w:r>
        <w:t xml:space="preserve">MEDLINE, ESCMID global and IDWeek sources (January 2015–January 2025) were systematically searched for</w:t>
      </w:r>
      <w:r>
        <w:t xml:space="preserve"> </w:t>
      </w:r>
      <w:r>
        <w:rPr>
          <w:i/>
          <w:iCs/>
        </w:rPr>
        <w:t xml:space="preserve">in vitro</w:t>
      </w:r>
      <w:r>
        <w:t xml:space="preserve">,</w:t>
      </w:r>
      <w:r>
        <w:t xml:space="preserve"> </w:t>
      </w:r>
      <w:r>
        <w:rPr>
          <w:i/>
          <w:iCs/>
        </w:rPr>
        <w:t xml:space="preserve">in vivo</w:t>
      </w:r>
      <w:r>
        <w:t xml:space="preserve"> </w:t>
      </w:r>
      <w:r>
        <w:t xml:space="preserve">and clinical studies evaluating cefiderocol-based combinations. Randomised trials, observational studies and preclinical synergy studies were included. An exploratory random-effects meta-analysis compared cefiderocol monotherapy with combination therapy for mortality, clinical cure and microbiological eradication.</w:t>
      </w:r>
    </w:p>
    <w:p>
      <w:pPr>
        <w:pStyle w:val="BodyText"/>
      </w:pPr>
      <w:r>
        <w:rPr>
          <w:b/>
          <w:bCs/>
        </w:rPr>
        <w:t xml:space="preserve">Results</w:t>
      </w:r>
      <w:r>
        <w:br/>
      </w:r>
      <w:r>
        <w:t xml:space="preserve">Sixty-six studies were included (34 in vitro, 5 in vivo and 30 clinical). Preclinical data showed enhanced cefiderocol activity when combined with β-lactamase inhibitors, tetracyclines and selected β-lactams, with in vivo models supporting improved bacterial killing and survival for selected combinations. Clinical studies were heterogeneous and frequently confounded. In pooled analyses, combination therapy showed no consistent advantage over monotherapy for clinical cure or microbiological eradication, while mortality estimates were highly variable.</w:t>
      </w:r>
    </w:p>
    <w:p>
      <w:pPr>
        <w:pStyle w:val="BodyText"/>
      </w:pPr>
      <w:r>
        <w:rPr>
          <w:b/>
          <w:bCs/>
        </w:rPr>
        <w:t xml:space="preserve">Conclusions</w:t>
      </w:r>
      <w:r>
        <w:br/>
      </w:r>
      <w:r>
        <w:t xml:space="preserve">Cefiderocol combinations show biologically plausible synergy in preclinical models, but current clinical evidence is limited and largely observational, failing to identify combinations that reliably improve patient-centred outcomes.</w:t>
      </w:r>
    </w:p>
    <w:bookmarkEnd w:id="21"/>
    <w:bookmarkStart w:id="22" w:name="highlights"/>
    <w:p>
      <w:pPr>
        <w:pStyle w:val="Heading1"/>
      </w:pPr>
      <w:r>
        <w:rPr>
          <w:b/>
          <w:bCs/>
        </w:rPr>
        <w:t xml:space="preserve">Highlights</w:t>
      </w:r>
    </w:p>
    <w:p>
      <w:pPr>
        <w:numPr>
          <w:ilvl w:val="0"/>
          <w:numId w:val="1001"/>
        </w:numPr>
      </w:pPr>
      <w:r>
        <w:rPr>
          <w:b/>
          <w:bCs/>
        </w:rPr>
        <w:t xml:space="preserve">Cefiderocol combinations show strong in vitro synergy</w:t>
      </w:r>
      <w:r>
        <w:t xml:space="preserve">, especially with β-lactamase inhibitors (sulbactam, avibactam, durlobactam, zidebactam, xeruborbactam) and tetracyclines.</w:t>
      </w:r>
    </w:p>
    <w:p>
      <w:pPr>
        <w:numPr>
          <w:ilvl w:val="0"/>
          <w:numId w:val="1001"/>
        </w:numPr>
      </w:pPr>
      <w:r>
        <w:rPr>
          <w:b/>
          <w:bCs/>
        </w:rPr>
        <w:t xml:space="preserve">Clinical evidence is heterogeneous and confounded</w:t>
      </w:r>
      <w:r>
        <w:t xml:space="preserve">, with no consistent benefit of combination therapy over monotherapy.</w:t>
      </w:r>
    </w:p>
    <w:p>
      <w:pPr>
        <w:numPr>
          <w:ilvl w:val="0"/>
          <w:numId w:val="1001"/>
        </w:numPr>
      </w:pPr>
      <w:r>
        <w:rPr>
          <w:b/>
          <w:bCs/>
        </w:rPr>
        <w:t xml:space="preserve">Robust trials are needed</w:t>
      </w:r>
      <w:r>
        <w:t xml:space="preserve"> </w:t>
      </w:r>
      <w:r>
        <w:t xml:space="preserve">to identify which cefiderocol combinations, if any, provide meaningful clinical benefit.</w:t>
      </w:r>
    </w:p>
    <w:bookmarkEnd w:id="22"/>
    <w:bookmarkStart w:id="23"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 (CR) Enterobacterales,</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randomised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standardisation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under publication).</w:t>
      </w:r>
    </w:p>
    <w:p>
      <w:pPr>
        <w:pStyle w:val="BodyText"/>
      </w:pPr>
      <w:r>
        <w:t xml:space="preserve">This systematic review aims to evaluate the efficacy of cefiderocol-based combination therapy compared with monotherapy in treating CR-GNB infections. Evidence is synthesised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3"/>
    <w:bookmarkStart w:id="27" w:name="methods"/>
    <w:p>
      <w:pPr>
        <w:pStyle w:val="Heading1"/>
      </w:pPr>
      <w:r>
        <w:t xml:space="preserve">Methods</w:t>
      </w:r>
    </w:p>
    <w:bookmarkStart w:id="24" w:name="search-strategy-and-eligibility-criteria"/>
    <w:p>
      <w:pPr>
        <w:pStyle w:val="Heading2"/>
      </w:pPr>
      <w:r>
        <w:rPr>
          <w:b/>
          <w:bCs/>
        </w:rPr>
        <w:t xml:space="preserve">Search strategy and eligibility criteria</w:t>
      </w:r>
    </w:p>
    <w:p>
      <w:pPr>
        <w:pStyle w:val="FirstParagraph"/>
      </w:pPr>
      <w:r>
        <w:t xml:space="preserve">The completed PRISMA checklist is available as Supplementary Material. A Medline-based search was conducted from 1</w:t>
      </w:r>
      <w:r>
        <w:rPr>
          <w:vertAlign w:val="superscript"/>
        </w:rPr>
        <w:t xml:space="preserve">st</w:t>
      </w:r>
      <w:r>
        <w:t xml:space="preserve"> </w:t>
      </w:r>
      <w:r>
        <w:t xml:space="preserve">of January 2015 until 31</w:t>
      </w:r>
      <w:r>
        <w:rPr>
          <w:vertAlign w:val="superscript"/>
        </w:rPr>
        <w:t xml:space="preserve">st</w:t>
      </w:r>
      <w:r>
        <w:t xml:space="preserve"> </w:t>
      </w:r>
      <w:r>
        <w:t xml:space="preserve">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process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 For</w:t>
      </w:r>
      <w:r>
        <w:t xml:space="preserve"> </w:t>
      </w:r>
      <w:r>
        <w:rPr>
          <w:i/>
          <w:iCs/>
        </w:rPr>
        <w:t xml:space="preserve">in vitro</w:t>
      </w:r>
      <w:r>
        <w:t xml:space="preserve"> </w:t>
      </w:r>
      <w:r>
        <w:t xml:space="preserve">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randomised trials, observational comparative studies, and non-comparative cohort studies were included, provided that they reported on cefiderocol-based combination therapy. Case reports and case series with fewer than ten patients were excluded.</w:t>
      </w:r>
    </w:p>
    <w:bookmarkEnd w:id="24"/>
    <w:bookmarkStart w:id="25"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5"/>
    <w:bookmarkStart w:id="26" w:name="quality-assessment"/>
    <w:p>
      <w:pPr>
        <w:pStyle w:val="Heading2"/>
      </w:pPr>
      <w:r>
        <w:rPr>
          <w:b/>
          <w:bCs/>
        </w:rPr>
        <w:t xml:space="preserve">Quality assessment</w:t>
      </w:r>
    </w:p>
    <w:p>
      <w:pPr>
        <w:pStyle w:val="FirstParagraph"/>
      </w:pPr>
      <w:r>
        <w:t xml:space="preserve">Two independent reviewers (Ma.Mo. and Ma.Me.) assessed the study quality using two different tools according to the study design</w:t>
      </w:r>
      <w:r>
        <w:rPr>
          <w:b/>
          <w:bCs/>
        </w:rPr>
        <w:t xml:space="preserve">:</w:t>
      </w:r>
      <w:r>
        <w:t xml:space="preserve"> </w:t>
      </w:r>
      <w:r>
        <w:t xml:space="preserve">Cochrane Risk of Bias tool for randomised trials and the Newcastle-Ottawa Scale for observational cohort studies.</w:t>
      </w:r>
    </w:p>
    <w:bookmarkEnd w:id="26"/>
    <w:bookmarkEnd w:id="27"/>
    <w:bookmarkStart w:id="35"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32"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seven with sulbactam, whereas xeruborbactam and meropenem were the most frequent companion molecules (325 and 274, respectively). Four methods were used to assess synergism: time-kill assays (12 studies), checkerboard analysis (13), broth microdilution (nine), and gradient diffusion strip crossing (seven), with nine studies employing ≥1 method.</w:t>
      </w:r>
    </w:p>
    <w:p>
      <w:pPr>
        <w:pStyle w:val="BodyText"/>
      </w:pPr>
      <w:r>
        <w:t xml:space="preserve">Overall, combinations with β-lactamase inhibitors, particularly novel agents, emerged as the most promising ones in most cases (</w:t>
      </w:r>
      <w:r>
        <w:rPr>
          <w:b/>
          <w:bCs/>
        </w:rPr>
        <w:t xml:space="preserve">Supplementary Material, 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six GNB</w:t>
      </w:r>
      <w:r>
        <w:t xml:space="preserve"> </w:t>
      </w:r>
      <w:r>
        <w:t xml:space="preserve">[10]</w:t>
      </w:r>
      <w:r>
        <w:t xml:space="preserve"> </w:t>
      </w:r>
      <w:r>
        <w:t xml:space="preserve">and positive interaction but no synergy was observed for glycine in ten GNB</w:t>
      </w:r>
      <w:r>
        <w:t xml:space="preserve"> </w:t>
      </w:r>
      <w:r>
        <w:t xml:space="preserve">[11]</w:t>
      </w:r>
      <w:r>
        <w:t xml:space="preserve">.  Zidebactam, another beta-lactamase inibhitor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8"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one study but was not reported in other three studies</w:t>
      </w:r>
      <w:r>
        <w:t xml:space="preserve"> </w:t>
      </w:r>
      <w:r>
        <w:t xml:space="preserve">[6,9,16,17]</w:t>
      </w:r>
      <w:r>
        <w:t xml:space="preserve">. Avibactam and sulbactam were found synergistic in two cefiderocol-resistant PER-producing isolates, but not tazobactam, avibactam, vaborbactam, or relebactam in seven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achieved synergy in an extensively drug-resistant (XDR)</w:t>
      </w:r>
      <w:r>
        <w:t xml:space="preserve"> </w:t>
      </w:r>
      <w:r>
        <w:rPr>
          <w:i/>
          <w:iCs/>
        </w:rPr>
        <w:t xml:space="preserve">A. baumannii</w:t>
      </w:r>
      <w:r>
        <w:t xml:space="preserve"> </w:t>
      </w:r>
      <w:r>
        <w:t xml:space="preserve">strain from a patient with ventilator associated pneumonia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8"/>
    <w:bookmarkStart w:id="29"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Enterobacter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Klebsiella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one isolate producing NDM-1, OXA-232 and CTX-M-15 and with a mutation in catecholate-siderophore receptor. Relebactam and vaborbactam were found synergic in 18 KPC-producers</w:t>
      </w:r>
      <w:r>
        <w:t xml:space="preserve"> </w:t>
      </w:r>
      <w:r>
        <w:t xml:space="preserve">[26]</w:t>
      </w:r>
      <w:r>
        <w:t xml:space="preserve">, and synergy with meropenem was demonstrated in one KPC-producer, but it was not confirmed for amikacin</w:t>
      </w:r>
      <w:r>
        <w:t xml:space="preserve"> </w:t>
      </w:r>
      <w:r>
        <w:t xml:space="preserve">[6]</w:t>
      </w:r>
      <w:r>
        <w:t xml:space="preserve">.</w:t>
      </w:r>
    </w:p>
    <w:bookmarkEnd w:id="29"/>
    <w:bookmarkStart w:id="30" w:name="pseudomonas-aeruginosa"/>
    <w:p>
      <w:pPr>
        <w:pStyle w:val="Heading3"/>
      </w:pPr>
      <w:r>
        <w:rPr>
          <w:b/>
          <w:bCs/>
          <w:i/>
          <w:iCs/>
        </w:rPr>
        <w:t xml:space="preserve">Pseudomonas aeruginosa</w:t>
      </w:r>
    </w:p>
    <w:p>
      <w:pPr>
        <w:pStyle w:val="FirstParagraph"/>
      </w:pPr>
      <w:r>
        <w:t xml:space="preserve">No synergy was shown for avibactam, vaborbactam, or tazobactam in one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five isolates</w:t>
      </w:r>
      <w:r>
        <w:t xml:space="preserve"> </w:t>
      </w:r>
      <w:r>
        <w:t xml:space="preserve">[32]</w:t>
      </w:r>
      <w:r>
        <w:t xml:space="preserve">; however, no synergy for meropenem or amikacin was found in one VIM-producer</w:t>
      </w:r>
      <w:r>
        <w:t xml:space="preserve"> </w:t>
      </w:r>
      <w:r>
        <w:t xml:space="preserve">[6]</w:t>
      </w:r>
      <w:r>
        <w:t xml:space="preserve">. Colistin significantly improved cefiderocol efficacy against biofilms in two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two isolates</w:t>
      </w:r>
      <w:r>
        <w:t xml:space="preserve"> </w:t>
      </w:r>
      <w:r>
        <w:t xml:space="preserve">[34]</w:t>
      </w:r>
      <w:r>
        <w:t xml:space="preserve"> </w:t>
      </w:r>
      <w:r>
        <w:t xml:space="preserve">and colloidal bismuth citrate (CBS)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30"/>
    <w:bookmarkStart w:id="31"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31"/>
    <w:bookmarkEnd w:id="32"/>
    <w:bookmarkStart w:id="33"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 12 CRAB isolates using human-simulated regimens in a murine thigh infection model. The isolates were classified according to cefiderocol MICs (three had MIC of 2 mg/L, 2 of 8 mg/L, and ten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three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3"/>
    <w:bookmarkStart w:id="34" w:name="clinical-studies"/>
    <w:p>
      <w:pPr>
        <w:pStyle w:val="Heading2"/>
      </w:pPr>
      <w:r>
        <w:rPr>
          <w:b/>
          <w:bCs/>
        </w:rPr>
        <w:t xml:space="preserve">Clinical studies</w:t>
      </w:r>
    </w:p>
    <w:p>
      <w:pPr>
        <w:pStyle w:val="FirstParagraph"/>
      </w:pPr>
      <w:r>
        <w:t xml:space="preserve">Three prospective, 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Supplementary Material, Table 2.</w:t>
      </w:r>
    </w:p>
    <w:p>
      <w:pPr>
        <w:pStyle w:val="BodyText"/>
      </w:pPr>
      <w:r>
        <w:t xml:space="preserve">In the exploratory meta-analysis comparing monotherapy with cefiderocol and combination therapy, the pooled 30-day all cause mortality was computed on 854 patients (nine studies), while pooled clinical and microbiological cure was computed on 799 patients (nine studies) and 454 patients (five studies), respectively. Pooled mortality was significantly higher among patients receiving cefiderocol combination therapy as compared to cefiderocol monotherapy (OR = 1.42, 95% CI: 1.03–1.95). No significant differences were observed between combination therapy and monotherapy in terms of clinical cure (OR = 0.79, 95% CI: 0.48–1.31) or microbiological eradication (OR = 0.96, 95% CI: 0.57–1.63).</w:t>
      </w:r>
    </w:p>
    <w:bookmarkEnd w:id="34"/>
    <w:bookmarkEnd w:id="35"/>
    <w:bookmarkStart w:id="36"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companion agent,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sulbactam-dorlubactam. Another promising option is cefiderocol in combination with xeruborbactam, a bicyclic boronate β-lactamase inhibitor currently tested in combination with cefiderocol in a phase 1 clinical trial. The two recent in vitro studies by Hara et al, which overall tested 325 cefiderocol-resistant isolates (165</w:t>
      </w:r>
      <w:r>
        <w:t xml:space="preserve"> </w:t>
      </w:r>
      <w:r>
        <w:rPr>
          <w:i/>
          <w:iCs/>
        </w:rPr>
        <w:t xml:space="preserve">Enterobacterales</w:t>
      </w:r>
      <w:r>
        <w:t xml:space="preserve"> </w:t>
      </w:r>
      <w:r>
        <w:t xml:space="preserve">and 160</w:t>
      </w:r>
      <w:r>
        <w:t xml:space="preserve"> </w:t>
      </w:r>
      <w:r>
        <w:rPr>
          <w:i/>
          <w:iCs/>
        </w:rPr>
        <w:t xml:space="preserve">A.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characterisation, particularly regarding resistance mechanisms like MBLs, further limits the ability to interpret treatment effects across different bacterial profiles. Moreover, most observational studies did not adequately adjust for confounding variables. Patients receiving combination therapy were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6"/>
    <w:bookmarkStart w:id="155" w:name="conclusions"/>
    <w:p>
      <w:pPr>
        <w:pStyle w:val="Heading1"/>
      </w:pPr>
      <w:r>
        <w:rPr>
          <w:b/>
          <w:bCs/>
        </w:rPr>
        <w:t xml:space="preserve">Conclusions</w:t>
      </w:r>
    </w:p>
    <w:p>
      <w:pPr>
        <w:pStyle w:val="FirstParagraph"/>
      </w:pPr>
      <w:r>
        <w:t xml:space="preserve">Currently available evidence is of poor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well-characterised CR-GNB, using validated and standardised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with appropriate sample size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7"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7"/>
    <w:bookmarkStart w:id="38" w:name="transparency-declarations"/>
    <w:p>
      <w:pPr>
        <w:pStyle w:val="Heading3"/>
      </w:pPr>
      <w:r>
        <w:rPr>
          <w:b/>
          <w:bCs/>
        </w:rPr>
        <w:t xml:space="preserve">Transparency declarations</w:t>
      </w:r>
    </w:p>
    <w:p>
      <w:pPr>
        <w:pStyle w:val="FirstParagraph"/>
      </w:pPr>
      <w:r>
        <w:t xml:space="preserve">No conflicts of interest to declare</w:t>
      </w:r>
    </w:p>
    <w:bookmarkEnd w:id="38"/>
    <w:bookmarkStart w:id="42" w:name="ethical-approval"/>
    <w:p>
      <w:pPr>
        <w:pStyle w:val="Heading3"/>
      </w:pPr>
      <w:r>
        <w:rPr>
          <w:b/>
          <w:bCs/>
        </w:rPr>
        <w:t xml:space="preserve">Ethical Approval</w:t>
      </w:r>
    </w:p>
    <w:p>
      <w:pPr>
        <w:pStyle w:val="FirstParagraph"/>
      </w:pPr>
      <w:r>
        <w:t xml:space="preserve">Ethical approval was not required for this study</w:t>
      </w:r>
    </w:p>
    <w:p>
      <w:pPr>
        <w:pStyle w:val="CaptionedFigure"/>
      </w:pPr>
      <w:r>
        <w:drawing>
          <wp:inline>
            <wp:extent cx="5334000" cy="2741775"/>
            <wp:effectExtent b="0" l="0" r="0" t="0"/>
            <wp:docPr descr="Figure 1. Study flowchart. *Three of the 34 in vitro  studies also include an in vivo model, therefore, in total, studies assessing in vivo activity of cefiderocol are 5." title="" id="40" name="Picture"/>
            <a:graphic>
              <a:graphicData uri="http://schemas.openxmlformats.org/drawingml/2006/picture">
                <pic:pic>
                  <pic:nvPicPr>
                    <pic:cNvPr descr="images/prisma.png" id="41" name="Picture"/>
                    <pic:cNvPicPr>
                      <a:picLocks noChangeArrowheads="1" noChangeAspect="1"/>
                    </pic:cNvPicPr>
                  </pic:nvPicPr>
                  <pic:blipFill>
                    <a:blip r:embed="rId39"/>
                    <a:stretch>
                      <a:fillRect/>
                    </a:stretch>
                  </pic:blipFill>
                  <pic:spPr bwMode="auto">
                    <a:xfrm>
                      <a:off x="0" y="0"/>
                      <a:ext cx="5334000" cy="2741775"/>
                    </a:xfrm>
                    <a:prstGeom prst="rect">
                      <a:avLst/>
                    </a:prstGeom>
                    <a:noFill/>
                    <a:ln w="9525">
                      <a:noFill/>
                      <a:headEnd/>
                      <a:tailEnd/>
                    </a:ln>
                  </pic:spPr>
                </pic:pic>
              </a:graphicData>
            </a:graphic>
          </wp:inline>
        </w:drawing>
      </w:r>
    </w:p>
    <w:p>
      <w:pPr>
        <w:pStyle w:val="ImageCaption"/>
      </w:pPr>
      <w:r>
        <w:rPr>
          <w:b/>
          <w:bCs/>
        </w:rPr>
        <w:t xml:space="preserve">Figure 1</w:t>
      </w:r>
      <w:r>
        <w:t xml:space="preserve">. Study flowchart. *Three of the 34</w:t>
      </w:r>
      <w:r>
        <w:t xml:space="preserve"> </w:t>
      </w:r>
      <w:r>
        <w:rPr>
          <w:i/>
          <w:iCs/>
        </w:rPr>
        <w:t xml:space="preserve">in vitro</w:t>
      </w:r>
      <w:r>
        <w:t xml:space="preserve"> </w:t>
      </w:r>
      <w:r>
        <w:t xml:space="preserve"> studies also include an</w:t>
      </w:r>
      <w:r>
        <w:t xml:space="preserve"> </w:t>
      </w:r>
      <w:r>
        <w:rPr>
          <w:i/>
          <w:iCs/>
        </w:rPr>
        <w:t xml:space="preserve">in vivo</w:t>
      </w:r>
      <w:r>
        <w:t xml:space="preserve"> </w:t>
      </w:r>
      <w:r>
        <w:t xml:space="preserve">model, therefore, in total, studies assessing</w:t>
      </w:r>
      <w:r>
        <w:t xml:space="preserve"> </w:t>
      </w:r>
      <w:r>
        <w:rPr>
          <w:i/>
          <w:iCs/>
        </w:rPr>
        <w:t xml:space="preserve">in vivo</w:t>
      </w:r>
      <w:r>
        <w:t xml:space="preserve"> </w:t>
      </w:r>
      <w:r>
        <w:t xml:space="preserve">activity of cefiderocol are 5.</w:t>
      </w:r>
    </w:p>
    <w:bookmarkEnd w:id="42"/>
    <w:bookmarkStart w:id="154" w:name="references"/>
    <w:p>
      <w:pPr>
        <w:pStyle w:val="Heading3"/>
      </w:pPr>
      <w:r>
        <w:t xml:space="preserve">References</w:t>
      </w:r>
    </w:p>
    <w:bookmarkStart w:id="153" w:name="refs"/>
    <w:bookmarkStart w:id="44"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43">
        <w:r>
          <w:rPr>
            <w:rStyle w:val="Hyperlink"/>
          </w:rPr>
          <w:t xml:space="preserve">https://doi.org/10.1128/AAC.01405-16</w:t>
        </w:r>
      </w:hyperlink>
      <w:r>
        <w:t xml:space="preserve">.</w:t>
      </w:r>
    </w:p>
    <w:bookmarkEnd w:id="44"/>
    <w:bookmarkStart w:id="46"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45">
        <w:r>
          <w:rPr>
            <w:rStyle w:val="Hyperlink"/>
          </w:rPr>
          <w:t xml:space="preserve">https://doi.org/10.1128/AAC.01968-17</w:t>
        </w:r>
      </w:hyperlink>
      <w:r>
        <w:t xml:space="preserve">.</w:t>
      </w:r>
    </w:p>
    <w:bookmarkEnd w:id="46"/>
    <w:bookmarkStart w:id="48"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47">
        <w:r>
          <w:rPr>
            <w:rStyle w:val="Hyperlink"/>
          </w:rPr>
          <w:t xml:space="preserve">https://doi.org/10.1016/j.cmi.2021.11.025</w:t>
        </w:r>
      </w:hyperlink>
      <w:r>
        <w:t xml:space="preserve">.</w:t>
      </w:r>
    </w:p>
    <w:bookmarkEnd w:id="48"/>
    <w:bookmarkStart w:id="50"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49">
        <w:r>
          <w:rPr>
            <w:rStyle w:val="Hyperlink"/>
          </w:rPr>
          <w:t xml:space="preserve">https://doi.org/10.1093/cid/ciae403</w:t>
        </w:r>
      </w:hyperlink>
      <w:r>
        <w:t xml:space="preserve">.</w:t>
      </w:r>
    </w:p>
    <w:bookmarkEnd w:id="50"/>
    <w:bookmarkStart w:id="52"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51">
        <w:r>
          <w:rPr>
            <w:rStyle w:val="Hyperlink"/>
          </w:rPr>
          <w:t xml:space="preserve">https://doi.org/10.1016/j.cmi.2021.05.002</w:t>
        </w:r>
      </w:hyperlink>
      <w:r>
        <w:t xml:space="preserve">.</w:t>
      </w:r>
    </w:p>
    <w:bookmarkEnd w:id="52"/>
    <w:bookmarkStart w:id="54" w:name="ref-tsuji2016"/>
    <w:p>
      <w:pPr>
        <w:pStyle w:val="Bibliography"/>
      </w:pPr>
      <w:r>
        <w:t xml:space="preserve">[6]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53">
        <w:r>
          <w:rPr>
            <w:rStyle w:val="Hyperlink"/>
          </w:rPr>
          <w:t xml:space="preserve">https://doi.org/10.1093/ofid/ofaa439.1478</w:t>
        </w:r>
      </w:hyperlink>
      <w:r>
        <w:t xml:space="preserve">.</w:t>
      </w:r>
    </w:p>
    <w:bookmarkEnd w:id="54"/>
    <w:bookmarkStart w:id="56"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55">
        <w:r>
          <w:rPr>
            <w:rStyle w:val="Hyperlink"/>
          </w:rPr>
          <w:t xml:space="preserve">https://doi.org/10.3390/antibiotics12050858</w:t>
        </w:r>
      </w:hyperlink>
      <w:r>
        <w:t xml:space="preserve">.</w:t>
      </w:r>
    </w:p>
    <w:bookmarkEnd w:id="56"/>
    <w:bookmarkStart w:id="58"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57">
        <w:r>
          <w:rPr>
            <w:rStyle w:val="Hyperlink"/>
          </w:rPr>
          <w:t xml:space="preserve">https://doi.org/10.1016/j.jgar.2020.07.009</w:t>
        </w:r>
      </w:hyperlink>
      <w:r>
        <w:t xml:space="preserve">.</w:t>
      </w:r>
    </w:p>
    <w:bookmarkEnd w:id="58"/>
    <w:bookmarkStart w:id="60"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59">
        <w:r>
          <w:rPr>
            <w:rStyle w:val="Hyperlink"/>
          </w:rPr>
          <w:t xml:space="preserve">https://doi.org/10.1093/ofid/ofaa439.1806</w:t>
        </w:r>
      </w:hyperlink>
      <w:r>
        <w:t xml:space="preserve">.</w:t>
      </w:r>
    </w:p>
    <w:bookmarkEnd w:id="60"/>
    <w:bookmarkStart w:id="62"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61">
        <w:r>
          <w:rPr>
            <w:rStyle w:val="Hyperlink"/>
          </w:rPr>
          <w:t xml:space="preserve">https://doi.org/10.3390/cells13161315</w:t>
        </w:r>
      </w:hyperlink>
      <w:r>
        <w:t xml:space="preserve">.</w:t>
      </w:r>
    </w:p>
    <w:bookmarkEnd w:id="62"/>
    <w:bookmarkStart w:id="64"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63">
        <w:r>
          <w:rPr>
            <w:rStyle w:val="Hyperlink"/>
          </w:rPr>
          <w:t xml:space="preserve">https://doi.org/10.1128/spectrum.00164-24</w:t>
        </w:r>
      </w:hyperlink>
      <w:r>
        <w:t xml:space="preserve">.</w:t>
      </w:r>
    </w:p>
    <w:bookmarkEnd w:id="64"/>
    <w:bookmarkStart w:id="66"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65">
        <w:r>
          <w:rPr>
            <w:rStyle w:val="Hyperlink"/>
          </w:rPr>
          <w:t xml:space="preserve">https://doi.org/10.1007/s10096-023-04732-4</w:t>
        </w:r>
      </w:hyperlink>
      <w:r>
        <w:t xml:space="preserve">.</w:t>
      </w:r>
    </w:p>
    <w:bookmarkEnd w:id="66"/>
    <w:bookmarkStart w:id="68"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67">
        <w:r>
          <w:rPr>
            <w:rStyle w:val="Hyperlink"/>
          </w:rPr>
          <w:t xml:space="preserve">https://doi.org/10.1016/j.jinf.2025.106417</w:t>
        </w:r>
      </w:hyperlink>
      <w:r>
        <w:t xml:space="preserve">.</w:t>
      </w:r>
    </w:p>
    <w:bookmarkEnd w:id="68"/>
    <w:bookmarkStart w:id="70"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69">
        <w:r>
          <w:rPr>
            <w:rStyle w:val="Hyperlink"/>
          </w:rPr>
          <w:t xml:space="preserve">https://doi.org/10.1093/ofid/ofae631.166</w:t>
        </w:r>
      </w:hyperlink>
      <w:r>
        <w:t xml:space="preserve">.</w:t>
      </w:r>
    </w:p>
    <w:bookmarkEnd w:id="70"/>
    <w:bookmarkStart w:id="72"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71">
        <w:r>
          <w:rPr>
            <w:rStyle w:val="Hyperlink"/>
          </w:rPr>
          <w:t xml:space="preserve">https://doi.org/10.1093/ofid/ofae631.1298</w:t>
        </w:r>
      </w:hyperlink>
      <w:r>
        <w:t xml:space="preserve">.</w:t>
      </w:r>
    </w:p>
    <w:bookmarkEnd w:id="72"/>
    <w:bookmarkStart w:id="73"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53">
        <w:r>
          <w:rPr>
            <w:rStyle w:val="Hyperlink"/>
          </w:rPr>
          <w:t xml:space="preserve">https://doi.org/10.1093/ofid/ofaa439.1478</w:t>
        </w:r>
      </w:hyperlink>
      <w:r>
        <w:t xml:space="preserve">.</w:t>
      </w:r>
    </w:p>
    <w:bookmarkEnd w:id="73"/>
    <w:bookmarkStart w:id="75"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74">
        <w:r>
          <w:rPr>
            <w:rStyle w:val="Hyperlink"/>
          </w:rPr>
          <w:t xml:space="preserve">https://doi.org/10.1007/s10096-022-04503-7</w:t>
        </w:r>
      </w:hyperlink>
      <w:r>
        <w:t xml:space="preserve">.</w:t>
      </w:r>
    </w:p>
    <w:bookmarkEnd w:id="75"/>
    <w:bookmarkStart w:id="77"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76">
        <w:r>
          <w:rPr>
            <w:rStyle w:val="Hyperlink"/>
          </w:rPr>
          <w:t xml:space="preserve">https://doi.org/10.1038/s41429-024-00801-8</w:t>
        </w:r>
      </w:hyperlink>
      <w:r>
        <w:t xml:space="preserve">.</w:t>
      </w:r>
    </w:p>
    <w:bookmarkEnd w:id="77"/>
    <w:bookmarkStart w:id="78" w:name="ref-stolfa2021"/>
    <w:p>
      <w:pPr>
        <w:pStyle w:val="Bibliography"/>
      </w:pPr>
      <w:r>
        <w:t xml:space="preserve">[19]</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78"/>
    <w:bookmarkStart w:id="80"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79">
        <w:r>
          <w:rPr>
            <w:rStyle w:val="Hyperlink"/>
          </w:rPr>
          <w:t xml:space="preserve">https://doi.org/10.3390/antibiotics11121681</w:t>
        </w:r>
      </w:hyperlink>
      <w:r>
        <w:t xml:space="preserve">.</w:t>
      </w:r>
    </w:p>
    <w:bookmarkEnd w:id="80"/>
    <w:bookmarkStart w:id="82"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81">
        <w:r>
          <w:rPr>
            <w:rStyle w:val="Hyperlink"/>
          </w:rPr>
          <w:t xml:space="preserve">https://doi.org/10.1002/jcb.30424</w:t>
        </w:r>
      </w:hyperlink>
      <w:r>
        <w:t xml:space="preserve">.</w:t>
      </w:r>
    </w:p>
    <w:bookmarkEnd w:id="82"/>
    <w:bookmarkStart w:id="84"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83">
        <w:r>
          <w:rPr>
            <w:rStyle w:val="Hyperlink"/>
          </w:rPr>
          <w:t xml:space="preserve">https://doi.org/10.1093/ofid/ofad500.2135</w:t>
        </w:r>
      </w:hyperlink>
      <w:r>
        <w:t xml:space="preserve">.</w:t>
      </w:r>
    </w:p>
    <w:bookmarkEnd w:id="84"/>
    <w:bookmarkStart w:id="86"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85">
        <w:r>
          <w:rPr>
            <w:rStyle w:val="Hyperlink"/>
          </w:rPr>
          <w:t xml:space="preserve">https://doi.org/10.1093/ofid/ofac484</w:t>
        </w:r>
      </w:hyperlink>
      <w:r>
        <w:t xml:space="preserve">.</w:t>
      </w:r>
    </w:p>
    <w:bookmarkEnd w:id="86"/>
    <w:bookmarkStart w:id="88"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87">
        <w:r>
          <w:rPr>
            <w:rStyle w:val="Hyperlink"/>
          </w:rPr>
          <w:t xml:space="preserve">https://doi.org/10.1128/spectrum.00930-24</w:t>
        </w:r>
      </w:hyperlink>
      <w:r>
        <w:t xml:space="preserve">.</w:t>
      </w:r>
    </w:p>
    <w:bookmarkEnd w:id="88"/>
    <w:bookmarkStart w:id="90"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89">
        <w:r>
          <w:rPr>
            <w:rStyle w:val="Hyperlink"/>
          </w:rPr>
          <w:t xml:space="preserve">https://doi.org/10.1038/s44259-025-00079-2</w:t>
        </w:r>
      </w:hyperlink>
      <w:r>
        <w:t xml:space="preserve">.</w:t>
      </w:r>
    </w:p>
    <w:bookmarkEnd w:id="90"/>
    <w:bookmarkStart w:id="92"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91">
        <w:r>
          <w:rPr>
            <w:rStyle w:val="Hyperlink"/>
          </w:rPr>
          <w:t xml:space="preserve">https://doi.org/10.1007/s10096-022-04408-5</w:t>
        </w:r>
      </w:hyperlink>
      <w:r>
        <w:t xml:space="preserve">.</w:t>
      </w:r>
    </w:p>
    <w:bookmarkEnd w:id="92"/>
    <w:bookmarkStart w:id="94" w:name="ref-göpel2024"/>
    <w:p>
      <w:pPr>
        <w:pStyle w:val="Bibliography"/>
      </w:pPr>
      <w:r>
        <w:t xml:space="preserve">[27]</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93">
        <w:r>
          <w:rPr>
            <w:rStyle w:val="Hyperlink"/>
          </w:rPr>
          <w:t xml:space="preserve">https://doi.org/10.1101/2024.02.13.579981</w:t>
        </w:r>
      </w:hyperlink>
      <w:r>
        <w:t xml:space="preserve">.</w:t>
      </w:r>
    </w:p>
    <w:bookmarkEnd w:id="94"/>
    <w:bookmarkStart w:id="96"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95">
        <w:r>
          <w:rPr>
            <w:rStyle w:val="Hyperlink"/>
          </w:rPr>
          <w:t xml:space="preserve">https://doi.org/10.1080/1120009X.2022.2090615</w:t>
        </w:r>
      </w:hyperlink>
      <w:r>
        <w:t xml:space="preserve">.</w:t>
      </w:r>
    </w:p>
    <w:bookmarkEnd w:id="96"/>
    <w:bookmarkStart w:id="98"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97">
        <w:r>
          <w:rPr>
            <w:rStyle w:val="Hyperlink"/>
          </w:rPr>
          <w:t xml:space="preserve">https://doi.org/10.1128/spectrum.03496-22</w:t>
        </w:r>
      </w:hyperlink>
      <w:r>
        <w:t xml:space="preserve">.</w:t>
      </w:r>
    </w:p>
    <w:bookmarkEnd w:id="98"/>
    <w:bookmarkStart w:id="100"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99">
        <w:r>
          <w:rPr>
            <w:rStyle w:val="Hyperlink"/>
          </w:rPr>
          <w:t xml:space="preserve">https://doi.org/10.1016/j.jiph.2023.11.003</w:t>
        </w:r>
      </w:hyperlink>
      <w:r>
        <w:t xml:space="preserve">.</w:t>
      </w:r>
    </w:p>
    <w:bookmarkEnd w:id="100"/>
    <w:bookmarkStart w:id="102"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101">
        <w:r>
          <w:rPr>
            <w:rStyle w:val="Hyperlink"/>
          </w:rPr>
          <w:t xml:space="preserve">https://doi.org/10.3390/antibiotics14020210</w:t>
        </w:r>
      </w:hyperlink>
      <w:r>
        <w:t xml:space="preserve">.</w:t>
      </w:r>
    </w:p>
    <w:bookmarkEnd w:id="102"/>
    <w:bookmarkStart w:id="104"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103">
        <w:r>
          <w:rPr>
            <w:rStyle w:val="Hyperlink"/>
          </w:rPr>
          <w:t xml:space="preserve">https://doi.org/10.1016/j.jgar.2024.01.021</w:t>
        </w:r>
      </w:hyperlink>
      <w:r>
        <w:t xml:space="preserve">.</w:t>
      </w:r>
    </w:p>
    <w:bookmarkEnd w:id="104"/>
    <w:bookmarkStart w:id="105" w:name="ref-elhaj2024"/>
    <w:p>
      <w:pPr>
        <w:pStyle w:val="Bibliography"/>
      </w:pPr>
      <w:r>
        <w:t xml:space="preserve">[33]</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105"/>
    <w:bookmarkStart w:id="107"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106">
        <w:r>
          <w:rPr>
            <w:rStyle w:val="Hyperlink"/>
          </w:rPr>
          <w:t xml:space="preserve">https://doi.org/10.3390/antibiotics13121236</w:t>
        </w:r>
      </w:hyperlink>
      <w:r>
        <w:t xml:space="preserve">.</w:t>
      </w:r>
    </w:p>
    <w:bookmarkEnd w:id="107"/>
    <w:bookmarkStart w:id="109"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108">
        <w:r>
          <w:rPr>
            <w:rStyle w:val="Hyperlink"/>
          </w:rPr>
          <w:t xml:space="preserve">https://doi.org/10.1038/s41467-023-40828-3</w:t>
        </w:r>
      </w:hyperlink>
      <w:r>
        <w:t xml:space="preserve">.</w:t>
      </w:r>
    </w:p>
    <w:bookmarkEnd w:id="109"/>
    <w:bookmarkStart w:id="111"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110">
        <w:r>
          <w:rPr>
            <w:rStyle w:val="Hyperlink"/>
          </w:rPr>
          <w:t xml:space="preserve">https://doi.org/10.1128/aac.00559-20</w:t>
        </w:r>
      </w:hyperlink>
      <w:r>
        <w:t xml:space="preserve">.</w:t>
      </w:r>
    </w:p>
    <w:bookmarkEnd w:id="111"/>
    <w:bookmarkStart w:id="113"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112">
        <w:r>
          <w:rPr>
            <w:rStyle w:val="Hyperlink"/>
          </w:rPr>
          <w:t xml:space="preserve">https://doi.org/10.1038/s41392-022-00986-0</w:t>
        </w:r>
      </w:hyperlink>
      <w:r>
        <w:t xml:space="preserve">.</w:t>
      </w:r>
    </w:p>
    <w:bookmarkEnd w:id="113"/>
    <w:bookmarkStart w:id="115"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114">
        <w:r>
          <w:rPr>
            <w:rStyle w:val="Hyperlink"/>
          </w:rPr>
          <w:t xml:space="preserve">https://doi.org/10.1002/advs.202400862</w:t>
        </w:r>
      </w:hyperlink>
      <w:r>
        <w:t xml:space="preserve">.</w:t>
      </w:r>
    </w:p>
    <w:bookmarkEnd w:id="115"/>
    <w:bookmarkStart w:id="117"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116">
        <w:r>
          <w:rPr>
            <w:rStyle w:val="Hyperlink"/>
          </w:rPr>
          <w:t xml:space="preserve">https://doi.org/10.1093/jac/dkad032</w:t>
        </w:r>
      </w:hyperlink>
      <w:r>
        <w:t xml:space="preserve">.</w:t>
      </w:r>
    </w:p>
    <w:bookmarkEnd w:id="117"/>
    <w:bookmarkStart w:id="119"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118">
        <w:r>
          <w:rPr>
            <w:rStyle w:val="Hyperlink"/>
          </w:rPr>
          <w:t xml:space="preserve">https://doi.org/10.3390/antibiotics12061048</w:t>
        </w:r>
      </w:hyperlink>
      <w:r>
        <w:t xml:space="preserve">.</w:t>
      </w:r>
    </w:p>
    <w:bookmarkEnd w:id="119"/>
    <w:bookmarkStart w:id="121"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120">
        <w:r>
          <w:rPr>
            <w:rStyle w:val="Hyperlink"/>
          </w:rPr>
          <w:t xml:space="preserve">https://doi.org/10.1128/aac.02142-21</w:t>
        </w:r>
      </w:hyperlink>
      <w:r>
        <w:t xml:space="preserve">.</w:t>
      </w:r>
    </w:p>
    <w:bookmarkEnd w:id="121"/>
    <w:bookmarkStart w:id="123"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122">
        <w:r>
          <w:rPr>
            <w:rStyle w:val="Hyperlink"/>
          </w:rPr>
          <w:t xml:space="preserve">https://doi.org/10.3390/microorganisms11040984</w:t>
        </w:r>
      </w:hyperlink>
      <w:r>
        <w:t xml:space="preserve">.</w:t>
      </w:r>
    </w:p>
    <w:bookmarkEnd w:id="123"/>
    <w:bookmarkStart w:id="125"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124">
        <w:r>
          <w:rPr>
            <w:rStyle w:val="Hyperlink"/>
          </w:rPr>
          <w:t xml:space="preserve">https://doi.org/10.1016/j.ijantimicag.2024.107190</w:t>
        </w:r>
      </w:hyperlink>
      <w:r>
        <w:t xml:space="preserve">.</w:t>
      </w:r>
    </w:p>
    <w:bookmarkEnd w:id="125"/>
    <w:bookmarkStart w:id="127"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126">
        <w:r>
          <w:rPr>
            <w:rStyle w:val="Hyperlink"/>
          </w:rPr>
          <w:t xml:space="preserve">https://doi.org/10.1007/s40121-023-00854-6</w:t>
        </w:r>
      </w:hyperlink>
      <w:r>
        <w:t xml:space="preserve">.</w:t>
      </w:r>
    </w:p>
    <w:bookmarkEnd w:id="127"/>
    <w:bookmarkStart w:id="129"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128">
        <w:r>
          <w:rPr>
            <w:rStyle w:val="Hyperlink"/>
          </w:rPr>
          <w:t xml:space="preserve">https://doi.org/10.1093/jac/dkad298</w:t>
        </w:r>
      </w:hyperlink>
      <w:r>
        <w:t xml:space="preserve">.</w:t>
      </w:r>
    </w:p>
    <w:bookmarkEnd w:id="129"/>
    <w:bookmarkStart w:id="131"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130">
        <w:r>
          <w:rPr>
            <w:rStyle w:val="Hyperlink"/>
          </w:rPr>
          <w:t xml:space="preserve">https://doi.org/10.1007/s15010-022-01933-5</w:t>
        </w:r>
      </w:hyperlink>
      <w:r>
        <w:t xml:space="preserve">.</w:t>
      </w:r>
    </w:p>
    <w:bookmarkEnd w:id="131"/>
    <w:bookmarkStart w:id="133"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132">
        <w:r>
          <w:rPr>
            <w:rStyle w:val="Hyperlink"/>
          </w:rPr>
          <w:t xml:space="preserve">https://doi.org/10.3390/antibiotics13111001</w:t>
        </w:r>
      </w:hyperlink>
      <w:r>
        <w:t xml:space="preserve">.</w:t>
      </w:r>
    </w:p>
    <w:bookmarkEnd w:id="133"/>
    <w:bookmarkStart w:id="135"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134">
        <w:r>
          <w:rPr>
            <w:rStyle w:val="Hyperlink"/>
          </w:rPr>
          <w:t xml:space="preserve">https://doi.org/10.1007/s10096-024-04833-8</w:t>
        </w:r>
      </w:hyperlink>
      <w:r>
        <w:t xml:space="preserve">.</w:t>
      </w:r>
    </w:p>
    <w:bookmarkEnd w:id="135"/>
    <w:bookmarkStart w:id="137"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136">
        <w:r>
          <w:rPr>
            <w:rStyle w:val="Hyperlink"/>
          </w:rPr>
          <w:t xml:space="preserve">https://doi.org/10.1128/spectrum.03108-23</w:t>
        </w:r>
      </w:hyperlink>
      <w:r>
        <w:t xml:space="preserve">.</w:t>
      </w:r>
    </w:p>
    <w:bookmarkEnd w:id="137"/>
    <w:bookmarkStart w:id="139"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138">
        <w:r>
          <w:rPr>
            <w:rStyle w:val="Hyperlink"/>
          </w:rPr>
          <w:t xml:space="preserve">https://doi.org/10.2147/IDR.S475462</w:t>
        </w:r>
      </w:hyperlink>
      <w:r>
        <w:t xml:space="preserve">.</w:t>
      </w:r>
    </w:p>
    <w:bookmarkEnd w:id="139"/>
    <w:bookmarkStart w:id="141"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140">
        <w:r>
          <w:rPr>
            <w:rStyle w:val="Hyperlink"/>
          </w:rPr>
          <w:t xml:space="preserve">https://doi.org/10.1093/ofid/ofad329</w:t>
        </w:r>
      </w:hyperlink>
      <w:r>
        <w:t xml:space="preserve">.</w:t>
      </w:r>
    </w:p>
    <w:bookmarkEnd w:id="141"/>
    <w:bookmarkStart w:id="143"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142">
        <w:r>
          <w:rPr>
            <w:rStyle w:val="Hyperlink"/>
          </w:rPr>
          <w:t xml:space="preserve">https://doi.org/10.3390/antibiotics12040746</w:t>
        </w:r>
      </w:hyperlink>
      <w:r>
        <w:t xml:space="preserve">.</w:t>
      </w:r>
    </w:p>
    <w:bookmarkEnd w:id="143"/>
    <w:bookmarkStart w:id="145"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144">
        <w:r>
          <w:rPr>
            <w:rStyle w:val="Hyperlink"/>
          </w:rPr>
          <w:t xml:space="preserve">https://doi.org/10.3390/antibiotics13111007</w:t>
        </w:r>
      </w:hyperlink>
      <w:r>
        <w:t xml:space="preserve">.</w:t>
      </w:r>
    </w:p>
    <w:bookmarkEnd w:id="145"/>
    <w:bookmarkStart w:id="147"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146">
        <w:r>
          <w:rPr>
            <w:rStyle w:val="Hyperlink"/>
          </w:rPr>
          <w:t xml:space="preserve">https://doi.org/10.1007/s40121-024-01016-y</w:t>
        </w:r>
      </w:hyperlink>
      <w:r>
        <w:t xml:space="preserve">.</w:t>
      </w:r>
    </w:p>
    <w:bookmarkEnd w:id="147"/>
    <w:bookmarkStart w:id="149"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148">
        <w:r>
          <w:rPr>
            <w:rStyle w:val="Hyperlink"/>
          </w:rPr>
          <w:t xml:space="preserve">https://doi.org/10.1016/j.cmi.2022.04.013</w:t>
        </w:r>
      </w:hyperlink>
      <w:r>
        <w:t xml:space="preserve">.</w:t>
      </w:r>
    </w:p>
    <w:bookmarkEnd w:id="149"/>
    <w:bookmarkStart w:id="150"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69">
        <w:r>
          <w:rPr>
            <w:rStyle w:val="Hyperlink"/>
          </w:rPr>
          <w:t xml:space="preserve">https://doi.org/10.1093/ofid/ofae631.166</w:t>
        </w:r>
      </w:hyperlink>
      <w:r>
        <w:t xml:space="preserve">.</w:t>
      </w:r>
    </w:p>
    <w:bookmarkEnd w:id="150"/>
    <w:bookmarkStart w:id="152"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151">
        <w:r>
          <w:rPr>
            <w:rStyle w:val="Hyperlink"/>
          </w:rPr>
          <w:t xml:space="preserve">https://doi.org/10.1016/j.ijantimicag.2023.106825</w:t>
        </w:r>
      </w:hyperlink>
      <w:r>
        <w:t xml:space="preserve">.</w:t>
      </w:r>
    </w:p>
    <w:bookmarkEnd w:id="152"/>
    <w:bookmarkEnd w:id="153"/>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114" Target="https://doi.org/10.1002/advs.202400862" TargetMode="External" /><Relationship Type="http://schemas.openxmlformats.org/officeDocument/2006/relationships/hyperlink" Id="rId81" Target="https://doi.org/10.1002/jcb.30424" TargetMode="External" /><Relationship Type="http://schemas.openxmlformats.org/officeDocument/2006/relationships/hyperlink" Id="rId91" Target="https://doi.org/10.1007/s10096-022-04408-5" TargetMode="External" /><Relationship Type="http://schemas.openxmlformats.org/officeDocument/2006/relationships/hyperlink" Id="rId74" Target="https://doi.org/10.1007/s10096-022-04503-7" TargetMode="External" /><Relationship Type="http://schemas.openxmlformats.org/officeDocument/2006/relationships/hyperlink" Id="rId65" Target="https://doi.org/10.1007/s10096-023-04732-4" TargetMode="External" /><Relationship Type="http://schemas.openxmlformats.org/officeDocument/2006/relationships/hyperlink" Id="rId134" Target="https://doi.org/10.1007/s10096-024-04833-8" TargetMode="External" /><Relationship Type="http://schemas.openxmlformats.org/officeDocument/2006/relationships/hyperlink" Id="rId130" Target="https://doi.org/10.1007/s15010-022-01933-5" TargetMode="External" /><Relationship Type="http://schemas.openxmlformats.org/officeDocument/2006/relationships/hyperlink" Id="rId126" Target="https://doi.org/10.1007/s40121-023-00854-6" TargetMode="External" /><Relationship Type="http://schemas.openxmlformats.org/officeDocument/2006/relationships/hyperlink" Id="rId146" Target="https://doi.org/10.1007/s40121-024-01016-y" TargetMode="External" /><Relationship Type="http://schemas.openxmlformats.org/officeDocument/2006/relationships/hyperlink" Id="rId51" Target="https://doi.org/10.1016/j.cmi.2021.05.002" TargetMode="External" /><Relationship Type="http://schemas.openxmlformats.org/officeDocument/2006/relationships/hyperlink" Id="rId47" Target="https://doi.org/10.1016/j.cmi.2021.11.025" TargetMode="External" /><Relationship Type="http://schemas.openxmlformats.org/officeDocument/2006/relationships/hyperlink" Id="rId148" Target="https://doi.org/10.1016/j.cmi.2022.04.013" TargetMode="External" /><Relationship Type="http://schemas.openxmlformats.org/officeDocument/2006/relationships/hyperlink" Id="rId151" Target="https://doi.org/10.1016/j.ijantimicag.2023.106825" TargetMode="External" /><Relationship Type="http://schemas.openxmlformats.org/officeDocument/2006/relationships/hyperlink" Id="rId124" Target="https://doi.org/10.1016/j.ijantimicag.2024.107190" TargetMode="External" /><Relationship Type="http://schemas.openxmlformats.org/officeDocument/2006/relationships/hyperlink" Id="rId57" Target="https://doi.org/10.1016/j.jgar.2020.07.009" TargetMode="External" /><Relationship Type="http://schemas.openxmlformats.org/officeDocument/2006/relationships/hyperlink" Id="rId103" Target="https://doi.org/10.1016/j.jgar.2024.01.021" TargetMode="External" /><Relationship Type="http://schemas.openxmlformats.org/officeDocument/2006/relationships/hyperlink" Id="rId67" Target="https://doi.org/10.1016/j.jinf.2025.106417" TargetMode="External" /><Relationship Type="http://schemas.openxmlformats.org/officeDocument/2006/relationships/hyperlink" Id="rId99" Target="https://doi.org/10.1016/j.jiph.2023.11.003" TargetMode="External" /><Relationship Type="http://schemas.openxmlformats.org/officeDocument/2006/relationships/hyperlink" Id="rId112" Target="https://doi.org/10.1038/s41392-022-00986-0" TargetMode="External" /><Relationship Type="http://schemas.openxmlformats.org/officeDocument/2006/relationships/hyperlink" Id="rId76" Target="https://doi.org/10.1038/s41429-024-00801-8" TargetMode="External" /><Relationship Type="http://schemas.openxmlformats.org/officeDocument/2006/relationships/hyperlink" Id="rId108" Target="https://doi.org/10.1038/s41467-023-40828-3" TargetMode="External" /><Relationship Type="http://schemas.openxmlformats.org/officeDocument/2006/relationships/hyperlink" Id="rId89" Target="https://doi.org/10.1038/s44259-025-00079-2" TargetMode="External" /><Relationship Type="http://schemas.openxmlformats.org/officeDocument/2006/relationships/hyperlink" Id="rId95" Target="https://doi.org/10.1080/1120009X.2022.2090615" TargetMode="External" /><Relationship Type="http://schemas.openxmlformats.org/officeDocument/2006/relationships/hyperlink" Id="rId49" Target="https://doi.org/10.1093/cid/ciae403" TargetMode="External" /><Relationship Type="http://schemas.openxmlformats.org/officeDocument/2006/relationships/hyperlink" Id="rId116" Target="https://doi.org/10.1093/jac/dkad032" TargetMode="External" /><Relationship Type="http://schemas.openxmlformats.org/officeDocument/2006/relationships/hyperlink" Id="rId128" Target="https://doi.org/10.1093/jac/dkad298" TargetMode="External" /><Relationship Type="http://schemas.openxmlformats.org/officeDocument/2006/relationships/hyperlink" Id="rId53" Target="https://doi.org/10.1093/ofid/ofaa439.1478" TargetMode="External" /><Relationship Type="http://schemas.openxmlformats.org/officeDocument/2006/relationships/hyperlink" Id="rId59" Target="https://doi.org/10.1093/ofid/ofaa439.1806" TargetMode="External" /><Relationship Type="http://schemas.openxmlformats.org/officeDocument/2006/relationships/hyperlink" Id="rId85" Target="https://doi.org/10.1093/ofid/ofac484" TargetMode="External" /><Relationship Type="http://schemas.openxmlformats.org/officeDocument/2006/relationships/hyperlink" Id="rId140" Target="https://doi.org/10.1093/ofid/ofad329" TargetMode="External" /><Relationship Type="http://schemas.openxmlformats.org/officeDocument/2006/relationships/hyperlink" Id="rId83" Target="https://doi.org/10.1093/ofid/ofad500.2135" TargetMode="External" /><Relationship Type="http://schemas.openxmlformats.org/officeDocument/2006/relationships/hyperlink" Id="rId71" Target="https://doi.org/10.1093/ofid/ofae631.1298" TargetMode="External" /><Relationship Type="http://schemas.openxmlformats.org/officeDocument/2006/relationships/hyperlink" Id="rId69" Target="https://doi.org/10.1093/ofid/ofae631.166" TargetMode="External" /><Relationship Type="http://schemas.openxmlformats.org/officeDocument/2006/relationships/hyperlink" Id="rId93" Target="https://doi.org/10.1101/2024.02.13.579981" TargetMode="External" /><Relationship Type="http://schemas.openxmlformats.org/officeDocument/2006/relationships/hyperlink" Id="rId43" Target="https://doi.org/10.1128/AAC.01405-16" TargetMode="External" /><Relationship Type="http://schemas.openxmlformats.org/officeDocument/2006/relationships/hyperlink" Id="rId45" Target="https://doi.org/10.1128/AAC.01968-17" TargetMode="External" /><Relationship Type="http://schemas.openxmlformats.org/officeDocument/2006/relationships/hyperlink" Id="rId110" Target="https://doi.org/10.1128/aac.00559-20" TargetMode="External" /><Relationship Type="http://schemas.openxmlformats.org/officeDocument/2006/relationships/hyperlink" Id="rId120" Target="https://doi.org/10.1128/aac.02142-21" TargetMode="External" /><Relationship Type="http://schemas.openxmlformats.org/officeDocument/2006/relationships/hyperlink" Id="rId63" Target="https://doi.org/10.1128/spectrum.00164-24" TargetMode="External" /><Relationship Type="http://schemas.openxmlformats.org/officeDocument/2006/relationships/hyperlink" Id="rId87" Target="https://doi.org/10.1128/spectrum.00930-24" TargetMode="External" /><Relationship Type="http://schemas.openxmlformats.org/officeDocument/2006/relationships/hyperlink" Id="rId136" Target="https://doi.org/10.1128/spectrum.03108-23" TargetMode="External" /><Relationship Type="http://schemas.openxmlformats.org/officeDocument/2006/relationships/hyperlink" Id="rId97" Target="https://doi.org/10.1128/spectrum.03496-22" TargetMode="External" /><Relationship Type="http://schemas.openxmlformats.org/officeDocument/2006/relationships/hyperlink" Id="rId138" Target="https://doi.org/10.2147/IDR.S475462" TargetMode="External" /><Relationship Type="http://schemas.openxmlformats.org/officeDocument/2006/relationships/hyperlink" Id="rId79" Target="https://doi.org/10.3390/antibiotics11121681" TargetMode="External" /><Relationship Type="http://schemas.openxmlformats.org/officeDocument/2006/relationships/hyperlink" Id="rId142" Target="https://doi.org/10.3390/antibiotics12040746" TargetMode="External" /><Relationship Type="http://schemas.openxmlformats.org/officeDocument/2006/relationships/hyperlink" Id="rId55" Target="https://doi.org/10.3390/antibiotics12050858" TargetMode="External" /><Relationship Type="http://schemas.openxmlformats.org/officeDocument/2006/relationships/hyperlink" Id="rId118" Target="https://doi.org/10.3390/antibiotics12061048" TargetMode="External" /><Relationship Type="http://schemas.openxmlformats.org/officeDocument/2006/relationships/hyperlink" Id="rId132" Target="https://doi.org/10.3390/antibiotics13111001" TargetMode="External" /><Relationship Type="http://schemas.openxmlformats.org/officeDocument/2006/relationships/hyperlink" Id="rId144" Target="https://doi.org/10.3390/antibiotics13111007" TargetMode="External" /><Relationship Type="http://schemas.openxmlformats.org/officeDocument/2006/relationships/hyperlink" Id="rId106" Target="https://doi.org/10.3390/antibiotics13121236" TargetMode="External" /><Relationship Type="http://schemas.openxmlformats.org/officeDocument/2006/relationships/hyperlink" Id="rId101" Target="https://doi.org/10.3390/antibiotics14020210" TargetMode="External" /><Relationship Type="http://schemas.openxmlformats.org/officeDocument/2006/relationships/hyperlink" Id="rId61" Target="https://doi.org/10.3390/cells13161315" TargetMode="External" /><Relationship Type="http://schemas.openxmlformats.org/officeDocument/2006/relationships/hyperlink" Id="rId122" Target="https://doi.org/10.3390/microorganisms11040984"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114" Target="https://doi.org/10.1002/advs.202400862" TargetMode="External" /><Relationship Type="http://schemas.openxmlformats.org/officeDocument/2006/relationships/hyperlink" Id="rId81" Target="https://doi.org/10.1002/jcb.30424" TargetMode="External" /><Relationship Type="http://schemas.openxmlformats.org/officeDocument/2006/relationships/hyperlink" Id="rId91" Target="https://doi.org/10.1007/s10096-022-04408-5" TargetMode="External" /><Relationship Type="http://schemas.openxmlformats.org/officeDocument/2006/relationships/hyperlink" Id="rId74" Target="https://doi.org/10.1007/s10096-022-04503-7" TargetMode="External" /><Relationship Type="http://schemas.openxmlformats.org/officeDocument/2006/relationships/hyperlink" Id="rId65" Target="https://doi.org/10.1007/s10096-023-04732-4" TargetMode="External" /><Relationship Type="http://schemas.openxmlformats.org/officeDocument/2006/relationships/hyperlink" Id="rId134" Target="https://doi.org/10.1007/s10096-024-04833-8" TargetMode="External" /><Relationship Type="http://schemas.openxmlformats.org/officeDocument/2006/relationships/hyperlink" Id="rId130" Target="https://doi.org/10.1007/s15010-022-01933-5" TargetMode="External" /><Relationship Type="http://schemas.openxmlformats.org/officeDocument/2006/relationships/hyperlink" Id="rId126" Target="https://doi.org/10.1007/s40121-023-00854-6" TargetMode="External" /><Relationship Type="http://schemas.openxmlformats.org/officeDocument/2006/relationships/hyperlink" Id="rId146" Target="https://doi.org/10.1007/s40121-024-01016-y" TargetMode="External" /><Relationship Type="http://schemas.openxmlformats.org/officeDocument/2006/relationships/hyperlink" Id="rId51" Target="https://doi.org/10.1016/j.cmi.2021.05.002" TargetMode="External" /><Relationship Type="http://schemas.openxmlformats.org/officeDocument/2006/relationships/hyperlink" Id="rId47" Target="https://doi.org/10.1016/j.cmi.2021.11.025" TargetMode="External" /><Relationship Type="http://schemas.openxmlformats.org/officeDocument/2006/relationships/hyperlink" Id="rId148" Target="https://doi.org/10.1016/j.cmi.2022.04.013" TargetMode="External" /><Relationship Type="http://schemas.openxmlformats.org/officeDocument/2006/relationships/hyperlink" Id="rId151" Target="https://doi.org/10.1016/j.ijantimicag.2023.106825" TargetMode="External" /><Relationship Type="http://schemas.openxmlformats.org/officeDocument/2006/relationships/hyperlink" Id="rId124" Target="https://doi.org/10.1016/j.ijantimicag.2024.107190" TargetMode="External" /><Relationship Type="http://schemas.openxmlformats.org/officeDocument/2006/relationships/hyperlink" Id="rId57" Target="https://doi.org/10.1016/j.jgar.2020.07.009" TargetMode="External" /><Relationship Type="http://schemas.openxmlformats.org/officeDocument/2006/relationships/hyperlink" Id="rId103" Target="https://doi.org/10.1016/j.jgar.2024.01.021" TargetMode="External" /><Relationship Type="http://schemas.openxmlformats.org/officeDocument/2006/relationships/hyperlink" Id="rId67" Target="https://doi.org/10.1016/j.jinf.2025.106417" TargetMode="External" /><Relationship Type="http://schemas.openxmlformats.org/officeDocument/2006/relationships/hyperlink" Id="rId99" Target="https://doi.org/10.1016/j.jiph.2023.11.003" TargetMode="External" /><Relationship Type="http://schemas.openxmlformats.org/officeDocument/2006/relationships/hyperlink" Id="rId112" Target="https://doi.org/10.1038/s41392-022-00986-0" TargetMode="External" /><Relationship Type="http://schemas.openxmlformats.org/officeDocument/2006/relationships/hyperlink" Id="rId76" Target="https://doi.org/10.1038/s41429-024-00801-8" TargetMode="External" /><Relationship Type="http://schemas.openxmlformats.org/officeDocument/2006/relationships/hyperlink" Id="rId108" Target="https://doi.org/10.1038/s41467-023-40828-3" TargetMode="External" /><Relationship Type="http://schemas.openxmlformats.org/officeDocument/2006/relationships/hyperlink" Id="rId89" Target="https://doi.org/10.1038/s44259-025-00079-2" TargetMode="External" /><Relationship Type="http://schemas.openxmlformats.org/officeDocument/2006/relationships/hyperlink" Id="rId95" Target="https://doi.org/10.1080/1120009X.2022.2090615" TargetMode="External" /><Relationship Type="http://schemas.openxmlformats.org/officeDocument/2006/relationships/hyperlink" Id="rId49" Target="https://doi.org/10.1093/cid/ciae403" TargetMode="External" /><Relationship Type="http://schemas.openxmlformats.org/officeDocument/2006/relationships/hyperlink" Id="rId116" Target="https://doi.org/10.1093/jac/dkad032" TargetMode="External" /><Relationship Type="http://schemas.openxmlformats.org/officeDocument/2006/relationships/hyperlink" Id="rId128" Target="https://doi.org/10.1093/jac/dkad298" TargetMode="External" /><Relationship Type="http://schemas.openxmlformats.org/officeDocument/2006/relationships/hyperlink" Id="rId53" Target="https://doi.org/10.1093/ofid/ofaa439.1478" TargetMode="External" /><Relationship Type="http://schemas.openxmlformats.org/officeDocument/2006/relationships/hyperlink" Id="rId59" Target="https://doi.org/10.1093/ofid/ofaa439.1806" TargetMode="External" /><Relationship Type="http://schemas.openxmlformats.org/officeDocument/2006/relationships/hyperlink" Id="rId85" Target="https://doi.org/10.1093/ofid/ofac484" TargetMode="External" /><Relationship Type="http://schemas.openxmlformats.org/officeDocument/2006/relationships/hyperlink" Id="rId140" Target="https://doi.org/10.1093/ofid/ofad329" TargetMode="External" /><Relationship Type="http://schemas.openxmlformats.org/officeDocument/2006/relationships/hyperlink" Id="rId83" Target="https://doi.org/10.1093/ofid/ofad500.2135" TargetMode="External" /><Relationship Type="http://schemas.openxmlformats.org/officeDocument/2006/relationships/hyperlink" Id="rId71" Target="https://doi.org/10.1093/ofid/ofae631.1298" TargetMode="External" /><Relationship Type="http://schemas.openxmlformats.org/officeDocument/2006/relationships/hyperlink" Id="rId69" Target="https://doi.org/10.1093/ofid/ofae631.166" TargetMode="External" /><Relationship Type="http://schemas.openxmlformats.org/officeDocument/2006/relationships/hyperlink" Id="rId93" Target="https://doi.org/10.1101/2024.02.13.579981" TargetMode="External" /><Relationship Type="http://schemas.openxmlformats.org/officeDocument/2006/relationships/hyperlink" Id="rId43" Target="https://doi.org/10.1128/AAC.01405-16" TargetMode="External" /><Relationship Type="http://schemas.openxmlformats.org/officeDocument/2006/relationships/hyperlink" Id="rId45" Target="https://doi.org/10.1128/AAC.01968-17" TargetMode="External" /><Relationship Type="http://schemas.openxmlformats.org/officeDocument/2006/relationships/hyperlink" Id="rId110" Target="https://doi.org/10.1128/aac.00559-20" TargetMode="External" /><Relationship Type="http://schemas.openxmlformats.org/officeDocument/2006/relationships/hyperlink" Id="rId120" Target="https://doi.org/10.1128/aac.02142-21" TargetMode="External" /><Relationship Type="http://schemas.openxmlformats.org/officeDocument/2006/relationships/hyperlink" Id="rId63" Target="https://doi.org/10.1128/spectrum.00164-24" TargetMode="External" /><Relationship Type="http://schemas.openxmlformats.org/officeDocument/2006/relationships/hyperlink" Id="rId87" Target="https://doi.org/10.1128/spectrum.00930-24" TargetMode="External" /><Relationship Type="http://schemas.openxmlformats.org/officeDocument/2006/relationships/hyperlink" Id="rId136" Target="https://doi.org/10.1128/spectrum.03108-23" TargetMode="External" /><Relationship Type="http://schemas.openxmlformats.org/officeDocument/2006/relationships/hyperlink" Id="rId97" Target="https://doi.org/10.1128/spectrum.03496-22" TargetMode="External" /><Relationship Type="http://schemas.openxmlformats.org/officeDocument/2006/relationships/hyperlink" Id="rId138" Target="https://doi.org/10.2147/IDR.S475462" TargetMode="External" /><Relationship Type="http://schemas.openxmlformats.org/officeDocument/2006/relationships/hyperlink" Id="rId79" Target="https://doi.org/10.3390/antibiotics11121681" TargetMode="External" /><Relationship Type="http://schemas.openxmlformats.org/officeDocument/2006/relationships/hyperlink" Id="rId142" Target="https://doi.org/10.3390/antibiotics12040746" TargetMode="External" /><Relationship Type="http://schemas.openxmlformats.org/officeDocument/2006/relationships/hyperlink" Id="rId55" Target="https://doi.org/10.3390/antibiotics12050858" TargetMode="External" /><Relationship Type="http://schemas.openxmlformats.org/officeDocument/2006/relationships/hyperlink" Id="rId118" Target="https://doi.org/10.3390/antibiotics12061048" TargetMode="External" /><Relationship Type="http://schemas.openxmlformats.org/officeDocument/2006/relationships/hyperlink" Id="rId132" Target="https://doi.org/10.3390/antibiotics13111001" TargetMode="External" /><Relationship Type="http://schemas.openxmlformats.org/officeDocument/2006/relationships/hyperlink" Id="rId144" Target="https://doi.org/10.3390/antibiotics13111007" TargetMode="External" /><Relationship Type="http://schemas.openxmlformats.org/officeDocument/2006/relationships/hyperlink" Id="rId106" Target="https://doi.org/10.3390/antibiotics13121236" TargetMode="External" /><Relationship Type="http://schemas.openxmlformats.org/officeDocument/2006/relationships/hyperlink" Id="rId101" Target="https://doi.org/10.3390/antibiotics14020210" TargetMode="External" /><Relationship Type="http://schemas.openxmlformats.org/officeDocument/2006/relationships/hyperlink" Id="rId61" Target="https://doi.org/10.3390/cells13161315" TargetMode="External" /><Relationship Type="http://schemas.openxmlformats.org/officeDocument/2006/relationships/hyperlink" Id="rId122" Target="https://doi.org/10.3390/microorganisms11040984"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dc:language>en</dc:language>
  <cp:keywords>cefiderocol, combination therapy, systematic review, in vitro studies, in vivo studies, human studies</cp:keywords>
  <dcterms:created xsi:type="dcterms:W3CDTF">2026-02-09T09:58:01Z</dcterms:created>
  <dcterms:modified xsi:type="dcterms:W3CDTF">2026-02-09T09:58:01Z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toc-title">
    <vt:lpwstr>Table of contents</vt:lpwstr>
  </property>
  <property fmtid="{D5CDD505-2E9C-101B-9397-08002B2CF9AE}" pid="14" name="wordcount_abstract_words">
    <vt:lpwstr>0</vt:lpwstr>
  </property>
  <property fmtid="{D5CDD505-2E9C-101B-9397-08002B2CF9AE}" pid="15" name="wordcount_appendix_words">
    <vt:lpwstr>0</vt:lpwstr>
  </property>
  <property fmtid="{D5CDD505-2E9C-101B-9397-08002B2CF9AE}" pid="16" name="wordcount_body_words">
    <vt:lpwstr>3257</vt:lpwstr>
  </property>
  <property fmtid="{D5CDD505-2E9C-101B-9397-08002B2CF9AE}" pid="17" name="wordcount_note_words">
    <vt:lpwstr>0</vt:lpwstr>
  </property>
  <property fmtid="{D5CDD505-2E9C-101B-9397-08002B2CF9AE}" pid="18" name="wordcount_ref_words">
    <vt:lpwstr>2169</vt:lpwstr>
  </property>
  <property fmtid="{D5CDD505-2E9C-101B-9397-08002B2CF9AE}" pid="19" name="wordcount_total_words">
    <vt:lpwstr>5426</vt:lpwstr>
  </property>
</Properties>
</file>