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6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1"/>
    <w:bookmarkStart w:id="25" w:name="methods"/>
    <w:p>
      <w:pPr>
        <w:pStyle w:val="Heading1"/>
      </w:pPr>
      <w:r>
        <w:t xml:space="preserve">Methods</w:t>
      </w:r>
    </w:p>
    <w:bookmarkStart w:id="22"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2"/>
    <w:bookmarkStart w:id="23"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3"/>
    <w:bookmarkStart w:id="24"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4"/>
    <w:bookmarkEnd w:id="25"/>
    <w:bookmarkStart w:id="33"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0"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6"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6"/>
    <w:bookmarkStart w:id="27"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7"/>
    <w:bookmarkStart w:id="28"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8"/>
    <w:bookmarkStart w:id="29"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9"/>
    <w:bookmarkEnd w:id="30"/>
    <w:bookmarkStart w:id="31"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1"/>
    <w:bookmarkStart w:id="32"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2"/>
    <w:bookmarkEnd w:id="33"/>
    <w:bookmarkStart w:id="34"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4"/>
    <w:bookmarkStart w:id="25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5"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5"/>
    <w:bookmarkStart w:id="138" w:name="transparency-declarations"/>
    <w:p>
      <w:pPr>
        <w:pStyle w:val="Heading3"/>
      </w:pPr>
      <w:r>
        <w:rPr>
          <w:b/>
          <w:bCs/>
        </w:rPr>
        <w:t xml:space="preserve">Transparency declarations</w:t>
      </w:r>
    </w:p>
    <w:p>
      <w:pPr>
        <w:pStyle w:val="FirstParagraph"/>
      </w:pPr>
      <w:r>
        <w:t xml:space="preserve">No conflicts of interest to declare</w:t>
      </w:r>
    </w:p>
    <w:p>
      <w:r>
        <w:br w:type="page"/>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7" name="Picture"/>
            <a:graphic>
              <a:graphicData uri="http://schemas.openxmlformats.org/drawingml/2006/picture">
                <pic:pic>
                  <pic:nvPicPr>
                    <pic:cNvPr descr="images/prisma.png" id="38" name="Picture"/>
                    <pic:cNvPicPr>
                      <a:picLocks noChangeArrowheads="1" noChangeAspect="1"/>
                    </pic:cNvPicPr>
                  </pic:nvPicPr>
                  <pic:blipFill>
                    <a:blip r:embed="rId36"/>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49"/>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87"/>
        <w:gridCol w:w="806"/>
        <w:gridCol w:w="927"/>
        <w:gridCol w:w="1753"/>
        <w:gridCol w:w="2216"/>
        <w:gridCol w:w="1148"/>
      </w:tblGrid>
      <w:tr>
        <w:trPr>
          <w:tblHeader w:val="on"/>
        </w:trPr>
        <w:tc>
          <w:tcPr/>
          <w:p>
            <w:pPr>
              <w:pStyle w:val="Compact"/>
            </w:pPr>
            <w:r>
              <w:t xml:space="preserve">Author, year</w:t>
            </w:r>
          </w:p>
        </w:tc>
        <w:tc>
          <w:tcPr/>
          <w:p>
            <w:pPr>
              <w:pStyle w:val="Compact"/>
            </w:pPr>
            <w:r>
              <w:t xml:space="preserve">Molecules</w:t>
            </w:r>
          </w:p>
        </w:tc>
        <w:tc>
          <w:tcPr/>
          <w:p>
            <w:pPr>
              <w:pStyle w:val="Compact"/>
            </w:pPr>
            <w:r>
              <w:t xml:space="preserve">Methods</w:t>
            </w:r>
          </w:p>
        </w:tc>
        <w:tc>
          <w:tcPr/>
          <w:p>
            <w:pPr>
              <w:pStyle w:val="Compact"/>
            </w:pPr>
            <w:r>
              <w:t xml:space="preserve">Isolates</w:t>
            </w:r>
          </w:p>
        </w:tc>
        <w:tc>
          <w:tcPr/>
          <w:p>
            <w:pPr>
              <w:pStyle w:val="Compact"/>
            </w:pPr>
            <w:r>
              <w:t xml:space="preserve">Synergy</w:t>
            </w:r>
          </w:p>
        </w:tc>
        <w:tc>
          <w:tcPr/>
          <w:p>
            <w:pPr>
              <w:pStyle w:val="Compact"/>
              <w:jc w:val="center"/>
            </w:pPr>
            <w:r>
              <w:t xml:space="preserve">Result</w:t>
            </w:r>
          </w:p>
        </w:tc>
      </w:tr>
      <w:tr>
        <w:tc>
          <w:tcPr/>
          <w:p>
            <w:pPr>
              <w:pStyle w:val="Compact"/>
            </w:pPr>
            <w:r>
              <w:t xml:space="preserve">Tsuji, 2016</w:t>
            </w:r>
            <w:r>
              <w:t xml:space="preserve"> </w:t>
            </w:r>
            <w:r>
              <w:t xml:space="preserve">[6]</w:t>
            </w:r>
          </w:p>
        </w:tc>
        <w:tc>
          <w:tcPr/>
          <w:p>
            <w:pPr>
              <w:pStyle w:val="Compact"/>
            </w:pPr>
            <w:r>
              <w:t xml:space="preserve">MER, AMK, and COL</w:t>
            </w:r>
          </w:p>
        </w:tc>
        <w:tc>
          <w:tcPr/>
          <w:p>
            <w:pPr>
              <w:pStyle w:val="Compact"/>
            </w:pPr>
            <w:r>
              <w:t xml:space="preserve">BMD MIC</w:t>
            </w:r>
          </w:p>
        </w:tc>
        <w:tc>
          <w:tcPr/>
          <w:p>
            <w:pPr>
              <w:pStyle w:val="Compac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0" name="Picture"/>
                  <a:graphic>
                    <a:graphicData uri="http://schemas.openxmlformats.org/drawingml/2006/picture">
                      <pic:pic>
                        <pic:nvPicPr>
                          <pic:cNvPr descr="images/green_synergy.png" id="4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MER, AMK, and CIP</w:t>
            </w:r>
          </w:p>
        </w:tc>
        <w:tc>
          <w:tcPr/>
          <w:p>
            <w:pPr>
              <w:pStyle w:val="Compact"/>
            </w:pPr>
            <w:r>
              <w:t xml:space="preserve">Checkerboard and time-kill</w:t>
            </w:r>
          </w:p>
        </w:tc>
        <w:tc>
          <w:tcPr/>
          <w:p>
            <w:pPr>
              <w:pStyle w:val="Compac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Palombo, 2023</w:t>
            </w:r>
            <w:r>
              <w:t xml:space="preserve"> </w:t>
            </w:r>
            <w:r>
              <w:t xml:space="preserve">[7]</w:t>
            </w:r>
          </w:p>
        </w:tc>
        <w:tc>
          <w:tcPr/>
          <w:p>
            <w:pPr>
              <w:pStyle w:val="Compact"/>
            </w:pPr>
            <w:r>
              <w:t xml:space="preserve">P–T, FOS, A–S, CZA, MEV, and IMR</w:t>
            </w:r>
          </w:p>
        </w:tc>
        <w:tc>
          <w:tcPr/>
          <w:p>
            <w:pPr>
              <w:pStyle w:val="Compact"/>
            </w:pPr>
            <w:r>
              <w:t xml:space="preserve">Gradient diffusion strip crossing</w:t>
            </w:r>
          </w:p>
        </w:tc>
        <w:tc>
          <w:tcPr/>
          <w:p>
            <w:pPr>
              <w:pStyle w:val="BodyText"/>
            </w:pPr>
            <w:r>
              <w:t xml:space="preserve">FDC-R: 1</w:t>
            </w:r>
            <w:r>
              <w:t xml:space="preserve"> </w:t>
            </w:r>
            <w:r>
              <w:rPr>
                <w:i/>
                <w:iCs/>
              </w:rPr>
              <w:t xml:space="preserve">Kp</w:t>
            </w:r>
            <w:r>
              <w:t xml:space="preserve"> </w:t>
            </w:r>
            <w:r>
              <w:t xml:space="preserve">and 1</w:t>
            </w:r>
            <w:r>
              <w:t xml:space="preserve"> </w:t>
            </w:r>
            <w:r>
              <w:rPr>
                <w:i/>
                <w:iCs/>
              </w:rPr>
              <w:t xml:space="preserve">Ab</w:t>
            </w:r>
          </w:p>
          <w:p>
            <w:pPr>
              <w:pStyle w:val="BodyTex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pStyle w:val="BodyText"/>
            </w:pPr>
            <w:r>
              <w:t xml:space="preserve">No synergy for P/T, MEV, IMR</w:t>
            </w:r>
          </w:p>
          <w:p>
            <w:pPr>
              <w:pStyle w:val="BodyText"/>
            </w:pPr>
            <w:r>
              <w:t xml:space="preserve">FDC-R: synergy for FOS (n=2) and CZA in 1</w:t>
            </w:r>
            <w:r>
              <w:t xml:space="preserve"> </w:t>
            </w:r>
            <w:r>
              <w:rPr>
                <w:i/>
                <w:iCs/>
              </w:rPr>
              <w:t xml:space="preserve">Kp;</w:t>
            </w:r>
          </w:p>
          <w:p>
            <w:pPr>
              <w:pStyle w:val="BodyTex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5" name="Picture"/>
                  <a:graphic>
                    <a:graphicData uri="http://schemas.openxmlformats.org/drawingml/2006/picture">
                      <pic:pic>
                        <pic:nvPicPr>
                          <pic:cNvPr descr="images/yellow_synergy.png" id="46" name="Picture"/>
                          <pic:cNvPicPr>
                            <a:picLocks noChangeArrowheads="1" noChangeAspect="1"/>
                          </pic:cNvPicPr>
                        </pic:nvPicPr>
                        <pic:blipFill>
                          <a:blip r:embed="rId44"/>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pPr>
            <w:r>
              <w:t xml:space="preserve">Kohira, 2020</w:t>
            </w:r>
            <w:r>
              <w:t xml:space="preserve"> </w:t>
            </w:r>
            <w:r>
              <w:t xml:space="preserve">[8]</w:t>
            </w:r>
          </w:p>
        </w:tc>
        <w:tc>
          <w:tcPr/>
          <w:p>
            <w:pPr>
              <w:pStyle w:val="Compact"/>
            </w:pPr>
            <w:r>
              <w:t xml:space="preserve">AVI</w:t>
            </w:r>
          </w:p>
        </w:tc>
        <w:tc>
          <w:tcPr/>
          <w:p>
            <w:pPr>
              <w:pStyle w:val="Compact"/>
            </w:pPr>
            <w:r>
              <w:t xml:space="preserve">BMD MIC</w:t>
            </w:r>
          </w:p>
        </w:tc>
        <w:tc>
          <w:tcPr/>
          <w:p>
            <w:pPr>
              <w:pStyle w:val="Compact"/>
            </w:pPr>
            <w:r>
              <w:t xml:space="preserve">33 non-NDM-EB,</w:t>
            </w:r>
            <w:r>
              <w:t xml:space="preserve"> </w:t>
            </w:r>
            <w:r>
              <w:rPr>
                <w:i/>
                <w:iCs/>
              </w:rPr>
              <w:t xml:space="preserve">Ab</w:t>
            </w:r>
            <w:r>
              <w:t xml:space="preserve">, and</w:t>
            </w:r>
            <w:r>
              <w:t xml:space="preserve"> </w:t>
            </w:r>
            <w:r>
              <w:rPr>
                <w:i/>
                <w:iCs/>
              </w:rPr>
              <w:t xml:space="preserve">Pa</w:t>
            </w:r>
          </w:p>
        </w:tc>
        <w:tc>
          <w:tcPr/>
          <w:p>
            <w:pPr>
              <w:pStyle w:val="Compact"/>
            </w:pPr>
            <w:r>
              <w:t xml:space="preserve">≥8-fold MIC decrease in 32/33</w:t>
            </w:r>
          </w:p>
        </w:tc>
        <w:tc>
          <w:tcPr/>
          <w:p>
            <w:pPr>
              <w:pStyle w:val="Compact"/>
              <w:jc w:val="center"/>
            </w:pPr>
            <w:r>
              <w:drawing>
                <wp:inline>
                  <wp:extent cx="333375" cy="333375"/>
                  <wp:effectExtent b="0" l="0" r="0" t="0"/>
                  <wp:docPr descr="" title="" id="47" name="Picture"/>
                  <a:graphic>
                    <a:graphicData uri="http://schemas.openxmlformats.org/drawingml/2006/picture">
                      <pic:pic>
                        <pic:nvPicPr>
                          <pic:cNvPr descr="images/green_synergy.png" id="4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 Terrier, 2024</w:t>
            </w:r>
            <w:r>
              <w:t xml:space="preserve"> </w:t>
            </w:r>
            <w:r>
              <w:t xml:space="preserve">[12]</w:t>
            </w:r>
          </w:p>
        </w:tc>
        <w:tc>
          <w:tcPr/>
          <w:p>
            <w:pPr>
              <w:pStyle w:val="Compact"/>
            </w:pPr>
            <w:r>
              <w:t xml:space="preserve">ZID, TAN, NAC, AVI, REL, VAB</w:t>
            </w:r>
          </w:p>
        </w:tc>
        <w:tc>
          <w:tcPr/>
          <w:p>
            <w:pPr>
              <w:pStyle w:val="Compact"/>
            </w:pPr>
            <w:r>
              <w:t xml:space="preserve">BMD MIC</w:t>
            </w:r>
          </w:p>
        </w:tc>
        <w:tc>
          <w:tcPr/>
          <w:p>
            <w:pPr>
              <w:pStyle w:val="Compac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pStyle w:val="BodyText"/>
            </w:pPr>
            <w:r>
              <w:t xml:space="preserve">EB and</w:t>
            </w:r>
            <w:r>
              <w:t xml:space="preserve"> </w:t>
            </w:r>
            <w:r>
              <w:rPr>
                <w:i/>
                <w:iCs/>
              </w:rPr>
              <w:t xml:space="preserve">Pa</w:t>
            </w:r>
            <w:r>
              <w:t xml:space="preserve">: FDC+ZID showed the highest susceptibility rate, other combinations had lower rates</w:t>
            </w:r>
          </w:p>
          <w:p>
            <w:pPr>
              <w:pStyle w:val="BodyTex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Xu, 2025</w:t>
            </w:r>
            <w:r>
              <w:t xml:space="preserve"> </w:t>
            </w:r>
            <w:r>
              <w:t xml:space="preserve">[13]</w:t>
            </w:r>
          </w:p>
        </w:tc>
        <w:tc>
          <w:tcPr/>
          <w:p>
            <w:pPr>
              <w:pStyle w:val="Compact"/>
            </w:pPr>
            <w:r>
              <w:t xml:space="preserve">ZID</w:t>
            </w:r>
          </w:p>
        </w:tc>
        <w:tc>
          <w:tcPr/>
          <w:p>
            <w:pPr>
              <w:pStyle w:val="Compact"/>
            </w:pPr>
            <w:r>
              <w:t xml:space="preserve">Checkerboard</w:t>
            </w:r>
          </w:p>
        </w:tc>
        <w:tc>
          <w:tcPr/>
          <w:p>
            <w:pPr>
              <w:pStyle w:val="Compact"/>
            </w:pPr>
            <w:r>
              <w:t xml:space="preserve">14 FDC-R-EB + FDC-S-</w:t>
            </w:r>
            <w:r>
              <w:rPr>
                <w:i/>
                <w:iCs/>
              </w:rPr>
              <w:t xml:space="preserve">Ab</w:t>
            </w:r>
          </w:p>
        </w:tc>
        <w:tc>
          <w:tcPr/>
          <w:p>
            <w:pPr>
              <w:pStyle w:val="Compact"/>
            </w:pPr>
            <w:r>
              <w:t xml:space="preserve">ZID restored and even enhanced FDC antibacterial activity</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8 FDC-R-EB + FDC-S-</w:t>
            </w:r>
            <w:r>
              <w:rPr>
                <w:i/>
                <w:iCs/>
              </w:rPr>
              <w:t xml:space="preserve">Ab</w:t>
            </w:r>
          </w:p>
        </w:tc>
        <w:tc>
          <w:tcPr/>
          <w:p>
            <w:pPr>
              <w:pStyle w:val="Compact"/>
            </w:pPr>
            <w:r>
              <w:t xml:space="preserve">FDC+ZID inhibited the growth of all strains (FDC did not achieve it)</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Cell infection model</w:t>
            </w:r>
          </w:p>
        </w:tc>
        <w:tc>
          <w:tcPr/>
          <w:p>
            <w:pPr>
              <w:pStyle w:val="Compact"/>
            </w:pPr>
            <w:r>
              <w:t xml:space="preserve">1 FDC-R-</w:t>
            </w:r>
            <w:r>
              <w:rPr>
                <w:i/>
                <w:iCs/>
              </w:rPr>
              <w:t xml:space="preserve">Ent. cloacae</w:t>
            </w:r>
          </w:p>
        </w:tc>
        <w:tc>
          <w:tcPr/>
          <w:p>
            <w:pPr>
              <w:pStyle w:val="Compact"/>
            </w:pPr>
            <w:r>
              <w:t xml:space="preserve">FDC+ZID: significant reduction in the number of viable intracellular bacteria</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[14]</w:t>
            </w:r>
          </w:p>
        </w:tc>
        <w:tc>
          <w:tcPr/>
          <w:p>
            <w:pPr>
              <w:pStyle w:val="Compact"/>
            </w:pPr>
            <w:r>
              <w:t xml:space="preserve">XER</w:t>
            </w:r>
          </w:p>
        </w:tc>
        <w:tc>
          <w:tcPr/>
          <w:p>
            <w:pPr>
              <w:pStyle w:val="Compact"/>
            </w:pPr>
            <w:r>
              <w:t xml:space="preserve">BMD MIC</w:t>
            </w:r>
          </w:p>
        </w:tc>
        <w:tc>
          <w:tcPr/>
          <w:p>
            <w:pPr>
              <w:pStyle w:val="Compact"/>
            </w:pPr>
            <w:r>
              <w:t xml:space="preserve">160 FDC-R and S-</w:t>
            </w:r>
            <w:r>
              <w:rPr>
                <w:i/>
                <w:iCs/>
              </w:rPr>
              <w:t xml:space="preserve">Ab</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[15]</w:t>
            </w:r>
          </w:p>
        </w:tc>
        <w:tc>
          <w:tcPr/>
          <w:p>
            <w:pPr>
              <w:pStyle w:val="Compact"/>
            </w:pPr>
            <w:r>
              <w:t xml:space="preserve">XER</w:t>
            </w:r>
          </w:p>
        </w:tc>
        <w:tc>
          <w:tcPr/>
          <w:p>
            <w:pPr>
              <w:pStyle w:val="Compact"/>
            </w:pPr>
            <w:r>
              <w:t xml:space="preserve">BMD MIC</w:t>
            </w:r>
          </w:p>
        </w:tc>
        <w:tc>
          <w:tcPr/>
          <w:p>
            <w:pPr>
              <w:pStyle w:val="Compact"/>
            </w:pPr>
            <w:r>
              <w:t xml:space="preserve">165 EB (139 CRE)</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2019</w:t>
            </w:r>
            <w:r>
              <w:t xml:space="preserve"> </w:t>
            </w:r>
            <w:r>
              <w:t xml:space="preserve">[58]</w:t>
            </w:r>
          </w:p>
        </w:tc>
        <w:tc>
          <w:tcPr/>
          <w:p>
            <w:pPr>
              <w:pStyle w:val="Compact"/>
            </w:pPr>
            <w:r>
              <w:t xml:space="preserve">CZA, TOL-TAZ, and MER</w:t>
            </w:r>
          </w:p>
        </w:tc>
        <w:tc>
          <w:tcPr/>
          <w:p>
            <w:pPr>
              <w:pStyle w:val="Compact"/>
            </w:pPr>
            <w:r>
              <w:t xml:space="preserve">BMD MIC, checkerboard, time-kill, chemostat</w:t>
            </w:r>
          </w:p>
        </w:tc>
        <w:tc>
          <w:tcPr/>
          <w:p>
            <w:pPr>
              <w:pStyle w:val="Compact"/>
            </w:pPr>
            <w:r>
              <w:t xml:space="preserve">9 EB (5 NDM), and 28</w:t>
            </w:r>
            <w:r>
              <w:t xml:space="preserve"> </w:t>
            </w:r>
            <w:r>
              <w:rPr>
                <w:i/>
                <w:iCs/>
              </w:rPr>
              <w:t xml:space="preserve">Ab</w:t>
            </w:r>
            <w:r>
              <w:t xml:space="preserve"> </w:t>
            </w:r>
            <w:r>
              <w:t xml:space="preserve">(25 PER), all FDC-R</w:t>
            </w:r>
          </w:p>
        </w:tc>
        <w:tc>
          <w:tcPr/>
          <w:p>
            <w:pPr>
              <w:pStyle w:val="Compac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Lewis, 2024</w:t>
            </w:r>
            <w:r>
              <w:t xml:space="preserve"> </w:t>
            </w:r>
            <w:r>
              <w:t xml:space="preserve">[10]</w:t>
            </w:r>
          </w:p>
        </w:tc>
        <w:tc>
          <w:tcPr/>
          <w:p>
            <w:pPr>
              <w:pStyle w:val="Compact"/>
            </w:pPr>
            <w:r>
              <w:t xml:space="preserve">AVI, SUL, TAZ</w:t>
            </w:r>
          </w:p>
        </w:tc>
        <w:tc>
          <w:tcPr/>
          <w:p>
            <w:pPr>
              <w:pStyle w:val="Compact"/>
            </w:pPr>
            <w:r>
              <w:t xml:space="preserve">Time-kill</w:t>
            </w:r>
          </w:p>
        </w:tc>
        <w:tc>
          <w:tcPr/>
          <w:p>
            <w:pPr>
              <w:pStyle w:val="Compac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pPr>
            <w:r>
              <w:t xml:space="preserve">SUL enhanced FDC activity in all isolates</w:t>
            </w:r>
          </w:p>
        </w:tc>
        <w:tc>
          <w:tcPr/>
          <w:p>
            <w:pPr>
              <w:pStyle w:val="Compact"/>
              <w:jc w:val="center"/>
            </w:pPr>
            <w:r>
              <w:drawing>
                <wp:inline>
                  <wp:extent cx="376391"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39"/>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pPr>
            <w:r>
              <w:t xml:space="preserve">Giordano, 2024</w:t>
            </w:r>
            <w:r>
              <w:t xml:space="preserve"> </w:t>
            </w:r>
            <w:r>
              <w:t xml:space="preserve">[11]</w:t>
            </w:r>
          </w:p>
        </w:tc>
        <w:tc>
          <w:tcPr/>
          <w:p>
            <w:pPr>
              <w:pStyle w:val="Compact"/>
            </w:pPr>
            <w:r>
              <w:t xml:space="preserve">Glycine</w:t>
            </w:r>
          </w:p>
        </w:tc>
        <w:tc>
          <w:tcPr/>
          <w:p>
            <w:pPr>
              <w:pStyle w:val="Compact"/>
            </w:pPr>
            <w:r>
              <w:t xml:space="preserve">Checkerboard</w:t>
            </w:r>
          </w:p>
        </w:tc>
        <w:tc>
          <w:tcPr/>
          <w:p>
            <w:pPr>
              <w:pStyle w:val="Compac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pPr>
            <w:r>
              <w:t xml:space="preserve">Positive interaction but no synergy</w:t>
            </w:r>
          </w:p>
        </w:tc>
        <w:tc>
          <w:tcPr/>
          <w:p>
            <w:pPr>
              <w:pStyle w:val="Compact"/>
              <w:jc w:val="center"/>
            </w:pPr>
            <w:r>
              <w:drawing>
                <wp:inline>
                  <wp:extent cx="333375" cy="333375"/>
                  <wp:effectExtent b="0" l="0" r="0" t="0"/>
                  <wp:docPr descr="" title="" id="66" name="Picture"/>
                  <a:graphic>
                    <a:graphicData uri="http://schemas.openxmlformats.org/drawingml/2006/picture">
                      <pic:pic>
                        <pic:nvPicPr>
                          <pic:cNvPr descr="images/red_synergy.png" id="67"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Abdul-Mutakabbir, 2021</w:t>
            </w:r>
            <w:r>
              <w:t xml:space="preserve"> </w:t>
            </w:r>
            <w:r>
              <w:t xml:space="preserve">[16]</w:t>
            </w:r>
          </w:p>
        </w:tc>
        <w:tc>
          <w:tcPr/>
          <w:p>
            <w:pPr>
              <w:pStyle w:val="Compact"/>
            </w:pPr>
            <w:r>
              <w:t xml:space="preserve">MER, AMK, TGC, MIN, SUL, CZA, and COL</w:t>
            </w:r>
          </w:p>
        </w:tc>
        <w:tc>
          <w:tcPr/>
          <w:p>
            <w:pPr>
              <w:pStyle w:val="Compact"/>
            </w:pPr>
            <w:r>
              <w:t xml:space="preserve">Time-kill</w:t>
            </w:r>
          </w:p>
        </w:tc>
        <w:tc>
          <w:tcPr/>
          <w:p>
            <w:pPr>
              <w:pStyle w:val="Compact"/>
            </w:pPr>
            <w:r>
              <w:t xml:space="preserve">6 FDC-R</w:t>
            </w:r>
            <w:r>
              <w:t xml:space="preserve"> </w:t>
            </w:r>
            <w:r>
              <w:rPr>
                <w:i/>
                <w:iCs/>
              </w:rPr>
              <w:t xml:space="preserve">Ab</w:t>
            </w:r>
          </w:p>
        </w:tc>
        <w:tc>
          <w:tcPr/>
          <w:p>
            <w:pPr>
              <w:pStyle w:val="Compact"/>
            </w:pPr>
            <w:r>
              <w:t xml:space="preserve">No synergy for CZA and COL (in COL-R). Synergy for the other antibiotics</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yellow_synergy.png" id="6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Ni, 2022</w:t>
            </w:r>
            <w:r>
              <w:t xml:space="preserve"> </w:t>
            </w:r>
            <w:r>
              <w:t xml:space="preserve">[17]</w:t>
            </w:r>
          </w:p>
        </w:tc>
        <w:tc>
          <w:tcPr/>
          <w:p>
            <w:pPr>
              <w:pStyle w:val="Compact"/>
            </w:pPr>
            <w:r>
              <w:t xml:space="preserve">TGC, COL, and MER</w:t>
            </w:r>
          </w:p>
        </w:tc>
        <w:tc>
          <w:tcPr/>
          <w:p>
            <w:pPr>
              <w:pStyle w:val="Compact"/>
            </w:pPr>
            <w:r>
              <w:t xml:space="preserve">Checkerboard</w:t>
            </w:r>
          </w:p>
        </w:tc>
        <w:tc>
          <w:tcPr/>
          <w:p>
            <w:pPr>
              <w:pStyle w:val="Compact"/>
            </w:pPr>
            <w:r>
              <w:t xml:space="preserve">123 CRAB (44 FDC-R and 79 S)</w:t>
            </w:r>
          </w:p>
        </w:tc>
        <w:tc>
          <w:tcPr/>
          <w:p>
            <w:pPr>
              <w:pStyle w:val="BodyText"/>
            </w:pPr>
            <w:r>
              <w:t xml:space="preserve">S: synergy for TGC (85%)</w:t>
            </w:r>
          </w:p>
          <w:p>
            <w:pPr>
              <w:pStyle w:val="BodyText"/>
            </w:pPr>
            <w:r>
              <w:t xml:space="preserve">R: synergy for TGC (91%), COL (48%), and MER (80%)</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green_synergy.png" id="7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21 CRAB (14 FDC-R and 7 S)</w:t>
            </w:r>
          </w:p>
        </w:tc>
        <w:tc>
          <w:tcPr/>
          <w:p>
            <w:pPr>
              <w:pStyle w:val="BodyText"/>
            </w:pPr>
            <w:r>
              <w:t xml:space="preserve">S: synergy for TGC (100%)</w:t>
            </w:r>
          </w:p>
          <w:p>
            <w:pPr>
              <w:pStyle w:val="BodyText"/>
            </w:pPr>
            <w:r>
              <w:t xml:space="preserve">R: synergy for TGC and COL (100%)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TGC and COL</w:t>
            </w:r>
          </w:p>
        </w:tc>
        <w:tc>
          <w:tcPr/>
          <w:p>
            <w:pPr>
              <w:pStyle w:val="Compact"/>
            </w:pPr>
            <w:r>
              <w:rPr>
                <w:i/>
                <w:iCs/>
              </w:rPr>
              <w:t xml:space="preserve">In vivo</w:t>
            </w:r>
            <w:r>
              <w:t xml:space="preserve"> </w:t>
            </w:r>
            <w:r>
              <w:t xml:space="preserve">model</w:t>
            </w:r>
          </w:p>
        </w:tc>
        <w:tc>
          <w:tcPr/>
          <w:p>
            <w:pPr>
              <w:pStyle w:val="Compact"/>
            </w:pPr>
            <w:r>
              <w:t xml:space="preserve">4 CRAB (2-FDC-R and 2 S)</w:t>
            </w:r>
          </w:p>
        </w:tc>
        <w:tc>
          <w:tcPr/>
          <w:p>
            <w:pPr>
              <w:pStyle w:val="BodyText"/>
            </w:pPr>
            <w:r>
              <w:t xml:space="preserve">S: FDC-TGC increased survival</w:t>
            </w:r>
          </w:p>
          <w:p>
            <w:pPr>
              <w:pStyle w:val="BodyText"/>
            </w:pPr>
            <w:r>
              <w:t xml:space="preserve">R: FDC-TGC and FDC-COL increased survival</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Yin, 2024</w:t>
            </w:r>
            <w:r>
              <w:t xml:space="preserve"> </w:t>
            </w:r>
            <w:r>
              <w:t xml:space="preserve">[18]</w:t>
            </w:r>
          </w:p>
        </w:tc>
        <w:tc>
          <w:tcPr/>
          <w:p>
            <w:pPr>
              <w:pStyle w:val="Compact"/>
            </w:pPr>
            <w:r>
              <w:t xml:space="preserve">TET analogues (MIN, TIG, ERA, OMA)</w:t>
            </w:r>
          </w:p>
        </w:tc>
        <w:tc>
          <w:tcPr/>
          <w:p>
            <w:pPr>
              <w:pStyle w:val="Compact"/>
            </w:pPr>
            <w:r>
              <w:t xml:space="preserve">Checkerboard</w:t>
            </w:r>
          </w:p>
        </w:tc>
        <w:tc>
          <w:tcPr/>
          <w:p>
            <w:pPr>
              <w:pStyle w:val="Compact"/>
            </w:pPr>
            <w:r>
              <w:t xml:space="preserve">48 FDC-S CRAB</w:t>
            </w:r>
          </w:p>
        </w:tc>
        <w:tc>
          <w:tcPr/>
          <w:p>
            <w:pPr>
              <w:pStyle w:val="Compact"/>
            </w:pPr>
            <w:r>
              <w:t xml:space="preserve">Synergy in 35.4% MIN, 33.3% TIG, 50.0% ERA and 37.5% OMA</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10 FDC-S CRAB</w:t>
            </w:r>
          </w:p>
        </w:tc>
        <w:tc>
          <w:tcPr/>
          <w:p>
            <w:pPr>
              <w:pStyle w:val="Compact"/>
            </w:pPr>
            <w:r>
              <w:t xml:space="preserve">Synergistic effects in most isolates</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rPr>
                <w:i/>
                <w:iCs/>
              </w:rPr>
              <w:t xml:space="preserve">In vivo</w:t>
            </w:r>
            <w:r>
              <w:t xml:space="preserve"> </w:t>
            </w:r>
            <w:r>
              <w:t xml:space="preserve">model</w:t>
            </w:r>
          </w:p>
        </w:tc>
        <w:tc>
          <w:tcPr/>
          <w:p>
            <w:pPr>
              <w:pStyle w:val="Compact"/>
            </w:pPr>
            <w:r>
              <w:t xml:space="preserve">2 FDC-S CRAB</w:t>
            </w:r>
          </w:p>
        </w:tc>
        <w:tc>
          <w:tcPr/>
          <w:p>
            <w:pPr>
              <w:pStyle w:val="Compac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Stolfa, 2021</w:t>
            </w:r>
            <w:r>
              <w:t xml:space="preserve"> </w:t>
            </w:r>
            <w:r>
              <w:t xml:space="preserve">[19]</w:t>
            </w:r>
          </w:p>
        </w:tc>
        <w:tc>
          <w:tcPr/>
          <w:p>
            <w:pPr>
              <w:pStyle w:val="Compact"/>
            </w:pPr>
            <w:r>
              <w:t xml:space="preserve">COL, TGC, and FOS</w:t>
            </w:r>
          </w:p>
        </w:tc>
        <w:tc>
          <w:tcPr/>
          <w:p>
            <w:pPr>
              <w:pStyle w:val="Compact"/>
            </w:pPr>
            <w:r>
              <w:t xml:space="preserve">Gradient diffusion strip crossing</w:t>
            </w:r>
          </w:p>
        </w:tc>
        <w:tc>
          <w:tcPr/>
          <w:p>
            <w:pPr>
              <w:pStyle w:val="Compact"/>
            </w:pPr>
            <w:r>
              <w:t xml:space="preserve">15 FDC-S XDR-</w:t>
            </w:r>
            <w:r>
              <w:rPr>
                <w:i/>
                <w:iCs/>
              </w:rPr>
              <w:t xml:space="preserve">Ab</w:t>
            </w:r>
          </w:p>
        </w:tc>
        <w:tc>
          <w:tcPr/>
          <w:p>
            <w:pPr>
              <w:pStyle w:val="Compact"/>
            </w:pPr>
            <w:r>
              <w:t xml:space="preserve">No synergy found</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red_synergy.png" id="8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2020</w:t>
            </w:r>
            <w:r>
              <w:t xml:space="preserve"> </w:t>
            </w:r>
            <w:r>
              <w:t xml:space="preserve">[9]</w:t>
            </w:r>
          </w:p>
        </w:tc>
        <w:tc>
          <w:tcPr/>
          <w:p>
            <w:pPr>
              <w:pStyle w:val="Compact"/>
            </w:pPr>
            <w:r>
              <w:t xml:space="preserve">AVI, SUL, MER, AMK</w:t>
            </w:r>
          </w:p>
        </w:tc>
        <w:tc>
          <w:tcPr/>
          <w:p>
            <w:pPr>
              <w:pStyle w:val="Compact"/>
            </w:pPr>
            <w:r>
              <w:t xml:space="preserve">Checkerboard</w:t>
            </w:r>
          </w:p>
        </w:tc>
        <w:tc>
          <w:tcPr/>
          <w:p>
            <w:pPr>
              <w:pStyle w:val="Compact"/>
            </w:pPr>
            <w:r>
              <w:t xml:space="preserve">2-FDC-R-PER-</w:t>
            </w:r>
            <w:r>
              <w:rPr>
                <w:i/>
                <w:iCs/>
              </w:rPr>
              <w:t xml:space="preserve">Ab</w:t>
            </w:r>
          </w:p>
        </w:tc>
        <w:tc>
          <w:tcPr/>
          <w:p>
            <w:pPr>
              <w:pStyle w:val="Compact"/>
            </w:pPr>
            <w:r>
              <w:t xml:space="preserve">Synergy for AVI and SUL</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green_synergy.png" id="8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[20]</w:t>
            </w:r>
          </w:p>
        </w:tc>
        <w:tc>
          <w:tcPr/>
          <w:p>
            <w:pPr>
              <w:pStyle w:val="Compact"/>
            </w:pPr>
            <w:r>
              <w:t xml:space="preserve">TAZ, AVI, VAB, REL</w:t>
            </w:r>
          </w:p>
        </w:tc>
        <w:tc>
          <w:tcPr/>
          <w:p>
            <w:pPr>
              <w:pStyle w:val="Compact"/>
            </w:pPr>
            <w:r>
              <w:t xml:space="preserve">Checkerboard</w:t>
            </w:r>
          </w:p>
        </w:tc>
        <w:tc>
          <w:tcPr/>
          <w:p>
            <w:pPr>
              <w:pStyle w:val="Compact"/>
            </w:pPr>
            <w:r>
              <w:t xml:space="preserve">39 (9-FDC-R: 4 KPC-</w:t>
            </w:r>
            <w:r>
              <w:rPr>
                <w:i/>
                <w:iCs/>
              </w:rPr>
              <w:t xml:space="preserve">Kp</w:t>
            </w:r>
            <w:r>
              <w:t xml:space="preserve">, 3-NDM-EB and 2 NDM and OXA-23-like-</w:t>
            </w:r>
            <w:r>
              <w:rPr>
                <w:i/>
                <w:iCs/>
              </w:rPr>
              <w:t xml:space="preserve">Ab</w:t>
            </w:r>
            <w:r>
              <w:t xml:space="preserve">)</w:t>
            </w:r>
          </w:p>
        </w:tc>
        <w:tc>
          <w:tcPr/>
          <w:p>
            <w:pPr>
              <w:pStyle w:val="BodyText"/>
            </w:pPr>
            <w:r>
              <w:t xml:space="preserve">KPC: synergy for AVI, VAB, REL</w:t>
            </w:r>
          </w:p>
          <w:p>
            <w:pPr>
              <w:pStyle w:val="BodyText"/>
            </w:pPr>
            <w:r>
              <w:t xml:space="preserve">MBL: very low synergy with TAZ, AVI, REL</w:t>
            </w:r>
          </w:p>
          <w:p>
            <w:pPr>
              <w:pStyle w:val="BodyTex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yellow_synergy.png" id="87"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pStyle w:val="BodyText"/>
            </w:pPr>
            <w:r>
              <w:t xml:space="preserve">KPC: synergy for AVI, VAB, REL</w:t>
            </w:r>
          </w:p>
          <w:p>
            <w:pPr>
              <w:pStyle w:val="BodyText"/>
            </w:pPr>
            <w:r>
              <w:t xml:space="preserve">NDM and OXA-23: no synergy</w:t>
            </w:r>
          </w:p>
          <w:p>
            <w:pPr>
              <w:pStyle w:val="BodyText"/>
            </w:pPr>
            <w:r>
              <w:t xml:space="preserve">OXA-48: synergy for TAZ and AVI</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Gopikrishnan, 2023</w:t>
            </w:r>
            <w:r>
              <w:t xml:space="preserve"> </w:t>
            </w:r>
            <w:r>
              <w:t xml:space="preserve">[21]</w:t>
            </w:r>
          </w:p>
        </w:tc>
        <w:tc>
          <w:tcPr/>
          <w:p>
            <w:pPr>
              <w:pStyle w:val="Compact"/>
            </w:pPr>
            <w:r>
              <w:t xml:space="preserve">ZID and AVI</w:t>
            </w:r>
          </w:p>
        </w:tc>
        <w:tc>
          <w:tcPr/>
          <w:p>
            <w:pPr>
              <w:pStyle w:val="Compact"/>
            </w:pPr>
            <w:r>
              <w:t xml:space="preserve">BMD MIC and molecular</w:t>
            </w:r>
            <w:r>
              <w:t xml:space="preserve"> </w:t>
            </w:r>
            <w:r>
              <w:t xml:space="preserve">simulation</w:t>
            </w:r>
          </w:p>
        </w:tc>
        <w:tc>
          <w:tcPr/>
          <w:p>
            <w:pPr>
              <w:pStyle w:val="Compact"/>
            </w:pPr>
            <w:r>
              <w:t xml:space="preserve">52 (13 FDC-R) CRAB (OXA‐23, 24, and 58)</w:t>
            </w:r>
          </w:p>
        </w:tc>
        <w:tc>
          <w:tcPr/>
          <w:p>
            <w:pPr>
              <w:pStyle w:val="Compact"/>
            </w:pPr>
            <w:r>
              <w:t xml:space="preserve">Inhibitory activity of FDC+ZID better than monotherapy</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green_synergy.png" id="9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Huband, 2024</w:t>
            </w:r>
            <w:r>
              <w:t xml:space="preserve"> </w:t>
            </w:r>
            <w:r>
              <w:t xml:space="preserve">[22]</w:t>
            </w:r>
          </w:p>
        </w:tc>
        <w:tc>
          <w:tcPr/>
          <w:p>
            <w:pPr>
              <w:pStyle w:val="Compact"/>
            </w:pPr>
            <w:r>
              <w:t xml:space="preserve">SUL</w:t>
            </w:r>
          </w:p>
        </w:tc>
        <w:tc>
          <w:tcPr/>
          <w:p>
            <w:pPr>
              <w:pStyle w:val="Compact"/>
            </w:pPr>
            <w:r>
              <w:t xml:space="preserve">BMD MIC</w:t>
            </w:r>
          </w:p>
        </w:tc>
        <w:tc>
          <w:tcPr/>
          <w:p>
            <w:pPr>
              <w:pStyle w:val="Compact"/>
            </w:pPr>
            <w:r>
              <w:t xml:space="preserve">66</w:t>
            </w:r>
            <w:r>
              <w:t xml:space="preserve"> </w:t>
            </w:r>
            <w:r>
              <w:rPr>
                <w:i/>
                <w:iCs/>
              </w:rPr>
              <w:t xml:space="preserve">Ab</w:t>
            </w:r>
          </w:p>
        </w:tc>
        <w:tc>
          <w:tcPr/>
          <w:p>
            <w:pPr>
              <w:pStyle w:val="Compact"/>
            </w:pPr>
            <w:r>
              <w:t xml:space="preserve">Negative</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red_synergy.png" id="9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DUR</w:t>
            </w:r>
          </w:p>
        </w:tc>
        <w:tc>
          <w:tcPr/>
          <w:p>
            <w:pPr>
              <w:pStyle w:val="Compact"/>
            </w:pPr>
          </w:p>
        </w:tc>
        <w:tc>
          <w:tcPr/>
          <w:p>
            <w:pPr>
              <w:pStyle w:val="Compact"/>
            </w:pPr>
          </w:p>
        </w:tc>
        <w:tc>
          <w:tcPr/>
          <w:p>
            <w:pPr>
              <w:pStyle w:val="Compact"/>
            </w:pPr>
            <w:r>
              <w:t xml:space="preserve">Positive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green_synergy.png" id="9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SUL-DUR</w:t>
            </w:r>
          </w:p>
        </w:tc>
        <w:tc>
          <w:tcPr/>
          <w:p>
            <w:pPr>
              <w:pStyle w:val="Compact"/>
            </w:pPr>
          </w:p>
        </w:tc>
        <w:tc>
          <w:tcPr/>
          <w:p>
            <w:pPr>
              <w:pStyle w:val="Compact"/>
            </w:pPr>
          </w:p>
        </w:tc>
        <w:tc>
          <w:tcPr/>
          <w:p>
            <w:pPr>
              <w:pStyle w:val="Compact"/>
            </w:pPr>
            <w:r>
              <w:t xml:space="preserve">Positive (stronger than</w:t>
            </w:r>
            <w:r>
              <w:t xml:space="preserve"> </w:t>
            </w:r>
            <w:r>
              <w:t xml:space="preserve">only with DUR)</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Kobic, 2022</w:t>
            </w:r>
            <w:r>
              <w:t xml:space="preserve"> </w:t>
            </w:r>
            <w:r>
              <w:t xml:space="preserve">[23]</w:t>
            </w:r>
          </w:p>
        </w:tc>
        <w:tc>
          <w:tcPr/>
          <w:p>
            <w:pPr>
              <w:pStyle w:val="Compact"/>
            </w:pPr>
            <w:r>
              <w:t xml:space="preserve">SUL and TGC</w:t>
            </w:r>
          </w:p>
        </w:tc>
        <w:tc>
          <w:tcPr/>
          <w:p>
            <w:pPr>
              <w:pStyle w:val="Compact"/>
            </w:pPr>
            <w:r>
              <w:t xml:space="preserve">Time-kill</w:t>
            </w:r>
          </w:p>
        </w:tc>
        <w:tc>
          <w:tcPr/>
          <w:p>
            <w:pPr>
              <w:pStyle w:val="Compact"/>
            </w:pPr>
            <w:r>
              <w:t xml:space="preserve">1 FDC-S XDR</w:t>
            </w:r>
            <w:r>
              <w:t xml:space="preserve"> </w:t>
            </w:r>
            <w:r>
              <w:rPr>
                <w:i/>
                <w:iCs/>
              </w:rPr>
              <w:t xml:space="preserve">Ab</w:t>
            </w:r>
          </w:p>
        </w:tc>
        <w:tc>
          <w:tcPr/>
          <w:p>
            <w:pPr>
              <w:pStyle w:val="Compact"/>
            </w:pPr>
            <w:r>
              <w:t xml:space="preserve">Only synergy for FDC+SUL+TGC</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yellow_synergy.png" id="9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Wong, 2024</w:t>
            </w:r>
            <w:r>
              <w:t xml:space="preserve"> </w:t>
            </w:r>
            <w:r>
              <w:t xml:space="preserve">[24]</w:t>
            </w:r>
          </w:p>
        </w:tc>
        <w:tc>
          <w:tcPr/>
          <w:p>
            <w:pPr>
              <w:pStyle w:val="Compact"/>
            </w:pPr>
            <w:r>
              <w:t xml:space="preserve">SUL, AVI</w:t>
            </w:r>
          </w:p>
        </w:tc>
        <w:tc>
          <w:tcPr/>
          <w:p>
            <w:pPr>
              <w:pStyle w:val="Compact"/>
            </w:pPr>
            <w:r>
              <w:t xml:space="preserve">-</w:t>
            </w:r>
          </w:p>
        </w:tc>
        <w:tc>
          <w:tcPr/>
          <w:p>
            <w:pPr>
              <w:pStyle w:val="Compact"/>
            </w:pPr>
            <w:r>
              <w:t xml:space="preserve">2 FDC-S Ab and</w:t>
            </w:r>
            <w:r>
              <w:t xml:space="preserve"> </w:t>
            </w:r>
            <w:r>
              <w:rPr>
                <w:i/>
                <w:iCs/>
              </w:rPr>
              <w:t xml:space="preserve">A. lwoffii</w:t>
            </w:r>
            <w:r>
              <w:t xml:space="preserve"> </w:t>
            </w:r>
            <w:r>
              <w:t xml:space="preserve">(NDM-1 producers)</w:t>
            </w:r>
          </w:p>
        </w:tc>
        <w:tc>
          <w:tcPr/>
          <w:p>
            <w:pPr>
              <w:pStyle w:val="Compact"/>
            </w:pPr>
            <w:r>
              <w:t xml:space="preserve">Exposure to FDC+SUL or FDC+AVI led to the selection of FDC-R strains</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red_synergy.png" id="101"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You, 2025</w:t>
            </w:r>
            <w:r>
              <w:t xml:space="preserve"> </w:t>
            </w:r>
            <w:r>
              <w:t xml:space="preserve">[25]</w:t>
            </w:r>
          </w:p>
        </w:tc>
        <w:tc>
          <w:tcPr/>
          <w:p>
            <w:pPr>
              <w:pStyle w:val="Compact"/>
            </w:pPr>
            <w:r>
              <w:t xml:space="preserve">-</w:t>
            </w:r>
          </w:p>
        </w:tc>
        <w:tc>
          <w:tcPr/>
          <w:p>
            <w:pPr>
              <w:pStyle w:val="Compact"/>
            </w:pPr>
            <w:r>
              <w:t xml:space="preserve">AI</w:t>
            </w:r>
          </w:p>
        </w:tc>
        <w:tc>
          <w:tcPr/>
          <w:p>
            <w:pPr>
              <w:pStyle w:val="Compact"/>
            </w:pPr>
            <w:r>
              <w:t xml:space="preserve">1 XDR</w:t>
            </w:r>
            <w:r>
              <w:t xml:space="preserve"> </w:t>
            </w:r>
            <w:r>
              <w:rPr>
                <w:i/>
                <w:iCs/>
              </w:rPr>
              <w:t xml:space="preserve">Ab</w:t>
            </w:r>
          </w:p>
        </w:tc>
        <w:tc>
          <w:tcPr/>
          <w:p>
            <w:pPr>
              <w:pStyle w:val="Compact"/>
            </w:pPr>
            <w:r>
              <w:t xml:space="preserve">FDC+A-S and FDC+PM-B+RIF were pinpointed (93.89 ± 5.95% and 92.23 ± 11.89% inhibition)</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A-S, PM-B+RIF</w:t>
            </w:r>
          </w:p>
        </w:tc>
        <w:tc>
          <w:tcPr/>
          <w:p>
            <w:pPr>
              <w:pStyle w:val="Compact"/>
            </w:pPr>
            <w:r>
              <w:t xml:space="preserve">Checkerboard</w:t>
            </w:r>
          </w:p>
        </w:tc>
        <w:tc>
          <w:tcPr/>
          <w:p>
            <w:pPr>
              <w:pStyle w:val="Compact"/>
            </w:pPr>
            <w:r>
              <w:t xml:space="preserve">4</w:t>
            </w:r>
            <w:r>
              <w:t xml:space="preserve"> </w:t>
            </w:r>
            <w:r>
              <w:rPr>
                <w:i/>
                <w:iCs/>
              </w:rPr>
              <w:t xml:space="preserve">Ab</w:t>
            </w:r>
          </w:p>
        </w:tc>
        <w:tc>
          <w:tcPr/>
          <w:p>
            <w:pPr>
              <w:pStyle w:val="Compact"/>
            </w:pPr>
            <w:r>
              <w:t xml:space="preserve">FDC+PM-B+RIF showed synergy but FDC+A-S antagonism</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yellow_synergy.png" id="105"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[20]</w:t>
            </w:r>
          </w:p>
        </w:tc>
        <w:tc>
          <w:tcPr/>
          <w:p>
            <w:pPr>
              <w:pStyle w:val="Compact"/>
            </w:pPr>
            <w:r>
              <w:t xml:space="preserve">CZA</w:t>
            </w:r>
          </w:p>
        </w:tc>
        <w:tc>
          <w:tcPr/>
          <w:p>
            <w:pPr>
              <w:pStyle w:val="Compact"/>
            </w:pPr>
            <w:r>
              <w:t xml:space="preserve">Gradient diffusion strip</w:t>
            </w:r>
            <w:r>
              <w:t xml:space="preserve"> </w:t>
            </w:r>
            <w:r>
              <w:t xml:space="preserve">crossing</w:t>
            </w:r>
          </w:p>
        </w:tc>
        <w:tc>
          <w:tcPr/>
          <w:p>
            <w:pPr>
              <w:pStyle w:val="BodyText"/>
            </w:pPr>
            <w:r>
              <w:t xml:space="preserve">4 KPC (1 FDC-R) + VIM-EB,</w:t>
            </w:r>
          </w:p>
          <w:p>
            <w:pPr>
              <w:pStyle w:val="BodyText"/>
            </w:pPr>
            <w:r>
              <w:t xml:space="preserve">4 NDM (1 FDC-R) + OXA-48 like-EB and 2 (both FDC-S)  VIM + OXA-48 like-EB</w:t>
            </w:r>
          </w:p>
        </w:tc>
        <w:tc>
          <w:tcPr/>
          <w:p>
            <w:pPr>
              <w:pStyle w:val="Compact"/>
            </w:pPr>
            <w:r>
              <w:t xml:space="preserve">No synergy</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red_synergy.png" id="107"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Göpel, 2024</w:t>
            </w:r>
            <w:r>
              <w:t xml:space="preserve"> </w:t>
            </w:r>
            <w:r>
              <w:t xml:space="preserve">[27]</w:t>
            </w:r>
          </w:p>
        </w:tc>
        <w:tc>
          <w:tcPr/>
          <w:p>
            <w:pPr>
              <w:pStyle w:val="Compact"/>
            </w:pPr>
            <w:r>
              <w:t xml:space="preserve">ATM</w:t>
            </w:r>
          </w:p>
        </w:tc>
        <w:tc>
          <w:tcPr/>
          <w:p>
            <w:pPr>
              <w:pStyle w:val="Compact"/>
            </w:pPr>
            <w:r>
              <w:t xml:space="preserve">Checkerboard</w:t>
            </w:r>
          </w:p>
        </w:tc>
        <w:tc>
          <w:tcPr/>
          <w:p>
            <w:pPr>
              <w:pStyle w:val="Compact"/>
            </w:pPr>
            <w:r>
              <w:t xml:space="preserve">20 NDM-</w:t>
            </w:r>
            <w:r>
              <w:rPr>
                <w:i/>
                <w:iCs/>
              </w:rPr>
              <w:t xml:space="preserve">Ent. cloacae</w:t>
            </w:r>
          </w:p>
        </w:tc>
        <w:tc>
          <w:tcPr/>
          <w:p>
            <w:pPr>
              <w:pStyle w:val="Compact"/>
            </w:pPr>
            <w:r>
              <w:t xml:space="preserve">Synergy found</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green_synergy.png" id="10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[26]</w:t>
            </w:r>
          </w:p>
        </w:tc>
        <w:tc>
          <w:tcPr/>
          <w:p>
            <w:pPr>
              <w:pStyle w:val="Compact"/>
            </w:pPr>
            <w:r>
              <w:t xml:space="preserve">CZA, MEV, IMI, and AMK</w:t>
            </w:r>
          </w:p>
        </w:tc>
        <w:tc>
          <w:tcPr/>
          <w:p>
            <w:pPr>
              <w:pStyle w:val="Compact"/>
            </w:pPr>
            <w:r>
              <w:t xml:space="preserve">Gradient diffusion strip</w:t>
            </w:r>
            <w:r>
              <w:t xml:space="preserve"> </w:t>
            </w:r>
            <w:r>
              <w:t xml:space="preserve">crossing</w:t>
            </w:r>
          </w:p>
        </w:tc>
        <w:tc>
          <w:tcPr/>
          <w:p>
            <w:pPr>
              <w:pStyle w:val="Compact"/>
            </w:pPr>
            <w:r>
              <w:t xml:space="preserve">6 KPC-</w:t>
            </w:r>
            <w:r>
              <w:rPr>
                <w:i/>
                <w:iCs/>
              </w:rPr>
              <w:t xml:space="preserve">Kp</w:t>
            </w:r>
            <w:r>
              <w:t xml:space="preserve"> </w:t>
            </w:r>
            <w:r>
              <w:t xml:space="preserve">(3 FDC-R and 3 S)</w:t>
            </w:r>
          </w:p>
        </w:tc>
        <w:tc>
          <w:tcPr/>
          <w:p>
            <w:pPr>
              <w:pStyle w:val="Compact"/>
            </w:pPr>
            <w:r>
              <w:t xml:space="preserve">Synergy for CZA (synergy rate of 67%)</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Boattini, 2022</w:t>
            </w:r>
            <w:r>
              <w:t xml:space="preserve"> </w:t>
            </w:r>
            <w:r>
              <w:t xml:space="preserve">[28]</w:t>
            </w:r>
          </w:p>
        </w:tc>
        <w:tc>
          <w:tcPr/>
          <w:p>
            <w:pPr>
              <w:pStyle w:val="Compact"/>
            </w:pPr>
            <w:r>
              <w:t xml:space="preserve">CZA</w:t>
            </w:r>
          </w:p>
        </w:tc>
        <w:tc>
          <w:tcPr/>
          <w:p>
            <w:pPr>
              <w:pStyle w:val="Compact"/>
            </w:pPr>
            <w:r>
              <w:t xml:space="preserve">Gradient diffusion strip</w:t>
            </w:r>
            <w:r>
              <w:t xml:space="preserve"> </w:t>
            </w:r>
            <w:r>
              <w:t xml:space="preserve">crossing</w:t>
            </w:r>
          </w:p>
        </w:tc>
        <w:tc>
          <w:tcPr/>
          <w:p>
            <w:pPr>
              <w:pStyle w:val="Compact"/>
            </w:pPr>
            <w:r>
              <w:t xml:space="preserve">2-VIM</w:t>
            </w:r>
            <w:r>
              <w:rPr>
                <w:i/>
                <w:iCs/>
              </w:rPr>
              <w:t xml:space="preserve">-Pa</w:t>
            </w:r>
            <w:r>
              <w:t xml:space="preserve"> </w:t>
            </w:r>
            <w:r>
              <w:t xml:space="preserve">and 3 NDM-</w:t>
            </w:r>
            <w:r>
              <w:rPr>
                <w:i/>
                <w:iCs/>
              </w:rPr>
              <w:t xml:space="preserve">Kp</w:t>
            </w:r>
          </w:p>
        </w:tc>
        <w:tc>
          <w:tcPr/>
          <w:p>
            <w:pPr>
              <w:pStyle w:val="Compac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yellow_synergy.png" id="113"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Moon, 2023</w:t>
            </w:r>
            <w:r>
              <w:t xml:space="preserve"> </w:t>
            </w:r>
            <w:r>
              <w:t xml:space="preserve">[29]</w:t>
            </w:r>
          </w:p>
        </w:tc>
        <w:tc>
          <w:tcPr/>
          <w:p>
            <w:pPr>
              <w:pStyle w:val="Compact"/>
            </w:pPr>
            <w:r>
              <w:t xml:space="preserve">AVI</w:t>
            </w:r>
          </w:p>
        </w:tc>
        <w:tc>
          <w:tcPr/>
          <w:p>
            <w:pPr>
              <w:pStyle w:val="Compact"/>
            </w:pPr>
            <w:r>
              <w:t xml:space="preserve">Double-disk assay</w:t>
            </w:r>
          </w:p>
        </w:tc>
        <w:tc>
          <w:tcPr/>
          <w:p>
            <w:pPr>
              <w:pStyle w:val="Compact"/>
            </w:pPr>
            <w:r>
              <w:t xml:space="preserve">1 FDC-R</w:t>
            </w:r>
            <w:r>
              <w:t xml:space="preserve"> </w:t>
            </w:r>
            <w:r>
              <w:rPr>
                <w:i/>
                <w:iCs/>
              </w:rPr>
              <w:t xml:space="preserve">Kp</w:t>
            </w:r>
          </w:p>
        </w:tc>
        <w:tc>
          <w:tcPr/>
          <w:p>
            <w:pPr>
              <w:pStyle w:val="Compact"/>
            </w:pPr>
            <w:r>
              <w:t xml:space="preserve">AVI enhanced the</w:t>
            </w:r>
            <w:r>
              <w:t xml:space="preserve"> </w:t>
            </w:r>
            <w:r>
              <w:t xml:space="preserve">activity of FDC</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green_synergy.png" id="11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Daoud, 2023</w:t>
            </w:r>
            <w:r>
              <w:t xml:space="preserve"> </w:t>
            </w:r>
            <w:r>
              <w:t xml:space="preserve">[30]</w:t>
            </w:r>
          </w:p>
        </w:tc>
        <w:tc>
          <w:tcPr/>
          <w:p>
            <w:pPr>
              <w:pStyle w:val="Compact"/>
            </w:pPr>
            <w:r>
              <w:t xml:space="preserve">AVI, TAZ, SUL, CA, DPA,</w:t>
            </w:r>
            <w:r>
              <w:t xml:space="preserve"> </w:t>
            </w:r>
            <w:r>
              <w:t xml:space="preserve">PMBN</w:t>
            </w:r>
          </w:p>
        </w:tc>
        <w:tc>
          <w:tcPr/>
          <w:p>
            <w:pPr>
              <w:pStyle w:val="Compact"/>
            </w:pPr>
            <w:r>
              <w:t xml:space="preserve">Checkerboard</w:t>
            </w:r>
          </w:p>
        </w:tc>
        <w:tc>
          <w:tcPr/>
          <w:p>
            <w:pPr>
              <w:pStyle w:val="Compact"/>
            </w:pPr>
            <w:r>
              <w:t xml:space="preserve">34</w:t>
            </w:r>
            <w:r>
              <w:t xml:space="preserve"> </w:t>
            </w:r>
            <w:r>
              <w:rPr>
                <w:i/>
                <w:iCs/>
              </w:rPr>
              <w:t xml:space="preserve">Kp</w:t>
            </w:r>
          </w:p>
        </w:tc>
        <w:tc>
          <w:tcPr/>
          <w:p>
            <w:pPr>
              <w:pStyle w:val="BodyText"/>
            </w:pPr>
            <w:r>
              <w:t xml:space="preserve">Synergy with AVI (highest), TAZ, SUL, CA AND PMBN</w:t>
            </w:r>
          </w:p>
          <w:p>
            <w:pPr>
              <w:pStyle w:val="BodyText"/>
            </w:pPr>
            <w:r>
              <w:t xml:space="preserve">DPA: non-significant improvement</w:t>
            </w:r>
          </w:p>
          <w:p>
            <w:pPr>
              <w:pStyle w:val="BodyText"/>
            </w:pPr>
            <w:r>
              <w:t xml:space="preserve">FDC+AVI+DPA: significant reduction</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yellow_synergy.png" id="117"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AVI, PMBN</w:t>
            </w:r>
          </w:p>
        </w:tc>
        <w:tc>
          <w:tcPr/>
          <w:p>
            <w:pPr>
              <w:pStyle w:val="Compact"/>
            </w:pPr>
            <w:r>
              <w:t xml:space="preserve">Time-kill</w:t>
            </w:r>
          </w:p>
        </w:tc>
        <w:tc>
          <w:tcPr/>
          <w:p>
            <w:pPr>
              <w:pStyle w:val="Compact"/>
            </w:pPr>
            <w:r>
              <w:t xml:space="preserve">4</w:t>
            </w:r>
            <w:r>
              <w:t xml:space="preserve"> </w:t>
            </w:r>
            <w:r>
              <w:rPr>
                <w:i/>
                <w:iCs/>
              </w:rPr>
              <w:t xml:space="preserve">Kp</w:t>
            </w:r>
          </w:p>
        </w:tc>
        <w:tc>
          <w:tcPr/>
          <w:p>
            <w:pPr>
              <w:pStyle w:val="BodyText"/>
            </w:pPr>
            <w:r>
              <w:t xml:space="preserve">FDC+AVI enabled the killing of the bacteria earlier with a lower concentration of FDC</w:t>
            </w:r>
          </w:p>
          <w:p>
            <w:pPr>
              <w:pStyle w:val="BodyTex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green_synergy.png" id="11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Daoud, 2023</w:t>
            </w:r>
            <w:r>
              <w:t xml:space="preserve"> </w:t>
            </w:r>
            <w:r>
              <w:t xml:space="preserve">[30]</w:t>
            </w:r>
          </w:p>
        </w:tc>
        <w:tc>
          <w:tcPr/>
          <w:p>
            <w:pPr>
              <w:pStyle w:val="Compact"/>
            </w:pPr>
            <w:r>
              <w:t xml:space="preserve">AVI, DPA, ATM</w:t>
            </w:r>
          </w:p>
        </w:tc>
        <w:tc>
          <w:tcPr/>
          <w:p>
            <w:pPr>
              <w:pStyle w:val="Compact"/>
            </w:pPr>
            <w:r>
              <w:t xml:space="preserve">Checkerboard</w:t>
            </w:r>
          </w:p>
        </w:tc>
        <w:tc>
          <w:tcPr/>
          <w:p>
            <w:pPr>
              <w:pStyle w:val="Compact"/>
            </w:pPr>
            <w:r>
              <w:t xml:space="preserve">1 FDC-R</w:t>
            </w:r>
            <w:r>
              <w:t xml:space="preserve"> </w:t>
            </w:r>
            <w:r>
              <w:rPr>
                <w:i/>
                <w:iCs/>
              </w:rPr>
              <w:t xml:space="preserve">Kp</w:t>
            </w:r>
          </w:p>
        </w:tc>
        <w:tc>
          <w:tcPr/>
          <w:p>
            <w:pPr>
              <w:pStyle w:val="BodyText"/>
            </w:pPr>
            <w:r>
              <w:t xml:space="preserve">FDC+AVI: no synergy</w:t>
            </w:r>
          </w:p>
          <w:p>
            <w:pPr>
              <w:pStyle w:val="BodyText"/>
            </w:pPr>
            <w:r>
              <w:t xml:space="preserve">FDC+DPA: synergy</w:t>
            </w:r>
          </w:p>
          <w:p>
            <w:pPr>
              <w:pStyle w:val="BodyText"/>
            </w:pPr>
            <w:r>
              <w:t xml:space="preserve">FDC+AVI+(ATM or DPA): synergy</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yellow_synergy.png" id="121"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Granata, 2025</w:t>
            </w:r>
            <w:r>
              <w:t xml:space="preserve"> </w:t>
            </w:r>
            <w:r>
              <w:t xml:space="preserve">[31]</w:t>
            </w:r>
          </w:p>
        </w:tc>
        <w:tc>
          <w:tcPr/>
          <w:p>
            <w:pPr>
              <w:pStyle w:val="Compact"/>
            </w:pPr>
            <w:r>
              <w:t xml:space="preserve">IMR</w:t>
            </w:r>
          </w:p>
        </w:tc>
        <w:tc>
          <w:tcPr/>
          <w:p>
            <w:pPr>
              <w:pStyle w:val="Compact"/>
            </w:pPr>
            <w:r>
              <w:t xml:space="preserve">Gradient diffusion strip</w:t>
            </w:r>
            <w:r>
              <w:t xml:space="preserve"> </w:t>
            </w:r>
            <w:r>
              <w:t xml:space="preserve">crossing</w:t>
            </w:r>
          </w:p>
        </w:tc>
        <w:tc>
          <w:tcPr/>
          <w:p>
            <w:pPr>
              <w:pStyle w:val="Compact"/>
            </w:pPr>
            <w:r>
              <w:t xml:space="preserve">3 FDC-S (2 IMP-13 and 1</w:t>
            </w:r>
            <w:r>
              <w:t xml:space="preserve"> </w:t>
            </w:r>
            <w:r>
              <w:t xml:space="preserve">VIM-2-</w:t>
            </w:r>
            <w:r>
              <w:rPr>
                <w:i/>
                <w:iCs/>
              </w:rPr>
              <w:t xml:space="preserve">Pa</w:t>
            </w:r>
            <w:r>
              <w:t xml:space="preserve">)</w:t>
            </w:r>
          </w:p>
        </w:tc>
        <w:tc>
          <w:tcPr/>
          <w:p>
            <w:pPr>
              <w:pStyle w:val="Compac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Ferretti, 2024</w:t>
            </w:r>
            <w:r>
              <w:t xml:space="preserve"> </w:t>
            </w:r>
            <w:r>
              <w:t xml:space="preserve">[32]</w:t>
            </w:r>
          </w:p>
        </w:tc>
        <w:tc>
          <w:tcPr/>
          <w:p>
            <w:pPr>
              <w:pStyle w:val="Compact"/>
            </w:pPr>
            <w:r>
              <w:t xml:space="preserve">IMI</w:t>
            </w:r>
          </w:p>
        </w:tc>
        <w:tc>
          <w:tcPr/>
          <w:p>
            <w:pPr>
              <w:pStyle w:val="Compact"/>
            </w:pPr>
            <w:r>
              <w:t xml:space="preserve">Minimum biofilm bactericidal</w:t>
            </w:r>
            <w:r>
              <w:t xml:space="preserve"> </w:t>
            </w:r>
            <w:r>
              <w:t xml:space="preserve">concentration (≈ BMD MIC)</w:t>
            </w:r>
          </w:p>
        </w:tc>
        <w:tc>
          <w:tcPr/>
          <w:p>
            <w:pPr>
              <w:pStyle w:val="Compact"/>
            </w:pPr>
            <w:r>
              <w:t xml:space="preserve">5 FDC-S</w:t>
            </w:r>
            <w:r>
              <w:t xml:space="preserve"> </w:t>
            </w:r>
            <w:r>
              <w:rPr>
                <w:i/>
                <w:iCs/>
              </w:rPr>
              <w:t xml:space="preserve">Pa</w:t>
            </w:r>
          </w:p>
        </w:tc>
        <w:tc>
          <w:tcPr/>
          <w:p>
            <w:pPr>
              <w:pStyle w:val="Compac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El Haj, 2024</w:t>
            </w:r>
            <w:r>
              <w:t xml:space="preserve"> </w:t>
            </w:r>
            <w:r>
              <w:t xml:space="preserve">[33]</w:t>
            </w:r>
          </w:p>
        </w:tc>
        <w:tc>
          <w:tcPr/>
          <w:p>
            <w:pPr>
              <w:pStyle w:val="Compact"/>
            </w:pPr>
            <w:r>
              <w:t xml:space="preserve">COL</w:t>
            </w:r>
          </w:p>
        </w:tc>
        <w:tc>
          <w:tcPr/>
          <w:p>
            <w:pPr>
              <w:pStyle w:val="Compact"/>
            </w:pPr>
            <w:r>
              <w:rPr>
                <w:i/>
                <w:iCs/>
              </w:rPr>
              <w:t xml:space="preserve">In vitro</w:t>
            </w:r>
            <w:r>
              <w:t xml:space="preserve"> </w:t>
            </w:r>
            <w:r>
              <w:t xml:space="preserve">pharmaco ynamic model</w:t>
            </w:r>
          </w:p>
        </w:tc>
        <w:tc>
          <w:tcPr/>
          <w:p>
            <w:pPr>
              <w:pStyle w:val="Compact"/>
            </w:pPr>
            <w:r>
              <w:t xml:space="preserve">2 FDC-S</w:t>
            </w:r>
            <w:r>
              <w:t xml:space="preserve"> </w:t>
            </w:r>
            <w:r>
              <w:rPr>
                <w:i/>
                <w:iCs/>
              </w:rPr>
              <w:t xml:space="preserve">Pa</w:t>
            </w:r>
          </w:p>
        </w:tc>
        <w:tc>
          <w:tcPr/>
          <w:p>
            <w:pPr>
              <w:pStyle w:val="Compact"/>
            </w:pPr>
            <w:r>
              <w:t xml:space="preserve">COL improved FDC efficacy against biofilms</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green_synergy.png" id="12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Schilling, 2024</w:t>
            </w:r>
            <w:r>
              <w:t xml:space="preserve"> </w:t>
            </w:r>
            <w:r>
              <w:t xml:space="preserve">[34]</w:t>
            </w:r>
          </w:p>
        </w:tc>
        <w:tc>
          <w:tcPr/>
          <w:p>
            <w:pPr>
              <w:pStyle w:val="Compact"/>
            </w:pPr>
            <w:r>
              <w:t xml:space="preserve">VAN</w:t>
            </w:r>
          </w:p>
        </w:tc>
        <w:tc>
          <w:tcPr/>
          <w:p>
            <w:pPr>
              <w:pStyle w:val="Compact"/>
            </w:pPr>
            <w:r>
              <w:t xml:space="preserve">Gradient diffusion strip crossing</w:t>
            </w:r>
          </w:p>
        </w:tc>
        <w:tc>
          <w:tcPr/>
          <w:p>
            <w:pPr>
              <w:pStyle w:val="Compact"/>
            </w:pPr>
            <w:r>
              <w:t xml:space="preserve">2 FDC-S</w:t>
            </w:r>
            <w:r>
              <w:t xml:space="preserve"> </w:t>
            </w:r>
            <w:r>
              <w:rPr>
                <w:i/>
                <w:iCs/>
              </w:rPr>
              <w:t xml:space="preserve">Pa</w:t>
            </w:r>
          </w:p>
        </w:tc>
        <w:tc>
          <w:tcPr/>
          <w:p>
            <w:pPr>
              <w:pStyle w:val="Compact"/>
            </w:pPr>
            <w:r>
              <w:t xml:space="preserve">Indifferent</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red_synergy.png" id="129"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Wang, 2023</w:t>
            </w:r>
            <w:r>
              <w:t xml:space="preserve"> </w:t>
            </w:r>
            <w:r>
              <w:t xml:space="preserve">[35]</w:t>
            </w:r>
          </w:p>
        </w:tc>
        <w:tc>
          <w:tcPr/>
          <w:p>
            <w:pPr>
              <w:pStyle w:val="Compact"/>
            </w:pPr>
            <w:r>
              <w:t xml:space="preserve">CBS</w:t>
            </w:r>
          </w:p>
        </w:tc>
        <w:tc>
          <w:tcPr/>
          <w:p>
            <w:pPr>
              <w:pStyle w:val="Compact"/>
            </w:pPr>
            <w:r>
              <w:t xml:space="preserve">BMD MIC</w:t>
            </w:r>
          </w:p>
        </w:tc>
        <w:tc>
          <w:tcPr/>
          <w:p>
            <w:pPr>
              <w:pStyle w:val="Compact"/>
            </w:pPr>
            <w:r>
              <w:rPr>
                <w:i/>
                <w:iCs/>
              </w:rPr>
              <w:t xml:space="preserve">Pa</w:t>
            </w:r>
            <w:r>
              <w:t xml:space="preserve"> </w:t>
            </w:r>
            <w:r>
              <w:t xml:space="preserve">and</w:t>
            </w:r>
            <w:r>
              <w:t xml:space="preserve"> </w:t>
            </w:r>
            <w:r>
              <w:rPr>
                <w:i/>
                <w:iCs/>
              </w:rPr>
              <w:t xml:space="preserve">B. cepacia</w:t>
            </w:r>
          </w:p>
        </w:tc>
        <w:tc>
          <w:tcPr/>
          <w:p>
            <w:pPr>
              <w:pStyle w:val="Compact"/>
            </w:pPr>
            <w:r>
              <w:t xml:space="preserve">Synergy found</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green_synergy.png" id="13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Checkerboard and time-kill</w:t>
            </w:r>
          </w:p>
        </w:tc>
        <w:tc>
          <w:tcPr/>
          <w:p>
            <w:pPr>
              <w:pStyle w:val="Compact"/>
            </w:pPr>
            <w:r>
              <w:rPr>
                <w:i/>
                <w:iCs/>
              </w:rPr>
              <w:t xml:space="preserve">Pa</w:t>
            </w:r>
          </w:p>
        </w:tc>
        <w:tc>
          <w:tcPr/>
          <w:p>
            <w:pPr>
              <w:pStyle w:val="Compac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rPr>
                <w:i/>
                <w:iCs/>
              </w:rPr>
              <w:t xml:space="preserve">In vivo</w:t>
            </w:r>
            <w:r>
              <w:t xml:space="preserve"> </w:t>
            </w:r>
            <w:r>
              <w:t xml:space="preserve">model</w:t>
            </w:r>
          </w:p>
        </w:tc>
        <w:tc>
          <w:tcPr/>
          <w:p>
            <w:pPr>
              <w:pStyle w:val="Compact"/>
            </w:pPr>
            <w:r>
              <w:rPr>
                <w:i/>
                <w:iCs/>
              </w:rPr>
              <w:t xml:space="preserve">Pa</w:t>
            </w:r>
          </w:p>
        </w:tc>
        <w:tc>
          <w:tcPr/>
          <w:p>
            <w:pPr>
              <w:pStyle w:val="Compact"/>
            </w:pPr>
            <w:r>
              <w:t xml:space="preserve">FDC-CBS significantly increased survival</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Biagi, 2020</w:t>
            </w:r>
            <w:r>
              <w:t xml:space="preserve"> </w:t>
            </w:r>
            <w:r>
              <w:t xml:space="preserve">[36]</w:t>
            </w:r>
          </w:p>
        </w:tc>
        <w:tc>
          <w:tcPr/>
          <w:p>
            <w:pPr>
              <w:pStyle w:val="Compact"/>
            </w:pPr>
            <w:r>
              <w:t xml:space="preserve">LEV, MIN, PM-B, SXT</w:t>
            </w:r>
          </w:p>
        </w:tc>
        <w:tc>
          <w:tcPr/>
          <w:p>
            <w:pPr>
              <w:pStyle w:val="Compact"/>
            </w:pPr>
            <w:r>
              <w:t xml:space="preserve">Time-kill</w:t>
            </w:r>
          </w:p>
        </w:tc>
        <w:tc>
          <w:tcPr/>
          <w:p>
            <w:pPr>
              <w:pStyle w:val="Compact"/>
            </w:pPr>
            <w:r>
              <w:t xml:space="preserve">9-FDC-S</w:t>
            </w:r>
            <w:r>
              <w:t xml:space="preserve"> </w:t>
            </w:r>
            <w:r>
              <w:rPr>
                <w:i/>
                <w:iCs/>
              </w:rPr>
              <w:t xml:space="preserve">S. maltophilia</w:t>
            </w:r>
          </w:p>
        </w:tc>
        <w:tc>
          <w:tcPr/>
          <w:p>
            <w:pPr>
              <w:pStyle w:val="Compact"/>
            </w:pPr>
            <w:r>
              <w:t xml:space="preserve">Synergy found (44% LEV, 67% MIN, 56% PM-B and 67% SXT)</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BSIs: bloodstream infection; CLABSI: central line associated BSIs; LRTI: lower respiratory tract infections; SSTI: skin and soft tissue infections; cIAIs: complicated intra-abdominal infection; cUTIs: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875"/>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s: bloodstream infection; CLABSI: central line associated BSIs; LRTI: lower respiratory tract infections; SSTI: skin and soft tissue infections; cIAIs: complicated intra-abdominal infection; cUTIs: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1089"/>
        <w:gridCol w:w="561"/>
        <w:gridCol w:w="726"/>
        <w:gridCol w:w="825"/>
        <w:gridCol w:w="1518"/>
        <w:gridCol w:w="1518"/>
        <w:gridCol w:w="858"/>
        <w:gridCol w:w="627"/>
      </w:tblGrid>
      <w:tr>
        <w:trPr>
          <w:tblHeader w:val="on"/>
        </w:trPr>
        <w:tc>
          <w:tcPr/>
          <w:p>
            <w:pPr>
              <w:pStyle w:val="Compact"/>
            </w:pPr>
            <w:r>
              <w:t xml:space="preserve">Author, year</w:t>
            </w:r>
          </w:p>
        </w:tc>
        <w:tc>
          <w:tcPr/>
          <w:p>
            <w:pPr>
              <w:pStyle w:val="Compact"/>
            </w:pPr>
            <w:r>
              <w:t xml:space="preserve">Type of study</w:t>
            </w:r>
          </w:p>
        </w:tc>
        <w:tc>
          <w:tcPr/>
          <w:p>
            <w:pPr>
              <w:pStyle w:val="Compact"/>
            </w:pPr>
            <w:r>
              <w:t xml:space="preserve">Infection type</w:t>
            </w:r>
          </w:p>
        </w:tc>
        <w:tc>
          <w:tcPr/>
          <w:p>
            <w:pPr>
              <w:pStyle w:val="Compact"/>
            </w:pPr>
            <w:r>
              <w:t xml:space="preserve">Pathogen(s)</w:t>
            </w:r>
          </w:p>
        </w:tc>
        <w:tc>
          <w:tcPr/>
          <w:p>
            <w:pPr>
              <w:pStyle w:val="Compact"/>
            </w:pPr>
            <w:r>
              <w:t xml:space="preserve">Number of patients treated with cefiderocol</w:t>
            </w:r>
          </w:p>
        </w:tc>
        <w:tc>
          <w:tcPr/>
          <w:p>
            <w:pPr>
              <w:pStyle w:val="Compact"/>
            </w:pPr>
            <w:r>
              <w:t xml:space="preserve">Combination therapies</w:t>
            </w:r>
          </w:p>
        </w:tc>
        <w:tc>
          <w:tcPr/>
          <w:p>
            <w:pPr>
              <w:pStyle w:val="Compact"/>
            </w:pPr>
            <w:r>
              <w:t xml:space="preserve">Microbiological outcome</w:t>
            </w:r>
          </w:p>
        </w:tc>
        <w:tc>
          <w:tcPr/>
          <w:p>
            <w:pPr>
              <w:pStyle w:val="Compact"/>
            </w:pPr>
            <w: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CRAB,</w:t>
            </w:r>
            <w:r>
              <w:t xml:space="preserve"> </w:t>
            </w:r>
            <w:r>
              <w:rPr>
                <w:i/>
                <w:iCs/>
              </w:rPr>
              <w:t xml:space="preserve">Pa, E</w:t>
            </w:r>
            <w:r>
              <w:t xml:space="preserve">, SMAL</w:t>
            </w:r>
          </w:p>
        </w:tc>
        <w:tc>
          <w:tcPr/>
          <w:p>
            <w:pPr>
              <w:pStyle w:val="Compact"/>
            </w:pP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N/A</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sectPr>
          <w:pgSz w:h="11906" w:w="16838" w:orient="landscape"/>
        </w:sectPr>
      </w:pPr>
    </w:p>
    <w:p>
      <w:pPr>
        <w:sectPr>
          <w:pgSz w:h="11906" w:w="16838" w:orient="landscape"/>
        </w:sectPr>
      </w:pPr>
    </w:p>
    <w:bookmarkEnd w:id="138"/>
    <w:bookmarkStart w:id="254" w:name="references"/>
    <w:p>
      <w:pPr>
        <w:pStyle w:val="Heading3"/>
      </w:pPr>
      <w:r>
        <w:t xml:space="preserve">References</w:t>
      </w:r>
    </w:p>
    <w:bookmarkStart w:id="253" w:name="refs"/>
    <w:bookmarkStart w:id="140"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39">
        <w:r>
          <w:rPr>
            <w:rStyle w:val="Hyperlink"/>
          </w:rPr>
          <w:t xml:space="preserve">https://doi.org/10.1128/AAC.01405-16</w:t>
        </w:r>
      </w:hyperlink>
      <w:r>
        <w:t xml:space="preserve">.</w:t>
      </w:r>
    </w:p>
    <w:bookmarkEnd w:id="140"/>
    <w:bookmarkStart w:id="142"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1">
        <w:r>
          <w:rPr>
            <w:rStyle w:val="Hyperlink"/>
          </w:rPr>
          <w:t xml:space="preserve">https://doi.org/10.1128/AAC.01968-17</w:t>
        </w:r>
      </w:hyperlink>
      <w:r>
        <w:t xml:space="preserve">.</w:t>
      </w:r>
    </w:p>
    <w:bookmarkEnd w:id="142"/>
    <w:bookmarkStart w:id="144"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3">
        <w:r>
          <w:rPr>
            <w:rStyle w:val="Hyperlink"/>
          </w:rPr>
          <w:t xml:space="preserve">https://doi.org/10.1016/j.cmi.2021.11.025</w:t>
        </w:r>
      </w:hyperlink>
      <w:r>
        <w:t xml:space="preserve">.</w:t>
      </w:r>
    </w:p>
    <w:bookmarkEnd w:id="144"/>
    <w:bookmarkStart w:id="146"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5">
        <w:r>
          <w:rPr>
            <w:rStyle w:val="Hyperlink"/>
          </w:rPr>
          <w:t xml:space="preserve">https://doi.org/10.1093/cid/ciae403</w:t>
        </w:r>
      </w:hyperlink>
      <w:r>
        <w:t xml:space="preserve">.</w:t>
      </w:r>
    </w:p>
    <w:bookmarkEnd w:id="146"/>
    <w:bookmarkStart w:id="148"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7">
        <w:r>
          <w:rPr>
            <w:rStyle w:val="Hyperlink"/>
          </w:rPr>
          <w:t xml:space="preserve">https://doi.org/10.1016/j.cmi.2021.05.002</w:t>
        </w:r>
      </w:hyperlink>
      <w:r>
        <w:t xml:space="preserve">.</w:t>
      </w:r>
    </w:p>
    <w:bookmarkEnd w:id="148"/>
    <w:bookmarkStart w:id="150"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9">
        <w:r>
          <w:rPr>
            <w:rStyle w:val="Hyperlink"/>
          </w:rPr>
          <w:t xml:space="preserve">https://doi.org/10.1093/ofid/ofaa439.1478</w:t>
        </w:r>
      </w:hyperlink>
      <w:r>
        <w:t xml:space="preserve">.</w:t>
      </w:r>
    </w:p>
    <w:bookmarkEnd w:id="150"/>
    <w:bookmarkStart w:id="152"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1">
        <w:r>
          <w:rPr>
            <w:rStyle w:val="Hyperlink"/>
          </w:rPr>
          <w:t xml:space="preserve">https://doi.org/10.3390/antibiotics12050858</w:t>
        </w:r>
      </w:hyperlink>
      <w:r>
        <w:t xml:space="preserve">.</w:t>
      </w:r>
    </w:p>
    <w:bookmarkEnd w:id="152"/>
    <w:bookmarkStart w:id="154"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3">
        <w:r>
          <w:rPr>
            <w:rStyle w:val="Hyperlink"/>
          </w:rPr>
          <w:t xml:space="preserve">https://doi.org/10.1016/j.jgar.2020.07.009</w:t>
        </w:r>
      </w:hyperlink>
      <w:r>
        <w:t xml:space="preserve">.</w:t>
      </w:r>
    </w:p>
    <w:bookmarkEnd w:id="154"/>
    <w:bookmarkStart w:id="156"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5">
        <w:r>
          <w:rPr>
            <w:rStyle w:val="Hyperlink"/>
          </w:rPr>
          <w:t xml:space="preserve">https://doi.org/10.1093/ofid/ofaa439.1806</w:t>
        </w:r>
      </w:hyperlink>
      <w:r>
        <w:t xml:space="preserve">.</w:t>
      </w:r>
    </w:p>
    <w:bookmarkEnd w:id="156"/>
    <w:bookmarkStart w:id="158"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7">
        <w:r>
          <w:rPr>
            <w:rStyle w:val="Hyperlink"/>
          </w:rPr>
          <w:t xml:space="preserve">https://doi.org/10.3390/cells13161315</w:t>
        </w:r>
      </w:hyperlink>
      <w:r>
        <w:t xml:space="preserve">.</w:t>
      </w:r>
    </w:p>
    <w:bookmarkEnd w:id="158"/>
    <w:bookmarkStart w:id="160"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59">
        <w:r>
          <w:rPr>
            <w:rStyle w:val="Hyperlink"/>
          </w:rPr>
          <w:t xml:space="preserve">https://doi.org/10.1128/spectrum.00164-24</w:t>
        </w:r>
      </w:hyperlink>
      <w:r>
        <w:t xml:space="preserve">.</w:t>
      </w:r>
    </w:p>
    <w:bookmarkEnd w:id="160"/>
    <w:bookmarkStart w:id="162"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1">
        <w:r>
          <w:rPr>
            <w:rStyle w:val="Hyperlink"/>
          </w:rPr>
          <w:t xml:space="preserve">https://doi.org/10.1007/s10096-023-04732-4</w:t>
        </w:r>
      </w:hyperlink>
      <w:r>
        <w:t xml:space="preserve">.</w:t>
      </w:r>
    </w:p>
    <w:bookmarkEnd w:id="162"/>
    <w:bookmarkStart w:id="164"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3">
        <w:r>
          <w:rPr>
            <w:rStyle w:val="Hyperlink"/>
          </w:rPr>
          <w:t xml:space="preserve">https://doi.org/10.1016/j.jinf.2025.106417</w:t>
        </w:r>
      </w:hyperlink>
      <w:r>
        <w:t xml:space="preserve">.</w:t>
      </w:r>
    </w:p>
    <w:bookmarkEnd w:id="164"/>
    <w:bookmarkStart w:id="166"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5">
        <w:r>
          <w:rPr>
            <w:rStyle w:val="Hyperlink"/>
          </w:rPr>
          <w:t xml:space="preserve">https://doi.org/10.1093/ofid/ofae631.166</w:t>
        </w:r>
      </w:hyperlink>
      <w:r>
        <w:t xml:space="preserve">.</w:t>
      </w:r>
    </w:p>
    <w:bookmarkEnd w:id="166"/>
    <w:bookmarkStart w:id="168"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7">
        <w:r>
          <w:rPr>
            <w:rStyle w:val="Hyperlink"/>
          </w:rPr>
          <w:t xml:space="preserve">https://doi.org/10.1093/ofid/ofae631.1298</w:t>
        </w:r>
      </w:hyperlink>
      <w:r>
        <w:t xml:space="preserve">.</w:t>
      </w:r>
    </w:p>
    <w:bookmarkEnd w:id="168"/>
    <w:bookmarkStart w:id="169"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9">
        <w:r>
          <w:rPr>
            <w:rStyle w:val="Hyperlink"/>
          </w:rPr>
          <w:t xml:space="preserve">https://doi.org/10.1093/ofid/ofaa439.1478</w:t>
        </w:r>
      </w:hyperlink>
      <w:r>
        <w:t xml:space="preserve">.</w:t>
      </w:r>
    </w:p>
    <w:bookmarkEnd w:id="169"/>
    <w:bookmarkStart w:id="171"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0">
        <w:r>
          <w:rPr>
            <w:rStyle w:val="Hyperlink"/>
          </w:rPr>
          <w:t xml:space="preserve">https://doi.org/10.1007/s10096-022-04503-7</w:t>
        </w:r>
      </w:hyperlink>
      <w:r>
        <w:t xml:space="preserve">.</w:t>
      </w:r>
    </w:p>
    <w:bookmarkEnd w:id="171"/>
    <w:bookmarkStart w:id="173"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2">
        <w:r>
          <w:rPr>
            <w:rStyle w:val="Hyperlink"/>
          </w:rPr>
          <w:t xml:space="preserve">https://doi.org/10.1038/s41429-024-00801-8</w:t>
        </w:r>
      </w:hyperlink>
      <w:r>
        <w:t xml:space="preserve">.</w:t>
      </w:r>
    </w:p>
    <w:bookmarkEnd w:id="173"/>
    <w:bookmarkStart w:id="174"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4"/>
    <w:bookmarkStart w:id="176"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5">
        <w:r>
          <w:rPr>
            <w:rStyle w:val="Hyperlink"/>
          </w:rPr>
          <w:t xml:space="preserve">https://doi.org/10.3390/antibiotics11121681</w:t>
        </w:r>
      </w:hyperlink>
      <w:r>
        <w:t xml:space="preserve">.</w:t>
      </w:r>
    </w:p>
    <w:bookmarkEnd w:id="176"/>
    <w:bookmarkStart w:id="178"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7">
        <w:r>
          <w:rPr>
            <w:rStyle w:val="Hyperlink"/>
          </w:rPr>
          <w:t xml:space="preserve">https://doi.org/10.1002/jcb.30424</w:t>
        </w:r>
      </w:hyperlink>
      <w:r>
        <w:t xml:space="preserve">.</w:t>
      </w:r>
    </w:p>
    <w:bookmarkEnd w:id="178"/>
    <w:bookmarkStart w:id="180"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79">
        <w:r>
          <w:rPr>
            <w:rStyle w:val="Hyperlink"/>
          </w:rPr>
          <w:t xml:space="preserve">https://doi.org/10.1093/ofid/ofad500.2135</w:t>
        </w:r>
      </w:hyperlink>
      <w:r>
        <w:t xml:space="preserve">.</w:t>
      </w:r>
    </w:p>
    <w:bookmarkEnd w:id="180"/>
    <w:bookmarkStart w:id="182"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1">
        <w:r>
          <w:rPr>
            <w:rStyle w:val="Hyperlink"/>
          </w:rPr>
          <w:t xml:space="preserve">https://doi.org/10.1093/ofid/ofac484</w:t>
        </w:r>
      </w:hyperlink>
      <w:r>
        <w:t xml:space="preserve">.</w:t>
      </w:r>
    </w:p>
    <w:bookmarkEnd w:id="182"/>
    <w:bookmarkStart w:id="184"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3">
        <w:r>
          <w:rPr>
            <w:rStyle w:val="Hyperlink"/>
          </w:rPr>
          <w:t xml:space="preserve">https://doi.org/10.1128/spectrum.00930-24</w:t>
        </w:r>
      </w:hyperlink>
      <w:r>
        <w:t xml:space="preserve">.</w:t>
      </w:r>
    </w:p>
    <w:bookmarkEnd w:id="184"/>
    <w:bookmarkStart w:id="186"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5">
        <w:r>
          <w:rPr>
            <w:rStyle w:val="Hyperlink"/>
          </w:rPr>
          <w:t xml:space="preserve">https://doi.org/10.1038/s44259-025-00079-2</w:t>
        </w:r>
      </w:hyperlink>
      <w:r>
        <w:t xml:space="preserve">.</w:t>
      </w:r>
    </w:p>
    <w:bookmarkEnd w:id="186"/>
    <w:bookmarkStart w:id="188"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7">
        <w:r>
          <w:rPr>
            <w:rStyle w:val="Hyperlink"/>
          </w:rPr>
          <w:t xml:space="preserve">https://doi.org/10.1007/s10096-022-04408-5</w:t>
        </w:r>
      </w:hyperlink>
      <w:r>
        <w:t xml:space="preserve">.</w:t>
      </w:r>
    </w:p>
    <w:bookmarkEnd w:id="188"/>
    <w:bookmarkStart w:id="190"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89">
        <w:r>
          <w:rPr>
            <w:rStyle w:val="Hyperlink"/>
          </w:rPr>
          <w:t xml:space="preserve">https://doi.org/10.1101/2024.02.13.579981</w:t>
        </w:r>
      </w:hyperlink>
      <w:r>
        <w:t xml:space="preserve">.</w:t>
      </w:r>
    </w:p>
    <w:bookmarkEnd w:id="190"/>
    <w:bookmarkStart w:id="192"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1">
        <w:r>
          <w:rPr>
            <w:rStyle w:val="Hyperlink"/>
          </w:rPr>
          <w:t xml:space="preserve">https://doi.org/10.1080/1120009X.2022.2090615</w:t>
        </w:r>
      </w:hyperlink>
      <w:r>
        <w:t xml:space="preserve">.</w:t>
      </w:r>
    </w:p>
    <w:bookmarkEnd w:id="192"/>
    <w:bookmarkStart w:id="194"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3">
        <w:r>
          <w:rPr>
            <w:rStyle w:val="Hyperlink"/>
          </w:rPr>
          <w:t xml:space="preserve">https://doi.org/10.1128/spectrum.03496-22</w:t>
        </w:r>
      </w:hyperlink>
      <w:r>
        <w:t xml:space="preserve">.</w:t>
      </w:r>
    </w:p>
    <w:bookmarkEnd w:id="194"/>
    <w:bookmarkStart w:id="196"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5">
        <w:r>
          <w:rPr>
            <w:rStyle w:val="Hyperlink"/>
          </w:rPr>
          <w:t xml:space="preserve">https://doi.org/10.1016/j.jiph.2023.11.003</w:t>
        </w:r>
      </w:hyperlink>
      <w:r>
        <w:t xml:space="preserve">.</w:t>
      </w:r>
    </w:p>
    <w:bookmarkEnd w:id="196"/>
    <w:bookmarkStart w:id="198"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7">
        <w:r>
          <w:rPr>
            <w:rStyle w:val="Hyperlink"/>
          </w:rPr>
          <w:t xml:space="preserve">https://doi.org/10.3390/antibiotics14020210</w:t>
        </w:r>
      </w:hyperlink>
      <w:r>
        <w:t xml:space="preserve">.</w:t>
      </w:r>
    </w:p>
    <w:bookmarkEnd w:id="198"/>
    <w:bookmarkStart w:id="200"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199">
        <w:r>
          <w:rPr>
            <w:rStyle w:val="Hyperlink"/>
          </w:rPr>
          <w:t xml:space="preserve">https://doi.org/10.1016/j.jgar.2024.01.021</w:t>
        </w:r>
      </w:hyperlink>
      <w:r>
        <w:t xml:space="preserve">.</w:t>
      </w:r>
    </w:p>
    <w:bookmarkEnd w:id="200"/>
    <w:bookmarkStart w:id="201"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1"/>
    <w:bookmarkStart w:id="203"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2">
        <w:r>
          <w:rPr>
            <w:rStyle w:val="Hyperlink"/>
          </w:rPr>
          <w:t xml:space="preserve">https://doi.org/10.3390/antibiotics13121236</w:t>
        </w:r>
      </w:hyperlink>
      <w:r>
        <w:t xml:space="preserve">.</w:t>
      </w:r>
    </w:p>
    <w:bookmarkEnd w:id="203"/>
    <w:bookmarkStart w:id="205"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4">
        <w:r>
          <w:rPr>
            <w:rStyle w:val="Hyperlink"/>
          </w:rPr>
          <w:t xml:space="preserve">https://doi.org/10.1038/s41467-023-40828-3</w:t>
        </w:r>
      </w:hyperlink>
      <w:r>
        <w:t xml:space="preserve">.</w:t>
      </w:r>
    </w:p>
    <w:bookmarkEnd w:id="205"/>
    <w:bookmarkStart w:id="207"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6">
        <w:r>
          <w:rPr>
            <w:rStyle w:val="Hyperlink"/>
          </w:rPr>
          <w:t xml:space="preserve">https://doi.org/10.1128/aac.00559-20</w:t>
        </w:r>
      </w:hyperlink>
      <w:r>
        <w:t xml:space="preserve">.</w:t>
      </w:r>
    </w:p>
    <w:bookmarkEnd w:id="207"/>
    <w:bookmarkStart w:id="209"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08">
        <w:r>
          <w:rPr>
            <w:rStyle w:val="Hyperlink"/>
          </w:rPr>
          <w:t xml:space="preserve">https://doi.org/10.1038/s41392-022-00986-0</w:t>
        </w:r>
      </w:hyperlink>
      <w:r>
        <w:t xml:space="preserve">.</w:t>
      </w:r>
    </w:p>
    <w:bookmarkEnd w:id="209"/>
    <w:bookmarkStart w:id="211"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0">
        <w:r>
          <w:rPr>
            <w:rStyle w:val="Hyperlink"/>
          </w:rPr>
          <w:t xml:space="preserve">https://doi.org/10.1002/advs.202400862</w:t>
        </w:r>
      </w:hyperlink>
      <w:r>
        <w:t xml:space="preserve">.</w:t>
      </w:r>
    </w:p>
    <w:bookmarkEnd w:id="211"/>
    <w:bookmarkStart w:id="213"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2">
        <w:r>
          <w:rPr>
            <w:rStyle w:val="Hyperlink"/>
          </w:rPr>
          <w:t xml:space="preserve">https://doi.org/10.1093/jac/dkad032</w:t>
        </w:r>
      </w:hyperlink>
      <w:r>
        <w:t xml:space="preserve">.</w:t>
      </w:r>
    </w:p>
    <w:bookmarkEnd w:id="213"/>
    <w:bookmarkStart w:id="215"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4">
        <w:r>
          <w:rPr>
            <w:rStyle w:val="Hyperlink"/>
          </w:rPr>
          <w:t xml:space="preserve">https://doi.org/10.3390/antibiotics12061048</w:t>
        </w:r>
      </w:hyperlink>
      <w:r>
        <w:t xml:space="preserve">.</w:t>
      </w:r>
    </w:p>
    <w:bookmarkEnd w:id="215"/>
    <w:bookmarkStart w:id="217"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6">
        <w:r>
          <w:rPr>
            <w:rStyle w:val="Hyperlink"/>
          </w:rPr>
          <w:t xml:space="preserve">https://doi.org/10.1128/aac.02142-21</w:t>
        </w:r>
      </w:hyperlink>
      <w:r>
        <w:t xml:space="preserve">.</w:t>
      </w:r>
    </w:p>
    <w:bookmarkEnd w:id="217"/>
    <w:bookmarkStart w:id="219"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18">
        <w:r>
          <w:rPr>
            <w:rStyle w:val="Hyperlink"/>
          </w:rPr>
          <w:t xml:space="preserve">https://doi.org/10.3390/microorganisms11040984</w:t>
        </w:r>
      </w:hyperlink>
      <w:r>
        <w:t xml:space="preserve">.</w:t>
      </w:r>
    </w:p>
    <w:bookmarkEnd w:id="219"/>
    <w:bookmarkStart w:id="221"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0">
        <w:r>
          <w:rPr>
            <w:rStyle w:val="Hyperlink"/>
          </w:rPr>
          <w:t xml:space="preserve">https://doi.org/10.1016/j.ijantimicag.2024.107190</w:t>
        </w:r>
      </w:hyperlink>
      <w:r>
        <w:t xml:space="preserve">.</w:t>
      </w:r>
    </w:p>
    <w:bookmarkEnd w:id="221"/>
    <w:bookmarkStart w:id="223"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2">
        <w:r>
          <w:rPr>
            <w:rStyle w:val="Hyperlink"/>
          </w:rPr>
          <w:t xml:space="preserve">https://doi.org/10.1007/s40121-023-00854-6</w:t>
        </w:r>
      </w:hyperlink>
      <w:r>
        <w:t xml:space="preserve">.</w:t>
      </w:r>
    </w:p>
    <w:bookmarkEnd w:id="223"/>
    <w:bookmarkStart w:id="225"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4">
        <w:r>
          <w:rPr>
            <w:rStyle w:val="Hyperlink"/>
          </w:rPr>
          <w:t xml:space="preserve">https://doi.org/10.1093/jac/dkad298</w:t>
        </w:r>
      </w:hyperlink>
      <w:r>
        <w:t xml:space="preserve">.</w:t>
      </w:r>
    </w:p>
    <w:bookmarkEnd w:id="225"/>
    <w:bookmarkStart w:id="227"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6">
        <w:r>
          <w:rPr>
            <w:rStyle w:val="Hyperlink"/>
          </w:rPr>
          <w:t xml:space="preserve">https://doi.org/10.1007/s15010-022-01933-5</w:t>
        </w:r>
      </w:hyperlink>
      <w:r>
        <w:t xml:space="preserve">.</w:t>
      </w:r>
    </w:p>
    <w:bookmarkEnd w:id="227"/>
    <w:bookmarkStart w:id="229"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28">
        <w:r>
          <w:rPr>
            <w:rStyle w:val="Hyperlink"/>
          </w:rPr>
          <w:t xml:space="preserve">https://doi.org/10.3390/antibiotics13111001</w:t>
        </w:r>
      </w:hyperlink>
      <w:r>
        <w:t xml:space="preserve">.</w:t>
      </w:r>
    </w:p>
    <w:bookmarkEnd w:id="229"/>
    <w:bookmarkStart w:id="231"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0">
        <w:r>
          <w:rPr>
            <w:rStyle w:val="Hyperlink"/>
          </w:rPr>
          <w:t xml:space="preserve">https://doi.org/10.1007/s10096-024-04833-8</w:t>
        </w:r>
      </w:hyperlink>
      <w:r>
        <w:t xml:space="preserve">.</w:t>
      </w:r>
    </w:p>
    <w:bookmarkEnd w:id="231"/>
    <w:bookmarkStart w:id="233"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2">
        <w:r>
          <w:rPr>
            <w:rStyle w:val="Hyperlink"/>
          </w:rPr>
          <w:t xml:space="preserve">https://doi.org/10.1128/spectrum.03108-23</w:t>
        </w:r>
      </w:hyperlink>
      <w:r>
        <w:t xml:space="preserve">.</w:t>
      </w:r>
    </w:p>
    <w:bookmarkEnd w:id="233"/>
    <w:bookmarkStart w:id="235"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4">
        <w:r>
          <w:rPr>
            <w:rStyle w:val="Hyperlink"/>
          </w:rPr>
          <w:t xml:space="preserve">https://doi.org/10.2147/IDR.S475462</w:t>
        </w:r>
      </w:hyperlink>
      <w:r>
        <w:t xml:space="preserve">.</w:t>
      </w:r>
    </w:p>
    <w:bookmarkEnd w:id="235"/>
    <w:bookmarkStart w:id="237"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6">
        <w:r>
          <w:rPr>
            <w:rStyle w:val="Hyperlink"/>
          </w:rPr>
          <w:t xml:space="preserve">https://doi.org/10.1093/ofid/ofad329</w:t>
        </w:r>
      </w:hyperlink>
      <w:r>
        <w:t xml:space="preserve">.</w:t>
      </w:r>
    </w:p>
    <w:bookmarkEnd w:id="237"/>
    <w:bookmarkStart w:id="239"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38">
        <w:r>
          <w:rPr>
            <w:rStyle w:val="Hyperlink"/>
          </w:rPr>
          <w:t xml:space="preserve">https://doi.org/10.3390/antibiotics12040746</w:t>
        </w:r>
      </w:hyperlink>
      <w:r>
        <w:t xml:space="preserve">.</w:t>
      </w:r>
    </w:p>
    <w:bookmarkEnd w:id="239"/>
    <w:bookmarkStart w:id="241"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0">
        <w:r>
          <w:rPr>
            <w:rStyle w:val="Hyperlink"/>
          </w:rPr>
          <w:t xml:space="preserve">https://doi.org/10.3390/antibiotics13111007</w:t>
        </w:r>
      </w:hyperlink>
      <w:r>
        <w:t xml:space="preserve">.</w:t>
      </w:r>
    </w:p>
    <w:bookmarkEnd w:id="241"/>
    <w:bookmarkStart w:id="243"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2">
        <w:r>
          <w:rPr>
            <w:rStyle w:val="Hyperlink"/>
          </w:rPr>
          <w:t xml:space="preserve">https://doi.org/10.1007/s40121-024-01016-y</w:t>
        </w:r>
      </w:hyperlink>
      <w:r>
        <w:t xml:space="preserve">.</w:t>
      </w:r>
    </w:p>
    <w:bookmarkEnd w:id="243"/>
    <w:bookmarkStart w:id="245"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4">
        <w:r>
          <w:rPr>
            <w:rStyle w:val="Hyperlink"/>
          </w:rPr>
          <w:t xml:space="preserve">https://doi.org/10.1016/j.cmi.2022.04.013</w:t>
        </w:r>
      </w:hyperlink>
      <w:r>
        <w:t xml:space="preserve">.</w:t>
      </w:r>
    </w:p>
    <w:bookmarkEnd w:id="245"/>
    <w:bookmarkStart w:id="246"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5">
        <w:r>
          <w:rPr>
            <w:rStyle w:val="Hyperlink"/>
          </w:rPr>
          <w:t xml:space="preserve">https://doi.org/10.1093/ofid/ofae631.166</w:t>
        </w:r>
      </w:hyperlink>
      <w:r>
        <w:t xml:space="preserve">.</w:t>
      </w:r>
    </w:p>
    <w:bookmarkEnd w:id="246"/>
    <w:bookmarkStart w:id="248"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7">
        <w:r>
          <w:rPr>
            <w:rStyle w:val="Hyperlink"/>
          </w:rPr>
          <w:t xml:space="preserve">https://doi.org/10.1016/j.ijantimicag.2023.106825</w:t>
        </w:r>
      </w:hyperlink>
      <w:r>
        <w:t xml:space="preserve">.</w:t>
      </w:r>
    </w:p>
    <w:bookmarkEnd w:id="248"/>
    <w:bookmarkStart w:id="250"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49">
        <w:r>
          <w:rPr>
            <w:rStyle w:val="Hyperlink"/>
          </w:rPr>
          <w:t xml:space="preserve">https://doi.org/10.1093/ofid/ofz360.791</w:t>
        </w:r>
      </w:hyperlink>
      <w:r>
        <w:t xml:space="preserve">.</w:t>
      </w:r>
    </w:p>
    <w:bookmarkEnd w:id="250"/>
    <w:bookmarkStart w:id="252"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1">
        <w:r>
          <w:rPr>
            <w:rStyle w:val="Hyperlink"/>
          </w:rPr>
          <w:t xml:space="preserve">https://doi.org/10.1016/S1473-3099(20)30796-9</w:t>
        </w:r>
      </w:hyperlink>
      <w:r>
        <w:t xml:space="preserve">.</w:t>
      </w:r>
    </w:p>
    <w:bookmarkEnd w:id="252"/>
    <w:bookmarkEnd w:id="253"/>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hyperlink" Id="rId210" Target="https://doi.org/10.1002/advs.202400862" TargetMode="External" /><Relationship Type="http://schemas.openxmlformats.org/officeDocument/2006/relationships/hyperlink" Id="rId177" Target="https://doi.org/10.1002/jcb.30424" TargetMode="External" /><Relationship Type="http://schemas.openxmlformats.org/officeDocument/2006/relationships/hyperlink" Id="rId187" Target="https://doi.org/10.1007/s10096-022-04408-5" TargetMode="External" /><Relationship Type="http://schemas.openxmlformats.org/officeDocument/2006/relationships/hyperlink" Id="rId170" Target="https://doi.org/10.1007/s10096-022-04503-7" TargetMode="External" /><Relationship Type="http://schemas.openxmlformats.org/officeDocument/2006/relationships/hyperlink" Id="rId161" Target="https://doi.org/10.1007/s10096-023-04732-4" TargetMode="External" /><Relationship Type="http://schemas.openxmlformats.org/officeDocument/2006/relationships/hyperlink" Id="rId230" Target="https://doi.org/10.1007/s10096-024-04833-8" TargetMode="External" /><Relationship Type="http://schemas.openxmlformats.org/officeDocument/2006/relationships/hyperlink" Id="rId226" Target="https://doi.org/10.1007/s15010-022-01933-5" TargetMode="External" /><Relationship Type="http://schemas.openxmlformats.org/officeDocument/2006/relationships/hyperlink" Id="rId222" Target="https://doi.org/10.1007/s40121-023-00854-6" TargetMode="External" /><Relationship Type="http://schemas.openxmlformats.org/officeDocument/2006/relationships/hyperlink" Id="rId242" Target="https://doi.org/10.1007/s40121-024-01016-y" TargetMode="External" /><Relationship Type="http://schemas.openxmlformats.org/officeDocument/2006/relationships/hyperlink" Id="rId251" Target="https://doi.org/10.1016/S1473-3099(20)30796-9" TargetMode="External" /><Relationship Type="http://schemas.openxmlformats.org/officeDocument/2006/relationships/hyperlink" Id="rId147" Target="https://doi.org/10.1016/j.cmi.2021.05.002" TargetMode="External" /><Relationship Type="http://schemas.openxmlformats.org/officeDocument/2006/relationships/hyperlink" Id="rId143" Target="https://doi.org/10.1016/j.cmi.2021.11.025" TargetMode="External" /><Relationship Type="http://schemas.openxmlformats.org/officeDocument/2006/relationships/hyperlink" Id="rId244" Target="https://doi.org/10.1016/j.cmi.2022.04.013" TargetMode="External" /><Relationship Type="http://schemas.openxmlformats.org/officeDocument/2006/relationships/hyperlink" Id="rId247" Target="https://doi.org/10.1016/j.ijantimicag.2023.106825" TargetMode="External" /><Relationship Type="http://schemas.openxmlformats.org/officeDocument/2006/relationships/hyperlink" Id="rId220" Target="https://doi.org/10.1016/j.ijantimicag.2024.107190" TargetMode="External" /><Relationship Type="http://schemas.openxmlformats.org/officeDocument/2006/relationships/hyperlink" Id="rId153"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163" Target="https://doi.org/10.1016/j.jinf.2025.106417" TargetMode="External" /><Relationship Type="http://schemas.openxmlformats.org/officeDocument/2006/relationships/hyperlink" Id="rId195" Target="https://doi.org/10.1016/j.jiph.2023.11.003" TargetMode="External" /><Relationship Type="http://schemas.openxmlformats.org/officeDocument/2006/relationships/hyperlink" Id="rId208" Target="https://doi.org/10.1038/s41392-022-00986-0" TargetMode="External" /><Relationship Type="http://schemas.openxmlformats.org/officeDocument/2006/relationships/hyperlink" Id="rId172"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145" Target="https://doi.org/10.1093/cid/ciae403" TargetMode="External" /><Relationship Type="http://schemas.openxmlformats.org/officeDocument/2006/relationships/hyperlink" Id="rId212" Target="https://doi.org/10.1093/jac/dkad032" TargetMode="External" /><Relationship Type="http://schemas.openxmlformats.org/officeDocument/2006/relationships/hyperlink" Id="rId224" Target="https://doi.org/10.1093/jac/dkad298" TargetMode="External" /><Relationship Type="http://schemas.openxmlformats.org/officeDocument/2006/relationships/hyperlink" Id="rId149" Target="https://doi.org/10.1093/ofid/ofaa439.1478" TargetMode="External" /><Relationship Type="http://schemas.openxmlformats.org/officeDocument/2006/relationships/hyperlink" Id="rId155"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36"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167" Target="https://doi.org/10.1093/ofid/ofae631.1298" TargetMode="External" /><Relationship Type="http://schemas.openxmlformats.org/officeDocument/2006/relationships/hyperlink" Id="rId165" Target="https://doi.org/10.1093/ofid/ofae631.166" TargetMode="External" /><Relationship Type="http://schemas.openxmlformats.org/officeDocument/2006/relationships/hyperlink" Id="rId249" Target="https://doi.org/10.1093/ofid/ofz360.791" TargetMode="External" /><Relationship Type="http://schemas.openxmlformats.org/officeDocument/2006/relationships/hyperlink" Id="rId189" Target="https://doi.org/10.1101/2024.02.13.579981" TargetMode="External" /><Relationship Type="http://schemas.openxmlformats.org/officeDocument/2006/relationships/hyperlink" Id="rId139" Target="https://doi.org/10.1128/AAC.01405-16" TargetMode="External" /><Relationship Type="http://schemas.openxmlformats.org/officeDocument/2006/relationships/hyperlink" Id="rId141" Target="https://doi.org/10.1128/AAC.01968-17"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59"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2"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34" Target="https://doi.org/10.2147/IDR.S475462" TargetMode="External" /><Relationship Type="http://schemas.openxmlformats.org/officeDocument/2006/relationships/hyperlink" Id="rId175" Target="https://doi.org/10.3390/antibiotics11121681" TargetMode="External" /><Relationship Type="http://schemas.openxmlformats.org/officeDocument/2006/relationships/hyperlink" Id="rId238" Target="https://doi.org/10.3390/antibiotics12040746" TargetMode="External" /><Relationship Type="http://schemas.openxmlformats.org/officeDocument/2006/relationships/hyperlink" Id="rId151" Target="https://doi.org/10.3390/antibiotics12050858" TargetMode="External" /><Relationship Type="http://schemas.openxmlformats.org/officeDocument/2006/relationships/hyperlink" Id="rId214" Target="https://doi.org/10.3390/antibiotics12061048" TargetMode="External" /><Relationship Type="http://schemas.openxmlformats.org/officeDocument/2006/relationships/hyperlink" Id="rId228" Target="https://doi.org/10.3390/antibiotics13111001" TargetMode="External" /><Relationship Type="http://schemas.openxmlformats.org/officeDocument/2006/relationships/hyperlink" Id="rId240"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57"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0" Target="https://doi.org/10.1002/advs.202400862" TargetMode="External" /><Relationship Type="http://schemas.openxmlformats.org/officeDocument/2006/relationships/hyperlink" Id="rId177" Target="https://doi.org/10.1002/jcb.30424" TargetMode="External" /><Relationship Type="http://schemas.openxmlformats.org/officeDocument/2006/relationships/hyperlink" Id="rId187" Target="https://doi.org/10.1007/s10096-022-04408-5" TargetMode="External" /><Relationship Type="http://schemas.openxmlformats.org/officeDocument/2006/relationships/hyperlink" Id="rId170" Target="https://doi.org/10.1007/s10096-022-04503-7" TargetMode="External" /><Relationship Type="http://schemas.openxmlformats.org/officeDocument/2006/relationships/hyperlink" Id="rId161" Target="https://doi.org/10.1007/s10096-023-04732-4" TargetMode="External" /><Relationship Type="http://schemas.openxmlformats.org/officeDocument/2006/relationships/hyperlink" Id="rId230" Target="https://doi.org/10.1007/s10096-024-04833-8" TargetMode="External" /><Relationship Type="http://schemas.openxmlformats.org/officeDocument/2006/relationships/hyperlink" Id="rId226" Target="https://doi.org/10.1007/s15010-022-01933-5" TargetMode="External" /><Relationship Type="http://schemas.openxmlformats.org/officeDocument/2006/relationships/hyperlink" Id="rId222" Target="https://doi.org/10.1007/s40121-023-00854-6" TargetMode="External" /><Relationship Type="http://schemas.openxmlformats.org/officeDocument/2006/relationships/hyperlink" Id="rId242" Target="https://doi.org/10.1007/s40121-024-01016-y" TargetMode="External" /><Relationship Type="http://schemas.openxmlformats.org/officeDocument/2006/relationships/hyperlink" Id="rId251" Target="https://doi.org/10.1016/S1473-3099(20)30796-9" TargetMode="External" /><Relationship Type="http://schemas.openxmlformats.org/officeDocument/2006/relationships/hyperlink" Id="rId147" Target="https://doi.org/10.1016/j.cmi.2021.05.002" TargetMode="External" /><Relationship Type="http://schemas.openxmlformats.org/officeDocument/2006/relationships/hyperlink" Id="rId143" Target="https://doi.org/10.1016/j.cmi.2021.11.025" TargetMode="External" /><Relationship Type="http://schemas.openxmlformats.org/officeDocument/2006/relationships/hyperlink" Id="rId244" Target="https://doi.org/10.1016/j.cmi.2022.04.013" TargetMode="External" /><Relationship Type="http://schemas.openxmlformats.org/officeDocument/2006/relationships/hyperlink" Id="rId247" Target="https://doi.org/10.1016/j.ijantimicag.2023.106825" TargetMode="External" /><Relationship Type="http://schemas.openxmlformats.org/officeDocument/2006/relationships/hyperlink" Id="rId220" Target="https://doi.org/10.1016/j.ijantimicag.2024.107190" TargetMode="External" /><Relationship Type="http://schemas.openxmlformats.org/officeDocument/2006/relationships/hyperlink" Id="rId153"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163" Target="https://doi.org/10.1016/j.jinf.2025.106417" TargetMode="External" /><Relationship Type="http://schemas.openxmlformats.org/officeDocument/2006/relationships/hyperlink" Id="rId195" Target="https://doi.org/10.1016/j.jiph.2023.11.003" TargetMode="External" /><Relationship Type="http://schemas.openxmlformats.org/officeDocument/2006/relationships/hyperlink" Id="rId208" Target="https://doi.org/10.1038/s41392-022-00986-0" TargetMode="External" /><Relationship Type="http://schemas.openxmlformats.org/officeDocument/2006/relationships/hyperlink" Id="rId172"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145" Target="https://doi.org/10.1093/cid/ciae403" TargetMode="External" /><Relationship Type="http://schemas.openxmlformats.org/officeDocument/2006/relationships/hyperlink" Id="rId212" Target="https://doi.org/10.1093/jac/dkad032" TargetMode="External" /><Relationship Type="http://schemas.openxmlformats.org/officeDocument/2006/relationships/hyperlink" Id="rId224" Target="https://doi.org/10.1093/jac/dkad298" TargetMode="External" /><Relationship Type="http://schemas.openxmlformats.org/officeDocument/2006/relationships/hyperlink" Id="rId149" Target="https://doi.org/10.1093/ofid/ofaa439.1478" TargetMode="External" /><Relationship Type="http://schemas.openxmlformats.org/officeDocument/2006/relationships/hyperlink" Id="rId155"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36"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167" Target="https://doi.org/10.1093/ofid/ofae631.1298" TargetMode="External" /><Relationship Type="http://schemas.openxmlformats.org/officeDocument/2006/relationships/hyperlink" Id="rId165" Target="https://doi.org/10.1093/ofid/ofae631.166" TargetMode="External" /><Relationship Type="http://schemas.openxmlformats.org/officeDocument/2006/relationships/hyperlink" Id="rId249" Target="https://doi.org/10.1093/ofid/ofz360.791" TargetMode="External" /><Relationship Type="http://schemas.openxmlformats.org/officeDocument/2006/relationships/hyperlink" Id="rId189" Target="https://doi.org/10.1101/2024.02.13.579981" TargetMode="External" /><Relationship Type="http://schemas.openxmlformats.org/officeDocument/2006/relationships/hyperlink" Id="rId139" Target="https://doi.org/10.1128/AAC.01405-16" TargetMode="External" /><Relationship Type="http://schemas.openxmlformats.org/officeDocument/2006/relationships/hyperlink" Id="rId141" Target="https://doi.org/10.1128/AAC.01968-17"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59"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2"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34" Target="https://doi.org/10.2147/IDR.S475462" TargetMode="External" /><Relationship Type="http://schemas.openxmlformats.org/officeDocument/2006/relationships/hyperlink" Id="rId175" Target="https://doi.org/10.3390/antibiotics11121681" TargetMode="External" /><Relationship Type="http://schemas.openxmlformats.org/officeDocument/2006/relationships/hyperlink" Id="rId238" Target="https://doi.org/10.3390/antibiotics12040746" TargetMode="External" /><Relationship Type="http://schemas.openxmlformats.org/officeDocument/2006/relationships/hyperlink" Id="rId151" Target="https://doi.org/10.3390/antibiotics12050858" TargetMode="External" /><Relationship Type="http://schemas.openxmlformats.org/officeDocument/2006/relationships/hyperlink" Id="rId214" Target="https://doi.org/10.3390/antibiotics12061048" TargetMode="External" /><Relationship Type="http://schemas.openxmlformats.org/officeDocument/2006/relationships/hyperlink" Id="rId228" Target="https://doi.org/10.3390/antibiotics13111001" TargetMode="External" /><Relationship Type="http://schemas.openxmlformats.org/officeDocument/2006/relationships/hyperlink" Id="rId240"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57"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2026-01-11T19:22:24Z</dcterms:created>
  <dcterms:modified xsi:type="dcterms:W3CDTF">2026-01-11T19:22:24Z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2994</vt:lpwstr>
  </property>
  <property fmtid="{D5CDD505-2E9C-101B-9397-08002B2CF9AE}" pid="17" name="wordcount_note_words">
    <vt:lpwstr>0</vt:lpwstr>
  </property>
  <property fmtid="{D5CDD505-2E9C-101B-9397-08002B2CF9AE}" pid="18" name="wordcount_ref_words">
    <vt:lpwstr>2252</vt:lpwstr>
  </property>
  <property fmtid="{D5CDD505-2E9C-101B-9397-08002B2CF9AE}" pid="19" name="wordcount_total_words">
    <vt:lpwstr>5246</vt:lpwstr>
  </property>
</Properties>
</file>