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0.png" ContentType="image/png"/>
  <Override PartName="/word/media/rId143.png" ContentType="image/png"/>
  <Override PartName="/word/media/rId136.png" ContentType="image/png"/>
  <Override PartName="/word/media/rId126.png" ContentType="image/png"/>
  <Override PartName="/word/media/rId133.png" ContentType="image/png"/>
  <Override PartName="/word/media/rId129.png" ContentType="image/png"/>
  <Override PartName="/word/media/rId21.png" ContentType="image/png"/>
  <Override PartName="/word/media/rId47.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Exploring the evidence for use of cefiderocol as part of combination therapies: a systematic review of</w:t>
      </w:r>
      <w:r>
        <w:t xml:space="preserve"> </w:t>
      </w:r>
      <w:r>
        <w:rPr>
          <w:i/>
          <w:iCs/>
        </w:rPr>
        <w:t xml:space="preserve">in vitro</w:t>
      </w:r>
      <w:r>
        <w:t xml:space="preserve">,</w:t>
      </w:r>
      <w:r>
        <w:t xml:space="preserve"> </w:t>
      </w:r>
      <w:r>
        <w:rPr>
          <w:i/>
          <w:iCs/>
        </w:rPr>
        <w:t xml:space="preserve">in vivo</w:t>
      </w:r>
      <w:r>
        <w:t xml:space="preserve">, and clinical studies</w:t>
      </w:r>
    </w:p>
    <w:p>
      <w:pPr>
        <w:pStyle w:val="Subtitle"/>
      </w:pPr>
      <w:r>
        <w:t xml:space="preserve">Supplementary material</w:t>
      </w:r>
    </w:p>
    <w:p>
      <w:pPr>
        <w:pStyle w:val="Author"/>
      </w:pPr>
      <w:r>
        <w:t xml:space="preserve">Marco Meroi</w:t>
      </w:r>
      <w:r>
        <w:rPr>
          <w:vertAlign w:val="superscript"/>
        </w:rPr>
        <w:t xml:space="preserve">*,1</w:t>
      </w:r>
      <w:r>
        <w:t xml:space="preserve">, Juan Antonio del Castillo Polo</w:t>
      </w:r>
      <w:r>
        <w:rPr>
          <w:vertAlign w:val="superscript"/>
        </w:rPr>
        <w:t xml:space="preserve">*,2</w:t>
      </w:r>
      <w:r>
        <w:t xml:space="preserve">, Rebecca Scardellato</w:t>
      </w:r>
      <w:r>
        <w:rPr>
          <w:vertAlign w:val="superscript"/>
        </w:rPr>
        <w:t xml:space="preserve">1</w:t>
      </w:r>
      <w:r>
        <w:t xml:space="preserve">, Alessandra Nazeri</w:t>
      </w:r>
      <w:r>
        <w:rPr>
          <w:vertAlign w:val="superscript"/>
        </w:rPr>
        <w:t xml:space="preserve">1</w:t>
      </w:r>
      <w:r>
        <w:t xml:space="preserve">, Alessia Savoldi</w:t>
      </w:r>
      <w:r>
        <w:rPr>
          <w:vertAlign w:val="superscript"/>
        </w:rPr>
        <w:t xml:space="preserve">1</w:t>
      </w:r>
      <w:r>
        <w:t xml:space="preserve">, Renata Da Costa</w:t>
      </w:r>
      <w:r>
        <w:rPr>
          <w:vertAlign w:val="superscript"/>
        </w:rPr>
        <w:t xml:space="preserve">3</w:t>
      </w:r>
      <w:r>
        <w:t xml:space="preserve">, Laura Piddock</w:t>
      </w:r>
      <w:r>
        <w:rPr>
          <w:vertAlign w:val="superscript"/>
        </w:rPr>
        <w:t xml:space="preserve">3</w:t>
      </w:r>
      <w:r>
        <w:t xml:space="preserve">, Jennifer Cohn</w:t>
      </w:r>
      <w:r>
        <w:rPr>
          <w:vertAlign w:val="superscript"/>
        </w:rPr>
        <w:t xml:space="preserve">3</w:t>
      </w:r>
      <w:r>
        <w:t xml:space="preserve">, Evelina Tacconelli</w:t>
      </w:r>
      <w:r>
        <w:rPr>
          <w:vertAlign w:val="superscript"/>
        </w:rPr>
        <w:t xml:space="preserve">1</w:t>
      </w:r>
      <w:r>
        <w:t xml:space="preserve">, Matteo Morra</w:t>
      </w:r>
      <w:r>
        <w:rPr>
          <w:vertAlign w:val="superscript"/>
        </w:rPr>
        <w:t xml:space="preserve">1,✉</w:t>
      </w:r>
      <w:r>
        <w:t xml:space="preserve">, and Elda Righi</w:t>
      </w:r>
      <w:r>
        <w:rPr>
          <w:vertAlign w:val="superscript"/>
        </w:rPr>
        <w:t xml:space="preserve">1</w:t>
      </w:r>
    </w:p>
    <w:p>
      <w:pPr>
        <w:pStyle w:val="FirstParagraph"/>
      </w:pPr>
      <w:r>
        <w:rPr>
          <w:vertAlign w:val="superscript"/>
        </w:rPr>
        <w:t xml:space="preserve">*</w:t>
      </w:r>
      <w:r>
        <w:t xml:space="preserve"> </w:t>
      </w:r>
      <w:r>
        <w:t xml:space="preserve">These authors contributed equally to this work.</w:t>
      </w:r>
    </w:p>
    <w:p>
      <w:pPr>
        <w:pStyle w:val="BodyText"/>
      </w:pPr>
      <w:r>
        <w:rPr>
          <w:vertAlign w:val="superscript"/>
        </w:rPr>
        <w:t xml:space="preserve">1</w:t>
      </w:r>
      <w:r>
        <w:t xml:space="preserve"> </w:t>
      </w:r>
      <w:r>
        <w:t xml:space="preserve">Division of Infectious Diseases, Department of Diagnostics and Public Health, University of Verona, Verona, Italy</w:t>
      </w:r>
      <w:r>
        <w:br/>
      </w:r>
      <w:r>
        <w:rPr>
          <w:vertAlign w:val="superscript"/>
        </w:rPr>
        <w:t xml:space="preserve">2</w:t>
      </w:r>
      <w:r>
        <w:t xml:space="preserve"> </w:t>
      </w:r>
      <w:r>
        <w:t xml:space="preserve">Servicio de Microbiología, Hospital Universitario Ramón y Cajal and Instituto Ramón y Cajal de Investigación Sanitaria (IRYCIS), Madrid, Spain</w:t>
      </w:r>
      <w:r>
        <w:br/>
      </w:r>
      <w:r>
        <w:rPr>
          <w:vertAlign w:val="superscript"/>
        </w:rPr>
        <w:t xml:space="preserve">3</w:t>
      </w:r>
      <w:r>
        <w:t xml:space="preserve"> </w:t>
      </w:r>
      <w:r>
        <w:t xml:space="preserve">Global Antibiotic Research and Development Partnership (GARDP), Geneva, Switzerland</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Matteo Morra &lt;matteo.morra@univr.it&gt;</w:t>
        </w:r>
      </w:hyperlink>
    </w:p>
    <w:p>
      <w:pPr>
        <w:sectPr/>
      </w:pPr>
    </w:p>
    <w:p>
      <w:pPr>
        <w:sectPr/>
      </w:pPr>
    </w:p>
    <w:bookmarkStart w:id="120" w:name="study-charateristics"/>
    <w:p>
      <w:pPr>
        <w:pStyle w:val="Heading1"/>
      </w:pPr>
      <w:r>
        <w:t xml:space="preserve">Study charateristics</w:t>
      </w:r>
    </w:p>
    <w:p>
      <w:pPr>
        <w:pStyle w:val="TableCaption"/>
      </w:pPr>
      <w:r>
        <w:rPr>
          <w:b/>
          <w:bCs/>
        </w:rPr>
        <w:t xml:space="preserve">Table 1</w:t>
      </w:r>
      <w:r>
        <w:t xml:space="preserve">. Summary of cefiderocol in vitro synergisms.</w:t>
      </w:r>
      <w:r>
        <w:t xml:space="preserve"> </w:t>
      </w:r>
      <w:r>
        <w:rPr>
          <w:b/>
          <w:bCs/>
        </w:rPr>
        <w:t xml:space="preserve">Molecules</w:t>
      </w:r>
      <w:r>
        <w:t xml:space="preserve"> </w:t>
      </w:r>
      <w:r>
        <w:t xml:space="preserve">(in alphabetical order) AMK: amikacin, A-S: ampicillin-sulbactam, ATM: aztreonam, AVI: avibactam, CA: clavulanic acid, CBS: colloidal bismuth citrate, CIP: ciprofloxacin, COL: colistin, CZA: ceftazidime-avibactam, DPA: dipicolinic acid, DUR: durlobactam, ERA: eravacycline, FDC: cefiderocol, FOS: fosfomycin, IMI: imipenem, IMR: imipenem-relebactam, LEV: levofloxacin, MER: meropenem, MEV: meropenem-vaborbactam, MIN: minocycline, NAC: nacubactam, OMA: omadacycline, PM-B: polymyxin B, PMBN: polymyxin B nonapeptide, P–T: piperacillin-tazobactam, REL: relebactam, RIF: rifampicin, SUL: sulbactam, SXT: cotrimoxazole, TAN: taniborbactam, TAZ: tazobactam, TGC: tigecycline, TOL-TAZ: ceftolozane-tazobactam, VAB: vaborbactam, VAN: vancomycin, XER: xeruborbactam and ZID: zidebactam.</w:t>
      </w:r>
      <w:r>
        <w:t xml:space="preserve"> </w:t>
      </w:r>
      <w:r>
        <w:rPr>
          <w:b/>
          <w:bCs/>
        </w:rPr>
        <w:t xml:space="preserve">Methods and isolates</w:t>
      </w:r>
      <w:r>
        <w:t xml:space="preserve"> </w:t>
      </w:r>
      <w:r>
        <w:t xml:space="preserve">(in alphabetical order) Ab: Acinetobacter baumannii complex, AI: artificil intelligence, BMD MIC: broth microdilution minimal inhibitory concentration, CRAB: carbapenem-resistant</w:t>
      </w:r>
      <w:r>
        <w:t xml:space="preserve"> </w:t>
      </w:r>
      <w:r>
        <w:rPr>
          <w:i/>
          <w:iCs/>
        </w:rPr>
        <w:t xml:space="preserve">Acinetobacter baumannii complex</w:t>
      </w:r>
      <w:r>
        <w:t xml:space="preserve">, CRE: carbapenem-resistant Enterobacterales, EB: Enterobacterales, Ec:</w:t>
      </w:r>
      <w:r>
        <w:t xml:space="preserve"> </w:t>
      </w:r>
      <w:r>
        <w:rPr>
          <w:i/>
          <w:iCs/>
        </w:rPr>
        <w:t xml:space="preserve">Escherichia coli</w:t>
      </w:r>
      <w:r>
        <w:t xml:space="preserve">, MBL: metallo ß-lactamase, Pa:</w:t>
      </w:r>
      <w:r>
        <w:t xml:space="preserve"> </w:t>
      </w:r>
      <w:r>
        <w:rPr>
          <w:i/>
          <w:iCs/>
        </w:rPr>
        <w:t xml:space="preserve">Pseudomonas aeruginosa</w:t>
      </w:r>
      <w:r>
        <w:t xml:space="preserve">, Kp:</w:t>
      </w:r>
      <w:r>
        <w:t xml:space="preserve"> </w:t>
      </w:r>
      <w:r>
        <w:rPr>
          <w:i/>
          <w:iCs/>
        </w:rPr>
        <w:t xml:space="preserve">Klebsiella pneumoniae</w:t>
      </w:r>
      <w:r>
        <w:t xml:space="preserve">, R: resistant and S: susceptible.</w:t>
      </w:r>
      <w:r>
        <w:t xml:space="preserve"> </w:t>
      </w:r>
      <w:r>
        <w:rPr>
          <w:b/>
          <w:bCs/>
        </w:rPr>
        <w:t xml:space="preserve">Results</w:t>
      </w:r>
      <w:r>
        <w:t xml:space="preserve">: green: positive synergy, red: no synergy and yellow: variable synergy.</w:t>
      </w:r>
    </w:p>
    <w:tbl>
      <w:tblPr>
        <w:tblStyle w:val="Table"/>
        <w:tblW w:type="pct" w:w="4950"/>
        <w:tblLayout w:type="fixed"/>
        <w:tblLook w:firstRow="1" w:lastRow="0" w:firstColumn="0" w:lastColumn="0" w:noHBand="0" w:noVBand="0" w:val="0020"/>
        <w:tblCaption w:val="Table 1. Summary of cefiderocol in vitro synergisms. Molecules (in alphabetical order) AMK: amikacin, A-S: ampicillin-sulbactam, ATM: aztreonam, AVI: avibactam, CA: clavulanic acid, CBS: colloidal bismuth citrate, CIP: ciprofloxacin, COL: colistin, CZA: ceftazidime-avibactam, DPA: dipicolinic acid, DUR: durlobactam, ERA: eravacycline, FDC: cefiderocol, FOS: fosfomycin, IMI: imipenem, IMR: imipenem-relebactam, LEV: levofloxacin, MER: meropenem, MEV: meropenem-vaborbactam, MIN: minocycline, NAC: nacubactam, OMA: omadacycline, PM-B: polymyxin B, PMBN: polymyxin B nonapeptide, P–T: piperacillin-tazobactam, REL: relebactam, RIF: rifampicin, SUL: sulbactam, SXT: cotrimoxazole, TAN: taniborbactam, TAZ: tazobactam, TGC: tigecycline, TOL-TAZ: ceftolozane-tazobactam, VAB: vaborbactam, VAN: vancomycin, XER: xeruborbactam and ZID: zidebactam. Methods and isolates (in alphabetical order) Ab: Acinetobacter baumannii complex, AI: artificil intelligence, BMD MIC: broth microdilution minimal inhibitory concentration, CRAB: carbapenem-resistant Acinetobacter baumannii complex, CRE: carbapenem-resistant Enterobacterales, EB: Enterobacterales, Ec: Escherichia coli, MBL: metallo ß-lactamase, Pa: Pseudomonas aeruginosa, Kp: Klebsiella pneumoniae, R: resistant and S: susceptible. Results: green: positive synergy, red: no synergy and yellow: variable synergy."/>
      </w:tblPr>
      <w:tblGrid>
        <w:gridCol w:w="960"/>
        <w:gridCol w:w="784"/>
        <w:gridCol w:w="1117"/>
        <w:gridCol w:w="1705"/>
        <w:gridCol w:w="2156"/>
        <w:gridCol w:w="1117"/>
      </w:tblGrid>
      <w:tr>
        <w:trPr>
          <w:tblHeader w:val="on"/>
        </w:trPr>
        <w:tc>
          <w:tcPr/>
          <w:p>
            <w:pPr>
              <w:pStyle w:val="Compact"/>
              <w:jc w:val="left"/>
            </w:pPr>
            <w:r>
              <w:rPr>
                <w:b/>
                <w:bCs/>
              </w:rPr>
              <w:t xml:space="preserve">Author, year</w:t>
            </w:r>
          </w:p>
        </w:tc>
        <w:tc>
          <w:tcPr/>
          <w:p>
            <w:pPr>
              <w:pStyle w:val="Compact"/>
              <w:jc w:val="left"/>
            </w:pPr>
            <w:r>
              <w:rPr>
                <w:b/>
                <w:bCs/>
              </w:rPr>
              <w:t xml:space="preserve">Molecules</w:t>
            </w:r>
          </w:p>
        </w:tc>
        <w:tc>
          <w:tcPr/>
          <w:p>
            <w:pPr>
              <w:pStyle w:val="Compact"/>
              <w:jc w:val="left"/>
            </w:pPr>
            <w:r>
              <w:rPr>
                <w:b/>
                <w:bCs/>
              </w:rPr>
              <w:t xml:space="preserve">Methods</w:t>
            </w:r>
          </w:p>
        </w:tc>
        <w:tc>
          <w:tcPr/>
          <w:p>
            <w:pPr>
              <w:pStyle w:val="Compact"/>
              <w:jc w:val="left"/>
            </w:pPr>
            <w:r>
              <w:rPr>
                <w:b/>
                <w:bCs/>
              </w:rPr>
              <w:t xml:space="preserve">Isolates</w:t>
            </w:r>
          </w:p>
        </w:tc>
        <w:tc>
          <w:tcPr/>
          <w:p>
            <w:pPr>
              <w:pStyle w:val="Compact"/>
              <w:jc w:val="left"/>
            </w:pPr>
            <w:r>
              <w:rPr>
                <w:b/>
                <w:bCs/>
              </w:rPr>
              <w:t xml:space="preserve">Synergy</w:t>
            </w:r>
          </w:p>
        </w:tc>
        <w:tc>
          <w:tcPr/>
          <w:p>
            <w:pPr>
              <w:pStyle w:val="Compact"/>
              <w:jc w:val="center"/>
            </w:pPr>
            <w:r>
              <w:rPr>
                <w:b/>
                <w:bCs/>
              </w:rPr>
              <w:t xml:space="preserve">Result</w:t>
            </w:r>
          </w:p>
        </w:tc>
      </w:tr>
      <w:tr>
        <w:tc>
          <w:tcPr/>
          <w:p>
            <w:pPr>
              <w:pStyle w:val="Compact"/>
              <w:jc w:val="left"/>
            </w:pPr>
            <w:r>
              <w:t xml:space="preserve">Tsuji, 2016</w:t>
            </w:r>
            <w:r>
              <w:t xml:space="preserve"> </w:t>
            </w:r>
            <w:r>
              <w:t xml:space="preserve">[1]</w:t>
            </w:r>
          </w:p>
        </w:tc>
        <w:tc>
          <w:tcPr/>
          <w:p>
            <w:pPr>
              <w:pStyle w:val="Compact"/>
              <w:jc w:val="left"/>
            </w:pPr>
            <w:r>
              <w:t xml:space="preserve">MER, AMK, and COL</w:t>
            </w:r>
          </w:p>
        </w:tc>
        <w:tc>
          <w:tcPr/>
          <w:p>
            <w:pPr>
              <w:pStyle w:val="Compact"/>
              <w:jc w:val="left"/>
            </w:pPr>
            <w:r>
              <w:t xml:space="preserve">BMD MIC</w:t>
            </w:r>
          </w:p>
        </w:tc>
        <w:tc>
          <w:tcPr/>
          <w:p>
            <w:pPr>
              <w:pStyle w:val="Compact"/>
              <w:jc w:val="left"/>
            </w:pPr>
            <w:r>
              <w:t xml:space="preserve">41 EB, 20</w:t>
            </w:r>
            <w:r>
              <w:t xml:space="preserve"> </w:t>
            </w:r>
            <w:r>
              <w:rPr>
                <w:i/>
                <w:iCs/>
              </w:rPr>
              <w:t xml:space="preserve">Pa</w:t>
            </w:r>
            <w:r>
              <w:t xml:space="preserve">, and 21</w:t>
            </w:r>
            <w:r>
              <w:t xml:space="preserve"> </w:t>
            </w:r>
            <w:r>
              <w:rPr>
                <w:i/>
                <w:iCs/>
              </w:rPr>
              <w:t xml:space="preserve">Ab</w:t>
            </w:r>
            <w:r>
              <w:t xml:space="preserve"> </w:t>
            </w:r>
            <w:r>
              <w:t xml:space="preserve">resistant to meropenem</w:t>
            </w:r>
          </w:p>
        </w:tc>
        <w:tc>
          <w:tcPr/>
          <w:p>
            <w:pPr>
              <w:pStyle w:val="Compact"/>
              <w:jc w:val="left"/>
            </w:pPr>
            <w:r>
              <w:t xml:space="preserve">Synergy for MER (11%</w:t>
            </w:r>
            <w:r>
              <w:t xml:space="preserve"> </w:t>
            </w:r>
            <w:r>
              <w:rPr>
                <w:i/>
                <w:iCs/>
              </w:rPr>
              <w:t xml:space="preserve">Pa</w:t>
            </w:r>
            <w:r>
              <w:t xml:space="preserve">, 26% EB and 43%</w:t>
            </w:r>
            <w:r>
              <w:t xml:space="preserve"> </w:t>
            </w:r>
            <w:r>
              <w:rPr>
                <w:i/>
                <w:iCs/>
              </w:rPr>
              <w:t xml:space="preserve">Ab</w:t>
            </w:r>
            <w:r>
              <w:t xml:space="preserve">)</w:t>
            </w:r>
          </w:p>
        </w:tc>
        <w:tc>
          <w:tcPr/>
          <w:p>
            <w:pPr>
              <w:pStyle w:val="Compact"/>
              <w:jc w:val="center"/>
            </w:pPr>
            <w:r>
              <w:drawing>
                <wp:inline>
                  <wp:extent cx="333375" cy="333375"/>
                  <wp:effectExtent b="0" l="0" r="0" t="0"/>
                  <wp:docPr descr="" title="" id="22" name="Picture"/>
                  <a:graphic>
                    <a:graphicData uri="http://schemas.openxmlformats.org/drawingml/2006/picture">
                      <pic:pic>
                        <pic:nvPicPr>
                          <pic:cNvPr descr="images/green_synergy.png" id="23" name="Picture"/>
                          <pic:cNvPicPr>
                            <a:picLocks noChangeArrowheads="1" noChangeAspect="1"/>
                          </pic:cNvPicPr>
                        </pic:nvPicPr>
                        <pic:blipFill>
                          <a:blip r:embed="rId2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jc w:val="left"/>
            </w:pPr>
            <w:r>
              <w:t xml:space="preserve">MER, AMK, and CIP</w:t>
            </w:r>
          </w:p>
        </w:tc>
        <w:tc>
          <w:tcPr/>
          <w:p>
            <w:pPr>
              <w:pStyle w:val="Compact"/>
              <w:jc w:val="left"/>
            </w:pPr>
            <w:r>
              <w:t xml:space="preserve">Checkerboard and time-kill</w:t>
            </w:r>
          </w:p>
        </w:tc>
        <w:tc>
          <w:tcPr/>
          <w:p>
            <w:pPr>
              <w:pStyle w:val="Compact"/>
              <w:jc w:val="left"/>
            </w:pPr>
            <w:r>
              <w:t xml:space="preserve">1 FDC-R KPC-</w:t>
            </w:r>
            <w:r>
              <w:rPr>
                <w:i/>
                <w:iCs/>
              </w:rPr>
              <w:t xml:space="preserve">Kp</w:t>
            </w:r>
            <w:r>
              <w:t xml:space="preserve">, 1 VIM-10-</w:t>
            </w:r>
            <w:r>
              <w:rPr>
                <w:i/>
                <w:iCs/>
              </w:rPr>
              <w:t xml:space="preserve">Pa, and</w:t>
            </w:r>
            <w:r>
              <w:t xml:space="preserve"> </w:t>
            </w:r>
            <w:r>
              <w:t xml:space="preserve">1 FDC-R MDR-</w:t>
            </w:r>
            <w:r>
              <w:rPr>
                <w:i/>
                <w:iCs/>
              </w:rPr>
              <w:t xml:space="preserve">Ab</w:t>
            </w:r>
          </w:p>
        </w:tc>
        <w:tc>
          <w:tcPr/>
          <w:p>
            <w:pPr>
              <w:pStyle w:val="Compact"/>
              <w:jc w:val="left"/>
            </w:pPr>
            <w:r>
              <w:t xml:space="preserve">Synergy for MER in</w:t>
            </w:r>
            <w:r>
              <w:t xml:space="preserve"> </w:t>
            </w:r>
            <w:r>
              <w:rPr>
                <w:i/>
                <w:iCs/>
              </w:rPr>
              <w:t xml:space="preserve">Kp</w:t>
            </w:r>
            <w:r>
              <w:t xml:space="preserve"> </w:t>
            </w:r>
            <w:r>
              <w:t xml:space="preserve">and AMK in</w:t>
            </w:r>
            <w:r>
              <w:t xml:space="preserve"> </w:t>
            </w:r>
            <w:r>
              <w:rPr>
                <w:i/>
                <w:iCs/>
              </w:rPr>
              <w:t xml:space="preserve">Ab</w:t>
            </w:r>
          </w:p>
        </w:tc>
        <w:tc>
          <w:tcPr/>
          <w:p>
            <w:pPr>
              <w:pStyle w:val="Compact"/>
              <w:jc w:val="center"/>
            </w:pPr>
            <w:r>
              <w:drawing>
                <wp:inline>
                  <wp:extent cx="333375" cy="333375"/>
                  <wp:effectExtent b="0" l="0" r="0" t="0"/>
                  <wp:docPr descr="" title="" id="24" name="Picture"/>
                  <a:graphic>
                    <a:graphicData uri="http://schemas.openxmlformats.org/drawingml/2006/picture">
                      <pic:pic>
                        <pic:nvPicPr>
                          <pic:cNvPr descr="images/green_synergy.png" id="25" name="Picture"/>
                          <pic:cNvPicPr>
                            <a:picLocks noChangeArrowheads="1" noChangeAspect="1"/>
                          </pic:cNvPicPr>
                        </pic:nvPicPr>
                        <pic:blipFill>
                          <a:blip r:embed="rId2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Palombo, 2023</w:t>
            </w:r>
            <w:r>
              <w:t xml:space="preserve"> </w:t>
            </w:r>
            <w:r>
              <w:t xml:space="preserve">[2]</w:t>
            </w:r>
          </w:p>
        </w:tc>
        <w:tc>
          <w:tcPr/>
          <w:p>
            <w:pPr>
              <w:pStyle w:val="Compact"/>
              <w:jc w:val="left"/>
            </w:pPr>
            <w:r>
              <w:t xml:space="preserve">P–T, FOS, A–S, CZA, MEV, and IMR</w:t>
            </w:r>
          </w:p>
        </w:tc>
        <w:tc>
          <w:tcPr/>
          <w:p>
            <w:pPr>
              <w:pStyle w:val="Compact"/>
              <w:jc w:val="left"/>
            </w:pPr>
            <w:r>
              <w:t xml:space="preserve">Gradient diffusion strip crossing</w:t>
            </w:r>
          </w:p>
        </w:tc>
        <w:tc>
          <w:tcPr/>
          <w:p>
            <w:pPr>
              <w:jc w:val="left"/>
            </w:pPr>
            <w:r>
              <w:t xml:space="preserve">FDC-R: 1</w:t>
            </w:r>
            <w:r>
              <w:t xml:space="preserve"> </w:t>
            </w:r>
            <w:r>
              <w:rPr>
                <w:i/>
                <w:iCs/>
              </w:rPr>
              <w:t xml:space="preserve">Kp</w:t>
            </w:r>
            <w:r>
              <w:t xml:space="preserve"> </w:t>
            </w:r>
            <w:r>
              <w:t xml:space="preserve">and 1</w:t>
            </w:r>
            <w:r>
              <w:t xml:space="preserve"> </w:t>
            </w:r>
            <w:r>
              <w:rPr>
                <w:i/>
                <w:iCs/>
              </w:rPr>
              <w:t xml:space="preserve">Ab</w:t>
            </w:r>
          </w:p>
          <w:p>
            <w:pPr>
              <w:jc w:val="left"/>
            </w:pPr>
            <w:r>
              <w:t xml:space="preserve">FDC-S: 1</w:t>
            </w:r>
            <w:r>
              <w:t xml:space="preserve"> </w:t>
            </w:r>
            <w:r>
              <w:rPr>
                <w:i/>
                <w:iCs/>
              </w:rPr>
              <w:t xml:space="preserve">Kp</w:t>
            </w:r>
            <w:r>
              <w:t xml:space="preserve">, 1</w:t>
            </w:r>
            <w:r>
              <w:t xml:space="preserve"> </w:t>
            </w:r>
            <w:r>
              <w:rPr>
                <w:i/>
                <w:iCs/>
              </w:rPr>
              <w:t xml:space="preserve">Ab</w:t>
            </w:r>
            <w:r>
              <w:t xml:space="preserve">, and 2</w:t>
            </w:r>
            <w:r>
              <w:t xml:space="preserve"> </w:t>
            </w:r>
            <w:r>
              <w:rPr>
                <w:i/>
                <w:iCs/>
              </w:rPr>
              <w:t xml:space="preserve">Pa</w:t>
            </w:r>
          </w:p>
        </w:tc>
        <w:tc>
          <w:tcPr/>
          <w:p>
            <w:pPr>
              <w:jc w:val="left"/>
            </w:pPr>
            <w:r>
              <w:t xml:space="preserve">No synergy for P/T, MEV, IMR</w:t>
            </w:r>
          </w:p>
          <w:p>
            <w:pPr>
              <w:jc w:val="left"/>
            </w:pPr>
            <w:r>
              <w:t xml:space="preserve">FDC-R: synergy for FOS (n=2) and CZA in 1</w:t>
            </w:r>
            <w:r>
              <w:t xml:space="preserve"> </w:t>
            </w:r>
            <w:r>
              <w:rPr>
                <w:i/>
                <w:iCs/>
              </w:rPr>
              <w:t xml:space="preserve">Kp;</w:t>
            </w:r>
          </w:p>
          <w:p>
            <w:pPr>
              <w:jc w:val="left"/>
            </w:pPr>
            <w:r>
              <w:t xml:space="preserve">FDC-S: synergy for CZA in 1</w:t>
            </w:r>
            <w:r>
              <w:t xml:space="preserve"> </w:t>
            </w:r>
            <w:r>
              <w:rPr>
                <w:i/>
                <w:iCs/>
              </w:rPr>
              <w:t xml:space="preserve">Pa</w:t>
            </w:r>
            <w:r>
              <w:t xml:space="preserve"> </w:t>
            </w:r>
            <w:r>
              <w:t xml:space="preserve">and A-S in 1</w:t>
            </w:r>
            <w:r>
              <w:t xml:space="preserve"> </w:t>
            </w:r>
            <w:r>
              <w:rPr>
                <w:i/>
                <w:iCs/>
              </w:rPr>
              <w:t xml:space="preserve">Pa</w:t>
            </w:r>
          </w:p>
        </w:tc>
        <w:tc>
          <w:tcPr/>
          <w:p>
            <w:pPr>
              <w:pStyle w:val="Compact"/>
              <w:jc w:val="center"/>
            </w:pPr>
            <w:r>
              <w:drawing>
                <wp:inline>
                  <wp:extent cx="323850" cy="333375"/>
                  <wp:effectExtent b="0" l="0" r="0" t="0"/>
                  <wp:docPr descr="" title="" id="27" name="Picture"/>
                  <a:graphic>
                    <a:graphicData uri="http://schemas.openxmlformats.org/drawingml/2006/picture">
                      <pic:pic>
                        <pic:nvPicPr>
                          <pic:cNvPr descr="images/yellow_synergy.png" id="28" name="Picture"/>
                          <pic:cNvPicPr>
                            <a:picLocks noChangeArrowheads="1" noChangeAspect="1"/>
                          </pic:cNvPicPr>
                        </pic:nvPicPr>
                        <pic:blipFill>
                          <a:blip r:embed="rId26"/>
                          <a:stretch>
                            <a:fillRect/>
                          </a:stretch>
                        </pic:blipFill>
                        <pic:spPr bwMode="auto">
                          <a:xfrm>
                            <a:off x="0" y="0"/>
                            <a:ext cx="323850" cy="333375"/>
                          </a:xfrm>
                          <a:prstGeom prst="rect">
                            <a:avLst/>
                          </a:prstGeom>
                          <a:noFill/>
                          <a:ln w="9525">
                            <a:noFill/>
                            <a:headEnd/>
                            <a:tailEnd/>
                          </a:ln>
                        </pic:spPr>
                      </pic:pic>
                    </a:graphicData>
                  </a:graphic>
                </wp:inline>
              </w:drawing>
            </w:r>
          </w:p>
        </w:tc>
      </w:tr>
      <w:tr>
        <w:tc>
          <w:tcPr/>
          <w:p>
            <w:pPr>
              <w:pStyle w:val="Compact"/>
              <w:jc w:val="left"/>
            </w:pPr>
            <w:r>
              <w:t xml:space="preserve">Kohira, 2020</w:t>
            </w:r>
            <w:r>
              <w:t xml:space="preserve"> </w:t>
            </w:r>
            <w:r>
              <w:t xml:space="preserve">[3]</w:t>
            </w:r>
          </w:p>
        </w:tc>
        <w:tc>
          <w:tcPr/>
          <w:p>
            <w:pPr>
              <w:pStyle w:val="Compact"/>
              <w:jc w:val="left"/>
            </w:pPr>
            <w:r>
              <w:t xml:space="preserve">AVI</w:t>
            </w:r>
          </w:p>
        </w:tc>
        <w:tc>
          <w:tcPr/>
          <w:p>
            <w:pPr>
              <w:pStyle w:val="Compact"/>
              <w:jc w:val="left"/>
            </w:pPr>
            <w:r>
              <w:t xml:space="preserve">BMD MIC</w:t>
            </w:r>
          </w:p>
        </w:tc>
        <w:tc>
          <w:tcPr/>
          <w:p>
            <w:pPr>
              <w:pStyle w:val="Compact"/>
              <w:jc w:val="left"/>
            </w:pPr>
            <w:r>
              <w:t xml:space="preserve">33 non-NDM-EB,</w:t>
            </w:r>
            <w:r>
              <w:t xml:space="preserve"> </w:t>
            </w:r>
            <w:r>
              <w:rPr>
                <w:i/>
                <w:iCs/>
              </w:rPr>
              <w:t xml:space="preserve">Ab</w:t>
            </w:r>
            <w:r>
              <w:t xml:space="preserve">, and</w:t>
            </w:r>
            <w:r>
              <w:t xml:space="preserve"> </w:t>
            </w:r>
            <w:r>
              <w:rPr>
                <w:i/>
                <w:iCs/>
              </w:rPr>
              <w:t xml:space="preserve">Pa</w:t>
            </w:r>
          </w:p>
        </w:tc>
        <w:tc>
          <w:tcPr/>
          <w:p>
            <w:pPr>
              <w:pStyle w:val="Compact"/>
              <w:jc w:val="left"/>
            </w:pPr>
            <w:r>
              <w:t xml:space="preserve">≥8-fold MIC decrease in 32/33</w:t>
            </w:r>
          </w:p>
        </w:tc>
        <w:tc>
          <w:tcPr/>
          <w:p>
            <w:pPr>
              <w:pStyle w:val="Compact"/>
              <w:jc w:val="center"/>
            </w:pPr>
            <w:r>
              <w:drawing>
                <wp:inline>
                  <wp:extent cx="333375" cy="333375"/>
                  <wp:effectExtent b="0" l="0" r="0" t="0"/>
                  <wp:docPr descr="" title="" id="29" name="Picture"/>
                  <a:graphic>
                    <a:graphicData uri="http://schemas.openxmlformats.org/drawingml/2006/picture">
                      <pic:pic>
                        <pic:nvPicPr>
                          <pic:cNvPr descr="images/green_synergy.png" id="30" name="Picture"/>
                          <pic:cNvPicPr>
                            <a:picLocks noChangeArrowheads="1" noChangeAspect="1"/>
                          </pic:cNvPicPr>
                        </pic:nvPicPr>
                        <pic:blipFill>
                          <a:blip r:embed="rId2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Le Terrier, 2024</w:t>
            </w:r>
            <w:r>
              <w:t xml:space="preserve"> </w:t>
            </w:r>
            <w:r>
              <w:t xml:space="preserve">[4]</w:t>
            </w:r>
          </w:p>
        </w:tc>
        <w:tc>
          <w:tcPr/>
          <w:p>
            <w:pPr>
              <w:pStyle w:val="Compact"/>
              <w:jc w:val="left"/>
            </w:pPr>
            <w:r>
              <w:t xml:space="preserve">ZID, TAN, NAC, AVI, REL, VAB</w:t>
            </w:r>
          </w:p>
        </w:tc>
        <w:tc>
          <w:tcPr/>
          <w:p>
            <w:pPr>
              <w:pStyle w:val="Compact"/>
              <w:jc w:val="left"/>
            </w:pPr>
            <w:r>
              <w:t xml:space="preserve">BMD MIC</w:t>
            </w:r>
          </w:p>
        </w:tc>
        <w:tc>
          <w:tcPr/>
          <w:p>
            <w:pPr>
              <w:pStyle w:val="Compact"/>
              <w:jc w:val="left"/>
            </w:pPr>
            <w:r>
              <w:t xml:space="preserve">67 EB, 9</w:t>
            </w:r>
            <w:r>
              <w:t xml:space="preserve"> </w:t>
            </w:r>
            <w:r>
              <w:rPr>
                <w:i/>
                <w:iCs/>
              </w:rPr>
              <w:t xml:space="preserve">Pa</w:t>
            </w:r>
            <w:r>
              <w:t xml:space="preserve"> </w:t>
            </w:r>
            <w:r>
              <w:t xml:space="preserve">and 11</w:t>
            </w:r>
            <w:r>
              <w:t xml:space="preserve"> </w:t>
            </w:r>
            <w:r>
              <w:rPr>
                <w:i/>
                <w:iCs/>
              </w:rPr>
              <w:t xml:space="preserve">Ab</w:t>
            </w:r>
          </w:p>
        </w:tc>
        <w:tc>
          <w:tcPr/>
          <w:p>
            <w:pPr>
              <w:jc w:val="left"/>
            </w:pPr>
            <w:r>
              <w:t xml:space="preserve">EB and</w:t>
            </w:r>
            <w:r>
              <w:t xml:space="preserve"> </w:t>
            </w:r>
            <w:r>
              <w:rPr>
                <w:i/>
                <w:iCs/>
              </w:rPr>
              <w:t xml:space="preserve">Pa</w:t>
            </w:r>
            <w:r>
              <w:t xml:space="preserve">: FDC+ZID showed the highest susceptibility rate, other combinations had lower rates</w:t>
            </w:r>
          </w:p>
          <w:p>
            <w:pPr>
              <w:jc w:val="left"/>
            </w:pPr>
            <w:r>
              <w:rPr>
                <w:i/>
                <w:iCs/>
              </w:rPr>
              <w:t xml:space="preserve">Ab</w:t>
            </w:r>
            <w:r>
              <w:t xml:space="preserve">: FDC+ZID, AVI, TAN or REL had susceptibility rates &gt;90% (FDC alone 9.1%)</w:t>
            </w:r>
          </w:p>
        </w:tc>
        <w:tc>
          <w:tcPr/>
          <w:p>
            <w:pPr>
              <w:pStyle w:val="Compact"/>
              <w:jc w:val="center"/>
            </w:pPr>
            <w:r>
              <w:drawing>
                <wp:inline>
                  <wp:extent cx="333375" cy="333375"/>
                  <wp:effectExtent b="0" l="0" r="0" t="0"/>
                  <wp:docPr descr="" title="" id="31" name="Picture"/>
                  <a:graphic>
                    <a:graphicData uri="http://schemas.openxmlformats.org/drawingml/2006/picture">
                      <pic:pic>
                        <pic:nvPicPr>
                          <pic:cNvPr descr="images/green_synergy.png" id="32" name="Picture"/>
                          <pic:cNvPicPr>
                            <a:picLocks noChangeArrowheads="1" noChangeAspect="1"/>
                          </pic:cNvPicPr>
                        </pic:nvPicPr>
                        <pic:blipFill>
                          <a:blip r:embed="rId2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Xu, 2025</w:t>
            </w:r>
            <w:r>
              <w:t xml:space="preserve"> </w:t>
            </w:r>
            <w:r>
              <w:t xml:space="preserve">[5]</w:t>
            </w:r>
          </w:p>
        </w:tc>
        <w:tc>
          <w:tcPr/>
          <w:p>
            <w:pPr>
              <w:pStyle w:val="Compact"/>
              <w:jc w:val="left"/>
            </w:pPr>
            <w:r>
              <w:t xml:space="preserve">ZID</w:t>
            </w:r>
          </w:p>
        </w:tc>
        <w:tc>
          <w:tcPr/>
          <w:p>
            <w:pPr>
              <w:pStyle w:val="Compact"/>
              <w:jc w:val="left"/>
            </w:pPr>
            <w:r>
              <w:t xml:space="preserve">Checkerboard</w:t>
            </w:r>
          </w:p>
        </w:tc>
        <w:tc>
          <w:tcPr/>
          <w:p>
            <w:pPr>
              <w:pStyle w:val="Compact"/>
              <w:jc w:val="left"/>
            </w:pPr>
            <w:r>
              <w:t xml:space="preserve">14 FDC-R-EB + FDC-S-</w:t>
            </w:r>
            <w:r>
              <w:rPr>
                <w:i/>
                <w:iCs/>
              </w:rPr>
              <w:t xml:space="preserve">Ab</w:t>
            </w:r>
          </w:p>
        </w:tc>
        <w:tc>
          <w:tcPr/>
          <w:p>
            <w:pPr>
              <w:pStyle w:val="Compact"/>
              <w:jc w:val="left"/>
            </w:pPr>
            <w:r>
              <w:t xml:space="preserve">ZID restored and even enhanced FDC antibacterial activity</w:t>
            </w:r>
          </w:p>
        </w:tc>
        <w:tc>
          <w:tcPr/>
          <w:p>
            <w:pPr>
              <w:pStyle w:val="Compact"/>
              <w:jc w:val="center"/>
            </w:pPr>
            <w:r>
              <w:drawing>
                <wp:inline>
                  <wp:extent cx="333375" cy="333375"/>
                  <wp:effectExtent b="0" l="0" r="0" t="0"/>
                  <wp:docPr descr="" title="" id="33" name="Picture"/>
                  <a:graphic>
                    <a:graphicData uri="http://schemas.openxmlformats.org/drawingml/2006/picture">
                      <pic:pic>
                        <pic:nvPicPr>
                          <pic:cNvPr descr="images/green_synergy.png" id="34" name="Picture"/>
                          <pic:cNvPicPr>
                            <a:picLocks noChangeArrowheads="1" noChangeAspect="1"/>
                          </pic:cNvPicPr>
                        </pic:nvPicPr>
                        <pic:blipFill>
                          <a:blip r:embed="rId2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jc w:val="left"/>
            </w:pPr>
            <w:r>
              <w:t xml:space="preserve">Time-kill</w:t>
            </w:r>
          </w:p>
        </w:tc>
        <w:tc>
          <w:tcPr/>
          <w:p>
            <w:pPr>
              <w:pStyle w:val="Compact"/>
              <w:jc w:val="left"/>
            </w:pPr>
            <w:r>
              <w:t xml:space="preserve">8 FDC-R-EB + FDC-S-</w:t>
            </w:r>
            <w:r>
              <w:rPr>
                <w:i/>
                <w:iCs/>
              </w:rPr>
              <w:t xml:space="preserve">Ab</w:t>
            </w:r>
          </w:p>
        </w:tc>
        <w:tc>
          <w:tcPr/>
          <w:p>
            <w:pPr>
              <w:pStyle w:val="Compact"/>
              <w:jc w:val="left"/>
            </w:pPr>
            <w:r>
              <w:t xml:space="preserve">FDC+ZID inhibited the growth of all strains (FDC did not achieve it)</w:t>
            </w:r>
          </w:p>
        </w:tc>
        <w:tc>
          <w:tcPr/>
          <w:p>
            <w:pPr>
              <w:pStyle w:val="Compact"/>
              <w:jc w:val="center"/>
            </w:pPr>
            <w:r>
              <w:drawing>
                <wp:inline>
                  <wp:extent cx="333375" cy="333375"/>
                  <wp:effectExtent b="0" l="0" r="0" t="0"/>
                  <wp:docPr descr="" title="" id="35" name="Picture"/>
                  <a:graphic>
                    <a:graphicData uri="http://schemas.openxmlformats.org/drawingml/2006/picture">
                      <pic:pic>
                        <pic:nvPicPr>
                          <pic:cNvPr descr="images/green_synergy.png" id="36" name="Picture"/>
                          <pic:cNvPicPr>
                            <a:picLocks noChangeArrowheads="1" noChangeAspect="1"/>
                          </pic:cNvPicPr>
                        </pic:nvPicPr>
                        <pic:blipFill>
                          <a:blip r:embed="rId2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jc w:val="left"/>
            </w:pPr>
            <w:r>
              <w:t xml:space="preserve">Cell infection model</w:t>
            </w:r>
          </w:p>
        </w:tc>
        <w:tc>
          <w:tcPr/>
          <w:p>
            <w:pPr>
              <w:pStyle w:val="Compact"/>
              <w:jc w:val="left"/>
            </w:pPr>
            <w:r>
              <w:t xml:space="preserve">1 FDC-R-</w:t>
            </w:r>
            <w:r>
              <w:rPr>
                <w:i/>
                <w:iCs/>
              </w:rPr>
              <w:t xml:space="preserve">Ent. cloacae</w:t>
            </w:r>
          </w:p>
        </w:tc>
        <w:tc>
          <w:tcPr/>
          <w:p>
            <w:pPr>
              <w:pStyle w:val="Compact"/>
              <w:jc w:val="left"/>
            </w:pPr>
            <w:r>
              <w:t xml:space="preserve">FDC+ZID: significant reduction in the number of viable intracellular bacteria</w:t>
            </w:r>
          </w:p>
        </w:tc>
        <w:tc>
          <w:tcPr/>
          <w:p>
            <w:pPr>
              <w:pStyle w:val="Compact"/>
              <w:jc w:val="center"/>
            </w:pPr>
            <w:r>
              <w:drawing>
                <wp:inline>
                  <wp:extent cx="333375" cy="333375"/>
                  <wp:effectExtent b="0" l="0" r="0" t="0"/>
                  <wp:docPr descr="" title="" id="37" name="Picture"/>
                  <a:graphic>
                    <a:graphicData uri="http://schemas.openxmlformats.org/drawingml/2006/picture">
                      <pic:pic>
                        <pic:nvPicPr>
                          <pic:cNvPr descr="images/green_synergy.png" id="38" name="Picture"/>
                          <pic:cNvPicPr>
                            <a:picLocks noChangeArrowheads="1" noChangeAspect="1"/>
                          </pic:cNvPicPr>
                        </pic:nvPicPr>
                        <pic:blipFill>
                          <a:blip r:embed="rId2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Hara, 2024</w:t>
            </w:r>
            <w:r>
              <w:t xml:space="preserve"> </w:t>
            </w:r>
            <w:r>
              <w:t xml:space="preserve">[6]</w:t>
            </w:r>
          </w:p>
        </w:tc>
        <w:tc>
          <w:tcPr/>
          <w:p>
            <w:pPr>
              <w:pStyle w:val="Compact"/>
              <w:jc w:val="left"/>
            </w:pPr>
            <w:r>
              <w:t xml:space="preserve">XER</w:t>
            </w:r>
          </w:p>
        </w:tc>
        <w:tc>
          <w:tcPr/>
          <w:p>
            <w:pPr>
              <w:pStyle w:val="Compact"/>
              <w:jc w:val="left"/>
            </w:pPr>
            <w:r>
              <w:t xml:space="preserve">BMD MIC</w:t>
            </w:r>
          </w:p>
        </w:tc>
        <w:tc>
          <w:tcPr/>
          <w:p>
            <w:pPr>
              <w:pStyle w:val="Compact"/>
              <w:jc w:val="left"/>
            </w:pPr>
            <w:r>
              <w:t xml:space="preserve">160 FDC-R and S-</w:t>
            </w:r>
            <w:r>
              <w:rPr>
                <w:i/>
                <w:iCs/>
              </w:rPr>
              <w:t xml:space="preserve">Ab</w:t>
            </w:r>
          </w:p>
        </w:tc>
        <w:tc>
          <w:tcPr/>
          <w:p>
            <w:pPr>
              <w:pStyle w:val="Compact"/>
              <w:jc w:val="left"/>
            </w:pPr>
            <w:r>
              <w:t xml:space="preserve">XER significantly improved FDC activity</w:t>
            </w:r>
          </w:p>
        </w:tc>
        <w:tc>
          <w:tcPr/>
          <w:p>
            <w:pPr>
              <w:pStyle w:val="Compact"/>
              <w:jc w:val="center"/>
            </w:pPr>
            <w:r>
              <w:drawing>
                <wp:inline>
                  <wp:extent cx="333375" cy="333375"/>
                  <wp:effectExtent b="0" l="0" r="0" t="0"/>
                  <wp:docPr descr="" title="" id="39" name="Picture"/>
                  <a:graphic>
                    <a:graphicData uri="http://schemas.openxmlformats.org/drawingml/2006/picture">
                      <pic:pic>
                        <pic:nvPicPr>
                          <pic:cNvPr descr="images/green_synergy.png" id="40" name="Picture"/>
                          <pic:cNvPicPr>
                            <a:picLocks noChangeArrowheads="1" noChangeAspect="1"/>
                          </pic:cNvPicPr>
                        </pic:nvPicPr>
                        <pic:blipFill>
                          <a:blip r:embed="rId2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Hara, 2024</w:t>
            </w:r>
            <w:r>
              <w:t xml:space="preserve"> </w:t>
            </w:r>
            <w:r>
              <w:t xml:space="preserve">[7]</w:t>
            </w:r>
          </w:p>
        </w:tc>
        <w:tc>
          <w:tcPr/>
          <w:p>
            <w:pPr>
              <w:pStyle w:val="Compact"/>
              <w:jc w:val="left"/>
            </w:pPr>
            <w:r>
              <w:t xml:space="preserve">XER</w:t>
            </w:r>
          </w:p>
        </w:tc>
        <w:tc>
          <w:tcPr/>
          <w:p>
            <w:pPr>
              <w:pStyle w:val="Compact"/>
              <w:jc w:val="left"/>
            </w:pPr>
            <w:r>
              <w:t xml:space="preserve">BMD MIC</w:t>
            </w:r>
          </w:p>
        </w:tc>
        <w:tc>
          <w:tcPr/>
          <w:p>
            <w:pPr>
              <w:pStyle w:val="Compact"/>
              <w:jc w:val="left"/>
            </w:pPr>
            <w:r>
              <w:t xml:space="preserve">165 EB (139 CRE)</w:t>
            </w:r>
          </w:p>
        </w:tc>
        <w:tc>
          <w:tcPr/>
          <w:p>
            <w:pPr>
              <w:pStyle w:val="Compact"/>
              <w:jc w:val="left"/>
            </w:pPr>
            <w:r>
              <w:t xml:space="preserve">XER significantly improved FDC activity</w:t>
            </w:r>
          </w:p>
        </w:tc>
        <w:tc>
          <w:tcPr/>
          <w:p>
            <w:pPr>
              <w:pStyle w:val="Compact"/>
              <w:jc w:val="center"/>
            </w:pPr>
            <w:r>
              <w:drawing>
                <wp:inline>
                  <wp:extent cx="333375" cy="333375"/>
                  <wp:effectExtent b="0" l="0" r="0" t="0"/>
                  <wp:docPr descr="" title="" id="41" name="Picture"/>
                  <a:graphic>
                    <a:graphicData uri="http://schemas.openxmlformats.org/drawingml/2006/picture">
                      <pic:pic>
                        <pic:nvPicPr>
                          <pic:cNvPr descr="images/green_synergy.png" id="42" name="Picture"/>
                          <pic:cNvPicPr>
                            <a:picLocks noChangeArrowheads="1" noChangeAspect="1"/>
                          </pic:cNvPicPr>
                        </pic:nvPicPr>
                        <pic:blipFill>
                          <a:blip r:embed="rId2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Yamano, 2019</w:t>
            </w:r>
            <w:r>
              <w:t xml:space="preserve"> </w:t>
            </w:r>
            <w:r>
              <w:t xml:space="preserve">[8]</w:t>
            </w:r>
          </w:p>
        </w:tc>
        <w:tc>
          <w:tcPr/>
          <w:p>
            <w:pPr>
              <w:pStyle w:val="Compact"/>
              <w:jc w:val="left"/>
            </w:pPr>
            <w:r>
              <w:t xml:space="preserve">CZA, TOL-TAZ, and MER</w:t>
            </w:r>
          </w:p>
        </w:tc>
        <w:tc>
          <w:tcPr/>
          <w:p>
            <w:pPr>
              <w:pStyle w:val="Compact"/>
              <w:jc w:val="left"/>
            </w:pPr>
            <w:r>
              <w:t xml:space="preserve">BMD MIC, checkerboard, time-kill, chemostat</w:t>
            </w:r>
          </w:p>
        </w:tc>
        <w:tc>
          <w:tcPr/>
          <w:p>
            <w:pPr>
              <w:pStyle w:val="Compact"/>
              <w:jc w:val="left"/>
            </w:pPr>
            <w:r>
              <w:t xml:space="preserve">9 EB (5 NDM), and 28</w:t>
            </w:r>
            <w:r>
              <w:t xml:space="preserve"> </w:t>
            </w:r>
            <w:r>
              <w:rPr>
                <w:i/>
                <w:iCs/>
              </w:rPr>
              <w:t xml:space="preserve">Ab</w:t>
            </w:r>
            <w:r>
              <w:t xml:space="preserve"> </w:t>
            </w:r>
            <w:r>
              <w:t xml:space="preserve">(25 PER), all FDC-R</w:t>
            </w:r>
          </w:p>
        </w:tc>
        <w:tc>
          <w:tcPr/>
          <w:p>
            <w:pPr>
              <w:pStyle w:val="Compact"/>
              <w:jc w:val="left"/>
            </w:pPr>
            <w:r>
              <w:t xml:space="preserve">CZA, TOL-TAZ and MER synergic against non-NDM isolates (including PER-producing </w:t>
            </w:r>
            <w:r>
              <w:rPr>
                <w:i/>
                <w:iCs/>
              </w:rPr>
              <w:t xml:space="preserve">Ab)</w:t>
            </w:r>
          </w:p>
        </w:tc>
        <w:tc>
          <w:tcPr/>
          <w:p>
            <w:pPr>
              <w:pStyle w:val="Compact"/>
              <w:jc w:val="center"/>
            </w:pPr>
            <w:r>
              <w:drawing>
                <wp:inline>
                  <wp:extent cx="333375" cy="333375"/>
                  <wp:effectExtent b="0" l="0" r="0" t="0"/>
                  <wp:docPr descr="" title="" id="43" name="Picture"/>
                  <a:graphic>
                    <a:graphicData uri="http://schemas.openxmlformats.org/drawingml/2006/picture">
                      <pic:pic>
                        <pic:nvPicPr>
                          <pic:cNvPr descr="images/green_synergy.png" id="44" name="Picture"/>
                          <pic:cNvPicPr>
                            <a:picLocks noChangeArrowheads="1" noChangeAspect="1"/>
                          </pic:cNvPicPr>
                        </pic:nvPicPr>
                        <pic:blipFill>
                          <a:blip r:embed="rId2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Lewis, 2024</w:t>
            </w:r>
            <w:r>
              <w:t xml:space="preserve"> </w:t>
            </w:r>
            <w:r>
              <w:t xml:space="preserve">[9]</w:t>
            </w:r>
          </w:p>
        </w:tc>
        <w:tc>
          <w:tcPr/>
          <w:p>
            <w:pPr>
              <w:pStyle w:val="Compact"/>
              <w:jc w:val="left"/>
            </w:pPr>
            <w:r>
              <w:t xml:space="preserve">AVI, SUL, TAZ</w:t>
            </w:r>
          </w:p>
        </w:tc>
        <w:tc>
          <w:tcPr/>
          <w:p>
            <w:pPr>
              <w:pStyle w:val="Compact"/>
              <w:jc w:val="left"/>
            </w:pPr>
            <w:r>
              <w:t xml:space="preserve">Time-kill</w:t>
            </w:r>
          </w:p>
        </w:tc>
        <w:tc>
          <w:tcPr/>
          <w:p>
            <w:pPr>
              <w:pStyle w:val="Compact"/>
              <w:jc w:val="left"/>
            </w:pPr>
            <w:r>
              <w:t xml:space="preserve">2</w:t>
            </w:r>
            <w:r>
              <w:t xml:space="preserve"> </w:t>
            </w:r>
            <w:r>
              <w:rPr>
                <w:i/>
                <w:iCs/>
              </w:rPr>
              <w:t xml:space="preserve">Kp</w:t>
            </w:r>
            <w:r>
              <w:t xml:space="preserve">, 2</w:t>
            </w:r>
            <w:r>
              <w:t xml:space="preserve"> </w:t>
            </w:r>
            <w:r>
              <w:rPr>
                <w:i/>
                <w:iCs/>
              </w:rPr>
              <w:t xml:space="preserve">Pa</w:t>
            </w:r>
            <w:r>
              <w:t xml:space="preserve"> </w:t>
            </w:r>
            <w:r>
              <w:t xml:space="preserve">and 2</w:t>
            </w:r>
            <w:r>
              <w:t xml:space="preserve"> </w:t>
            </w:r>
            <w:r>
              <w:rPr>
                <w:i/>
                <w:iCs/>
              </w:rPr>
              <w:t xml:space="preserve">Ab</w:t>
            </w:r>
            <w:r>
              <w:t xml:space="preserve"> </w:t>
            </w:r>
            <w:r>
              <w:t xml:space="preserve">(FDC-R and S)</w:t>
            </w:r>
          </w:p>
        </w:tc>
        <w:tc>
          <w:tcPr/>
          <w:p>
            <w:pPr>
              <w:pStyle w:val="Compact"/>
              <w:jc w:val="left"/>
            </w:pPr>
            <w:r>
              <w:t xml:space="preserve">SUL enhanced FDC activity in all isolates</w:t>
            </w:r>
          </w:p>
        </w:tc>
        <w:tc>
          <w:tcPr/>
          <w:p>
            <w:pPr>
              <w:pStyle w:val="Compact"/>
              <w:jc w:val="center"/>
            </w:pPr>
            <w:r>
              <w:drawing>
                <wp:inline>
                  <wp:extent cx="376391" cy="333375"/>
                  <wp:effectExtent b="0" l="0" r="0" t="0"/>
                  <wp:docPr descr="" title="" id="45" name="Picture"/>
                  <a:graphic>
                    <a:graphicData uri="http://schemas.openxmlformats.org/drawingml/2006/picture">
                      <pic:pic>
                        <pic:nvPicPr>
                          <pic:cNvPr descr="images/green_synergy.png" id="46" name="Picture"/>
                          <pic:cNvPicPr>
                            <a:picLocks noChangeArrowheads="1" noChangeAspect="1"/>
                          </pic:cNvPicPr>
                        </pic:nvPicPr>
                        <pic:blipFill>
                          <a:blip r:embed="rId21"/>
                          <a:stretch>
                            <a:fillRect/>
                          </a:stretch>
                        </pic:blipFill>
                        <pic:spPr bwMode="auto">
                          <a:xfrm>
                            <a:off x="0" y="0"/>
                            <a:ext cx="376391" cy="333375"/>
                          </a:xfrm>
                          <a:prstGeom prst="rect">
                            <a:avLst/>
                          </a:prstGeom>
                          <a:noFill/>
                          <a:ln w="9525">
                            <a:noFill/>
                            <a:headEnd/>
                            <a:tailEnd/>
                          </a:ln>
                        </pic:spPr>
                      </pic:pic>
                    </a:graphicData>
                  </a:graphic>
                </wp:inline>
              </w:drawing>
            </w:r>
          </w:p>
        </w:tc>
      </w:tr>
      <w:tr>
        <w:tc>
          <w:tcPr/>
          <w:p>
            <w:pPr>
              <w:pStyle w:val="Compact"/>
              <w:jc w:val="left"/>
            </w:pPr>
            <w:r>
              <w:t xml:space="preserve">Giordano, 2024</w:t>
            </w:r>
            <w:r>
              <w:t xml:space="preserve"> </w:t>
            </w:r>
            <w:r>
              <w:t xml:space="preserve">[10]</w:t>
            </w:r>
          </w:p>
        </w:tc>
        <w:tc>
          <w:tcPr/>
          <w:p>
            <w:pPr>
              <w:pStyle w:val="Compact"/>
              <w:jc w:val="left"/>
            </w:pPr>
            <w:r>
              <w:t xml:space="preserve">Glycine</w:t>
            </w:r>
          </w:p>
        </w:tc>
        <w:tc>
          <w:tcPr/>
          <w:p>
            <w:pPr>
              <w:pStyle w:val="Compact"/>
              <w:jc w:val="left"/>
            </w:pPr>
            <w:r>
              <w:t xml:space="preserve">Checkerboard</w:t>
            </w:r>
          </w:p>
        </w:tc>
        <w:tc>
          <w:tcPr/>
          <w:p>
            <w:pPr>
              <w:pStyle w:val="Compact"/>
              <w:jc w:val="left"/>
            </w:pPr>
            <w:r>
              <w:t xml:space="preserve">5 NDM-</w:t>
            </w:r>
            <w:r>
              <w:rPr>
                <w:i/>
                <w:iCs/>
              </w:rPr>
              <w:t xml:space="preserve">Kp</w:t>
            </w:r>
            <w:r>
              <w:t xml:space="preserve"> </w:t>
            </w:r>
            <w:r>
              <w:t xml:space="preserve">+ 5</w:t>
            </w:r>
            <w:r>
              <w:t xml:space="preserve"> </w:t>
            </w:r>
            <w:r>
              <w:rPr>
                <w:i/>
                <w:iCs/>
              </w:rPr>
              <w:t xml:space="preserve">Ab</w:t>
            </w:r>
            <w:r>
              <w:t xml:space="preserve"> </w:t>
            </w:r>
            <w:r>
              <w:t xml:space="preserve">(all FDC-R)</w:t>
            </w:r>
          </w:p>
        </w:tc>
        <w:tc>
          <w:tcPr/>
          <w:p>
            <w:pPr>
              <w:pStyle w:val="Compact"/>
              <w:jc w:val="left"/>
            </w:pPr>
            <w:r>
              <w:t xml:space="preserve">Positive interaction but no synergy</w:t>
            </w:r>
          </w:p>
        </w:tc>
        <w:tc>
          <w:tcPr/>
          <w:p>
            <w:pPr>
              <w:pStyle w:val="Compact"/>
              <w:jc w:val="center"/>
            </w:pPr>
            <w:r>
              <w:drawing>
                <wp:inline>
                  <wp:extent cx="333375" cy="333375"/>
                  <wp:effectExtent b="0" l="0" r="0" t="0"/>
                  <wp:docPr descr="" title="" id="48" name="Picture"/>
                  <a:graphic>
                    <a:graphicData uri="http://schemas.openxmlformats.org/drawingml/2006/picture">
                      <pic:pic>
                        <pic:nvPicPr>
                          <pic:cNvPr descr="images/red_synergy.png" id="49" name="Picture"/>
                          <pic:cNvPicPr>
                            <a:picLocks noChangeArrowheads="1" noChangeAspect="1"/>
                          </pic:cNvPicPr>
                        </pic:nvPicPr>
                        <pic:blipFill>
                          <a:blip r:embed="rId47"/>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Abdul-Mutakabbir, 2021</w:t>
            </w:r>
            <w:r>
              <w:t xml:space="preserve"> </w:t>
            </w:r>
            <w:r>
              <w:t xml:space="preserve">[11]</w:t>
            </w:r>
          </w:p>
        </w:tc>
        <w:tc>
          <w:tcPr/>
          <w:p>
            <w:pPr>
              <w:pStyle w:val="Compact"/>
              <w:jc w:val="left"/>
            </w:pPr>
            <w:r>
              <w:t xml:space="preserve">MER, AMK, TGC, MIN, SUL, CZA, and COL</w:t>
            </w:r>
          </w:p>
        </w:tc>
        <w:tc>
          <w:tcPr/>
          <w:p>
            <w:pPr>
              <w:pStyle w:val="Compact"/>
              <w:jc w:val="left"/>
            </w:pPr>
            <w:r>
              <w:t xml:space="preserve">Time-kill</w:t>
            </w:r>
          </w:p>
        </w:tc>
        <w:tc>
          <w:tcPr/>
          <w:p>
            <w:pPr>
              <w:pStyle w:val="Compact"/>
              <w:jc w:val="left"/>
            </w:pPr>
            <w:r>
              <w:t xml:space="preserve">6 FDC-R</w:t>
            </w:r>
            <w:r>
              <w:t xml:space="preserve"> </w:t>
            </w:r>
            <w:r>
              <w:rPr>
                <w:i/>
                <w:iCs/>
              </w:rPr>
              <w:t xml:space="preserve">Ab</w:t>
            </w:r>
          </w:p>
        </w:tc>
        <w:tc>
          <w:tcPr/>
          <w:p>
            <w:pPr>
              <w:pStyle w:val="Compact"/>
              <w:jc w:val="left"/>
            </w:pPr>
            <w:r>
              <w:t xml:space="preserve">No synergy for CZA and COL (in COL-R). Synergy for the other antibiotics</w:t>
            </w:r>
          </w:p>
        </w:tc>
        <w:tc>
          <w:tcPr/>
          <w:p>
            <w:pPr>
              <w:pStyle w:val="Compact"/>
              <w:jc w:val="center"/>
            </w:pPr>
            <w:r>
              <w:drawing>
                <wp:inline>
                  <wp:extent cx="333375" cy="333375"/>
                  <wp:effectExtent b="0" l="0" r="0" t="0"/>
                  <wp:docPr descr="" title="" id="50" name="Picture"/>
                  <a:graphic>
                    <a:graphicData uri="http://schemas.openxmlformats.org/drawingml/2006/picture">
                      <pic:pic>
                        <pic:nvPicPr>
                          <pic:cNvPr descr="images/yellow_synergy.png" id="51" name="Picture"/>
                          <pic:cNvPicPr>
                            <a:picLocks noChangeArrowheads="1" noChangeAspect="1"/>
                          </pic:cNvPicPr>
                        </pic:nvPicPr>
                        <pic:blipFill>
                          <a:blip r:embed="rId26"/>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Ni, 2022</w:t>
            </w:r>
            <w:r>
              <w:t xml:space="preserve"> </w:t>
            </w:r>
            <w:r>
              <w:t xml:space="preserve">[12]</w:t>
            </w:r>
          </w:p>
        </w:tc>
        <w:tc>
          <w:tcPr/>
          <w:p>
            <w:pPr>
              <w:pStyle w:val="Compact"/>
              <w:jc w:val="left"/>
            </w:pPr>
            <w:r>
              <w:t xml:space="preserve">TGC, COL, and MER</w:t>
            </w:r>
          </w:p>
        </w:tc>
        <w:tc>
          <w:tcPr/>
          <w:p>
            <w:pPr>
              <w:pStyle w:val="Compact"/>
              <w:jc w:val="left"/>
            </w:pPr>
            <w:r>
              <w:t xml:space="preserve">Checkerboard</w:t>
            </w:r>
          </w:p>
        </w:tc>
        <w:tc>
          <w:tcPr/>
          <w:p>
            <w:pPr>
              <w:pStyle w:val="Compact"/>
              <w:jc w:val="left"/>
            </w:pPr>
            <w:r>
              <w:t xml:space="preserve">123 CRAB (44 FDC-R and 79 S)</w:t>
            </w:r>
          </w:p>
        </w:tc>
        <w:tc>
          <w:tcPr/>
          <w:p>
            <w:pPr>
              <w:jc w:val="left"/>
            </w:pPr>
            <w:r>
              <w:t xml:space="preserve">S: synergy for TGC (85%)</w:t>
            </w:r>
          </w:p>
          <w:p>
            <w:pPr>
              <w:jc w:val="left"/>
            </w:pPr>
            <w:r>
              <w:t xml:space="preserve">R: synergy for TGC (91%), COL (48%), and MER (80%)</w:t>
            </w:r>
          </w:p>
        </w:tc>
        <w:tc>
          <w:tcPr/>
          <w:p>
            <w:pPr>
              <w:pStyle w:val="Compact"/>
              <w:jc w:val="center"/>
            </w:pPr>
            <w:r>
              <w:drawing>
                <wp:inline>
                  <wp:extent cx="333375" cy="333375"/>
                  <wp:effectExtent b="0" l="0" r="0" t="0"/>
                  <wp:docPr descr="" title="" id="52" name="Picture"/>
                  <a:graphic>
                    <a:graphicData uri="http://schemas.openxmlformats.org/drawingml/2006/picture">
                      <pic:pic>
                        <pic:nvPicPr>
                          <pic:cNvPr descr="images/green_synergy.png" id="53" name="Picture"/>
                          <pic:cNvPicPr>
                            <a:picLocks noChangeArrowheads="1" noChangeAspect="1"/>
                          </pic:cNvPicPr>
                        </pic:nvPicPr>
                        <pic:blipFill>
                          <a:blip r:embed="rId2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jc w:val="left"/>
            </w:pPr>
            <w:r>
              <w:t xml:space="preserve">Time-kill</w:t>
            </w:r>
          </w:p>
        </w:tc>
        <w:tc>
          <w:tcPr/>
          <w:p>
            <w:pPr>
              <w:pStyle w:val="Compact"/>
              <w:jc w:val="left"/>
            </w:pPr>
            <w:r>
              <w:t xml:space="preserve">21 CRAB (14 FDC-R and 7 S)</w:t>
            </w:r>
          </w:p>
        </w:tc>
        <w:tc>
          <w:tcPr/>
          <w:p>
            <w:pPr>
              <w:jc w:val="left"/>
            </w:pPr>
            <w:r>
              <w:t xml:space="preserve">S: synergy for TGC (100%)</w:t>
            </w:r>
          </w:p>
          <w:p>
            <w:pPr>
              <w:jc w:val="left"/>
            </w:pPr>
            <w:r>
              <w:t xml:space="preserve">R: synergy for TGC and COL (100%)</w:t>
            </w:r>
          </w:p>
        </w:tc>
        <w:tc>
          <w:tcPr/>
          <w:p>
            <w:pPr>
              <w:pStyle w:val="Compact"/>
              <w:jc w:val="center"/>
            </w:pPr>
            <w:r>
              <w:drawing>
                <wp:inline>
                  <wp:extent cx="333375" cy="333375"/>
                  <wp:effectExtent b="0" l="0" r="0" t="0"/>
                  <wp:docPr descr="" title="" id="54" name="Picture"/>
                  <a:graphic>
                    <a:graphicData uri="http://schemas.openxmlformats.org/drawingml/2006/picture">
                      <pic:pic>
                        <pic:nvPicPr>
                          <pic:cNvPr descr="images/green_synergy.png" id="55" name="Picture"/>
                          <pic:cNvPicPr>
                            <a:picLocks noChangeArrowheads="1" noChangeAspect="1"/>
                          </pic:cNvPicPr>
                        </pic:nvPicPr>
                        <pic:blipFill>
                          <a:blip r:embed="rId2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jc w:val="left"/>
            </w:pPr>
            <w:r>
              <w:t xml:space="preserve">TGC and COL</w:t>
            </w:r>
          </w:p>
        </w:tc>
        <w:tc>
          <w:tcPr/>
          <w:p>
            <w:pPr>
              <w:pStyle w:val="Compact"/>
              <w:jc w:val="left"/>
            </w:pPr>
            <w:r>
              <w:rPr>
                <w:i/>
                <w:iCs/>
              </w:rPr>
              <w:t xml:space="preserve">In vivo</w:t>
            </w:r>
            <w:r>
              <w:t xml:space="preserve"> </w:t>
            </w:r>
            <w:r>
              <w:t xml:space="preserve">model</w:t>
            </w:r>
          </w:p>
        </w:tc>
        <w:tc>
          <w:tcPr/>
          <w:p>
            <w:pPr>
              <w:pStyle w:val="Compact"/>
              <w:jc w:val="left"/>
            </w:pPr>
            <w:r>
              <w:t xml:space="preserve">4 CRAB (2-FDC-R and 2 S)</w:t>
            </w:r>
          </w:p>
        </w:tc>
        <w:tc>
          <w:tcPr/>
          <w:p>
            <w:pPr>
              <w:jc w:val="left"/>
            </w:pPr>
            <w:r>
              <w:t xml:space="preserve">S: FDC-TGC increased survival</w:t>
            </w:r>
          </w:p>
          <w:p>
            <w:pPr>
              <w:jc w:val="left"/>
            </w:pPr>
            <w:r>
              <w:t xml:space="preserve">R: FDC-TGC and FDC-COL increased survival</w:t>
            </w:r>
          </w:p>
        </w:tc>
        <w:tc>
          <w:tcPr/>
          <w:p>
            <w:pPr>
              <w:pStyle w:val="Compact"/>
              <w:jc w:val="center"/>
            </w:pPr>
            <w:r>
              <w:drawing>
                <wp:inline>
                  <wp:extent cx="333375" cy="333375"/>
                  <wp:effectExtent b="0" l="0" r="0" t="0"/>
                  <wp:docPr descr="" title="" id="56" name="Picture"/>
                  <a:graphic>
                    <a:graphicData uri="http://schemas.openxmlformats.org/drawingml/2006/picture">
                      <pic:pic>
                        <pic:nvPicPr>
                          <pic:cNvPr descr="images/green_synergy.png" id="57" name="Picture"/>
                          <pic:cNvPicPr>
                            <a:picLocks noChangeArrowheads="1" noChangeAspect="1"/>
                          </pic:cNvPicPr>
                        </pic:nvPicPr>
                        <pic:blipFill>
                          <a:blip r:embed="rId2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Yin, 2024</w:t>
            </w:r>
            <w:r>
              <w:t xml:space="preserve"> </w:t>
            </w:r>
            <w:r>
              <w:t xml:space="preserve">[13]</w:t>
            </w:r>
          </w:p>
        </w:tc>
        <w:tc>
          <w:tcPr/>
          <w:p>
            <w:pPr>
              <w:pStyle w:val="Compact"/>
              <w:jc w:val="left"/>
            </w:pPr>
            <w:r>
              <w:t xml:space="preserve">TET analogues (MIN, TIG, ERA, OMA)</w:t>
            </w:r>
          </w:p>
        </w:tc>
        <w:tc>
          <w:tcPr/>
          <w:p>
            <w:pPr>
              <w:pStyle w:val="Compact"/>
              <w:jc w:val="left"/>
            </w:pPr>
            <w:r>
              <w:t xml:space="preserve">Checkerboard</w:t>
            </w:r>
          </w:p>
        </w:tc>
        <w:tc>
          <w:tcPr/>
          <w:p>
            <w:pPr>
              <w:pStyle w:val="Compact"/>
              <w:jc w:val="left"/>
            </w:pPr>
            <w:r>
              <w:t xml:space="preserve">48 FDC-S CRAB</w:t>
            </w:r>
          </w:p>
        </w:tc>
        <w:tc>
          <w:tcPr/>
          <w:p>
            <w:pPr>
              <w:pStyle w:val="Compact"/>
              <w:jc w:val="left"/>
            </w:pPr>
            <w:r>
              <w:t xml:space="preserve">Synergy in 35.4% MIN, 33.3% TIG, 50.0% ERA and 37.5% OMA</w:t>
            </w:r>
          </w:p>
        </w:tc>
        <w:tc>
          <w:tcPr/>
          <w:p>
            <w:pPr>
              <w:pStyle w:val="Compact"/>
              <w:jc w:val="center"/>
            </w:pPr>
            <w:r>
              <w:drawing>
                <wp:inline>
                  <wp:extent cx="333375" cy="333375"/>
                  <wp:effectExtent b="0" l="0" r="0" t="0"/>
                  <wp:docPr descr="" title="" id="58" name="Picture"/>
                  <a:graphic>
                    <a:graphicData uri="http://schemas.openxmlformats.org/drawingml/2006/picture">
                      <pic:pic>
                        <pic:nvPicPr>
                          <pic:cNvPr descr="images/green_synergy.png" id="59" name="Picture"/>
                          <pic:cNvPicPr>
                            <a:picLocks noChangeArrowheads="1" noChangeAspect="1"/>
                          </pic:cNvPicPr>
                        </pic:nvPicPr>
                        <pic:blipFill>
                          <a:blip r:embed="rId2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jc w:val="left"/>
            </w:pPr>
            <w:r>
              <w:t xml:space="preserve">Time-kill</w:t>
            </w:r>
          </w:p>
        </w:tc>
        <w:tc>
          <w:tcPr/>
          <w:p>
            <w:pPr>
              <w:pStyle w:val="Compact"/>
              <w:jc w:val="left"/>
            </w:pPr>
            <w:r>
              <w:t xml:space="preserve">10 FDC-S CRAB</w:t>
            </w:r>
          </w:p>
        </w:tc>
        <w:tc>
          <w:tcPr/>
          <w:p>
            <w:pPr>
              <w:pStyle w:val="Compact"/>
              <w:jc w:val="left"/>
            </w:pPr>
            <w:r>
              <w:t xml:space="preserve">Synergistic effects in most isolates</w:t>
            </w:r>
          </w:p>
        </w:tc>
        <w:tc>
          <w:tcPr/>
          <w:p>
            <w:pPr>
              <w:pStyle w:val="Compact"/>
              <w:jc w:val="center"/>
            </w:pPr>
            <w:r>
              <w:drawing>
                <wp:inline>
                  <wp:extent cx="333375" cy="333375"/>
                  <wp:effectExtent b="0" l="0" r="0" t="0"/>
                  <wp:docPr descr="" title="" id="60" name="Picture"/>
                  <a:graphic>
                    <a:graphicData uri="http://schemas.openxmlformats.org/drawingml/2006/picture">
                      <pic:pic>
                        <pic:nvPicPr>
                          <pic:cNvPr descr="images/green_synergy.png" id="61" name="Picture"/>
                          <pic:cNvPicPr>
                            <a:picLocks noChangeArrowheads="1" noChangeAspect="1"/>
                          </pic:cNvPicPr>
                        </pic:nvPicPr>
                        <pic:blipFill>
                          <a:blip r:embed="rId2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jc w:val="left"/>
            </w:pPr>
            <w:r>
              <w:rPr>
                <w:i/>
                <w:iCs/>
              </w:rPr>
              <w:t xml:space="preserve">In vivo</w:t>
            </w:r>
            <w:r>
              <w:t xml:space="preserve"> </w:t>
            </w:r>
            <w:r>
              <w:t xml:space="preserve">model</w:t>
            </w:r>
          </w:p>
        </w:tc>
        <w:tc>
          <w:tcPr/>
          <w:p>
            <w:pPr>
              <w:pStyle w:val="Compact"/>
              <w:jc w:val="left"/>
            </w:pPr>
            <w:r>
              <w:t xml:space="preserve">2 FDC-S CRAB</w:t>
            </w:r>
          </w:p>
        </w:tc>
        <w:tc>
          <w:tcPr/>
          <w:p>
            <w:pPr>
              <w:pStyle w:val="Compact"/>
              <w:jc w:val="left"/>
            </w:pPr>
            <w:r>
              <w:t xml:space="preserve">FDC+ERA reduced nearly 2 log</w:t>
            </w:r>
            <w:r>
              <w:rPr>
                <w:vertAlign w:val="subscript"/>
              </w:rPr>
              <w:t xml:space="preserve">10</w:t>
            </w:r>
            <w:r>
              <w:t xml:space="preserve"> </w:t>
            </w:r>
            <w:r>
              <w:t xml:space="preserve">CFU/thigh</w:t>
            </w:r>
          </w:p>
        </w:tc>
        <w:tc>
          <w:tcPr/>
          <w:p>
            <w:pPr>
              <w:pStyle w:val="Compact"/>
              <w:jc w:val="center"/>
            </w:pPr>
            <w:r>
              <w:drawing>
                <wp:inline>
                  <wp:extent cx="333375" cy="333375"/>
                  <wp:effectExtent b="0" l="0" r="0" t="0"/>
                  <wp:docPr descr="" title="" id="62" name="Picture"/>
                  <a:graphic>
                    <a:graphicData uri="http://schemas.openxmlformats.org/drawingml/2006/picture">
                      <pic:pic>
                        <pic:nvPicPr>
                          <pic:cNvPr descr="images/green_synergy.png" id="63" name="Picture"/>
                          <pic:cNvPicPr>
                            <a:picLocks noChangeArrowheads="1" noChangeAspect="1"/>
                          </pic:cNvPicPr>
                        </pic:nvPicPr>
                        <pic:blipFill>
                          <a:blip r:embed="rId2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Stolfa, 2021</w:t>
            </w:r>
            <w:r>
              <w:t xml:space="preserve"> </w:t>
            </w:r>
            <w:r>
              <w:t xml:space="preserve">[14]</w:t>
            </w:r>
          </w:p>
        </w:tc>
        <w:tc>
          <w:tcPr/>
          <w:p>
            <w:pPr>
              <w:pStyle w:val="Compact"/>
              <w:jc w:val="left"/>
            </w:pPr>
            <w:r>
              <w:t xml:space="preserve">COL, TGC, and FOS</w:t>
            </w:r>
          </w:p>
        </w:tc>
        <w:tc>
          <w:tcPr/>
          <w:p>
            <w:pPr>
              <w:pStyle w:val="Compact"/>
              <w:jc w:val="left"/>
            </w:pPr>
            <w:r>
              <w:t xml:space="preserve">Gradient diffusion strip crossing</w:t>
            </w:r>
          </w:p>
        </w:tc>
        <w:tc>
          <w:tcPr/>
          <w:p>
            <w:pPr>
              <w:pStyle w:val="Compact"/>
              <w:jc w:val="left"/>
            </w:pPr>
            <w:r>
              <w:t xml:space="preserve">15 FDC-S XDR-</w:t>
            </w:r>
            <w:r>
              <w:rPr>
                <w:i/>
                <w:iCs/>
              </w:rPr>
              <w:t xml:space="preserve">Ab</w:t>
            </w:r>
          </w:p>
        </w:tc>
        <w:tc>
          <w:tcPr/>
          <w:p>
            <w:pPr>
              <w:pStyle w:val="Compact"/>
              <w:jc w:val="left"/>
            </w:pPr>
            <w:r>
              <w:t xml:space="preserve">No synergy found</w:t>
            </w:r>
          </w:p>
        </w:tc>
        <w:tc>
          <w:tcPr/>
          <w:p>
            <w:pPr>
              <w:pStyle w:val="Compact"/>
              <w:jc w:val="center"/>
            </w:pPr>
            <w:r>
              <w:drawing>
                <wp:inline>
                  <wp:extent cx="333375" cy="333375"/>
                  <wp:effectExtent b="0" l="0" r="0" t="0"/>
                  <wp:docPr descr="" title="" id="64" name="Picture"/>
                  <a:graphic>
                    <a:graphicData uri="http://schemas.openxmlformats.org/drawingml/2006/picture">
                      <pic:pic>
                        <pic:nvPicPr>
                          <pic:cNvPr descr="images/red_synergy.png" id="65" name="Picture"/>
                          <pic:cNvPicPr>
                            <a:picLocks noChangeArrowheads="1" noChangeAspect="1"/>
                          </pic:cNvPicPr>
                        </pic:nvPicPr>
                        <pic:blipFill>
                          <a:blip r:embed="rId47"/>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Yamano, 2020</w:t>
            </w:r>
            <w:r>
              <w:t xml:space="preserve"> </w:t>
            </w:r>
            <w:r>
              <w:t xml:space="preserve">[15]</w:t>
            </w:r>
          </w:p>
        </w:tc>
        <w:tc>
          <w:tcPr/>
          <w:p>
            <w:pPr>
              <w:pStyle w:val="Compact"/>
              <w:jc w:val="left"/>
            </w:pPr>
            <w:r>
              <w:t xml:space="preserve">AVI, SUL, MER, AMK</w:t>
            </w:r>
          </w:p>
        </w:tc>
        <w:tc>
          <w:tcPr/>
          <w:p>
            <w:pPr>
              <w:pStyle w:val="Compact"/>
              <w:jc w:val="left"/>
            </w:pPr>
            <w:r>
              <w:t xml:space="preserve">Checkerboard</w:t>
            </w:r>
          </w:p>
        </w:tc>
        <w:tc>
          <w:tcPr/>
          <w:p>
            <w:pPr>
              <w:pStyle w:val="Compact"/>
              <w:jc w:val="left"/>
            </w:pPr>
            <w:r>
              <w:t xml:space="preserve">2-FDC-R-PER-</w:t>
            </w:r>
            <w:r>
              <w:rPr>
                <w:i/>
                <w:iCs/>
              </w:rPr>
              <w:t xml:space="preserve">Ab</w:t>
            </w:r>
          </w:p>
        </w:tc>
        <w:tc>
          <w:tcPr/>
          <w:p>
            <w:pPr>
              <w:pStyle w:val="Compact"/>
              <w:jc w:val="left"/>
            </w:pPr>
            <w:r>
              <w:t xml:space="preserve">Synergy for AVI and SUL</w:t>
            </w:r>
          </w:p>
        </w:tc>
        <w:tc>
          <w:tcPr/>
          <w:p>
            <w:pPr>
              <w:pStyle w:val="Compact"/>
              <w:jc w:val="center"/>
            </w:pPr>
            <w:r>
              <w:drawing>
                <wp:inline>
                  <wp:extent cx="333375" cy="333375"/>
                  <wp:effectExtent b="0" l="0" r="0" t="0"/>
                  <wp:docPr descr="" title="" id="66" name="Picture"/>
                  <a:graphic>
                    <a:graphicData uri="http://schemas.openxmlformats.org/drawingml/2006/picture">
                      <pic:pic>
                        <pic:nvPicPr>
                          <pic:cNvPr descr="images/green_synergy.png" id="67" name="Picture"/>
                          <pic:cNvPicPr>
                            <a:picLocks noChangeArrowheads="1" noChangeAspect="1"/>
                          </pic:cNvPicPr>
                        </pic:nvPicPr>
                        <pic:blipFill>
                          <a:blip r:embed="rId2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Bianco, 2022</w:t>
            </w:r>
            <w:r>
              <w:t xml:space="preserve"> </w:t>
            </w:r>
            <w:r>
              <w:t xml:space="preserve">[16]</w:t>
            </w:r>
          </w:p>
        </w:tc>
        <w:tc>
          <w:tcPr/>
          <w:p>
            <w:pPr>
              <w:pStyle w:val="Compact"/>
              <w:jc w:val="left"/>
            </w:pPr>
            <w:r>
              <w:t xml:space="preserve">TAZ, AVI, VAB, REL</w:t>
            </w:r>
          </w:p>
        </w:tc>
        <w:tc>
          <w:tcPr/>
          <w:p>
            <w:pPr>
              <w:pStyle w:val="Compact"/>
              <w:jc w:val="left"/>
            </w:pPr>
            <w:r>
              <w:t xml:space="preserve">Checkerboard</w:t>
            </w:r>
          </w:p>
        </w:tc>
        <w:tc>
          <w:tcPr/>
          <w:p>
            <w:pPr>
              <w:pStyle w:val="Compact"/>
              <w:jc w:val="left"/>
            </w:pPr>
            <w:r>
              <w:t xml:space="preserve">39 (9-FDC-R: 4 KPC-</w:t>
            </w:r>
            <w:r>
              <w:rPr>
                <w:i/>
                <w:iCs/>
              </w:rPr>
              <w:t xml:space="preserve">Kp</w:t>
            </w:r>
            <w:r>
              <w:t xml:space="preserve">, 3-NDM-EB and 2 NDM and OXA-23-like-</w:t>
            </w:r>
            <w:r>
              <w:rPr>
                <w:i/>
                <w:iCs/>
              </w:rPr>
              <w:t xml:space="preserve">Ab</w:t>
            </w:r>
            <w:r>
              <w:t xml:space="preserve">)</w:t>
            </w:r>
          </w:p>
        </w:tc>
        <w:tc>
          <w:tcPr/>
          <w:p>
            <w:pPr>
              <w:jc w:val="left"/>
            </w:pPr>
            <w:r>
              <w:t xml:space="preserve">KPC: synergy for AVI, VAB, REL</w:t>
            </w:r>
          </w:p>
          <w:p>
            <w:pPr>
              <w:jc w:val="left"/>
            </w:pPr>
            <w:r>
              <w:t xml:space="preserve">MBL: very low synergy with TAZ, AVI, REL</w:t>
            </w:r>
          </w:p>
          <w:p>
            <w:pPr>
              <w:jc w:val="left"/>
            </w:pPr>
            <w:r>
              <w:t xml:space="preserve">OXA: synergy for TAZ, AVI, VAB, REL in all OXA-48-EB but not for</w:t>
            </w:r>
            <w:r>
              <w:t xml:space="preserve"> </w:t>
            </w:r>
            <w:r>
              <w:rPr>
                <w:i/>
                <w:iCs/>
              </w:rPr>
              <w:t xml:space="preserve">Ab</w:t>
            </w:r>
          </w:p>
        </w:tc>
        <w:tc>
          <w:tcPr/>
          <w:p>
            <w:pPr>
              <w:pStyle w:val="Compact"/>
              <w:jc w:val="center"/>
            </w:pPr>
            <w:r>
              <w:drawing>
                <wp:inline>
                  <wp:extent cx="333375" cy="333375"/>
                  <wp:effectExtent b="0" l="0" r="0" t="0"/>
                  <wp:docPr descr="" title="" id="68" name="Picture"/>
                  <a:graphic>
                    <a:graphicData uri="http://schemas.openxmlformats.org/drawingml/2006/picture">
                      <pic:pic>
                        <pic:nvPicPr>
                          <pic:cNvPr descr="images/yellow_synergy.png" id="69" name="Picture"/>
                          <pic:cNvPicPr>
                            <a:picLocks noChangeArrowheads="1" noChangeAspect="1"/>
                          </pic:cNvPicPr>
                        </pic:nvPicPr>
                        <pic:blipFill>
                          <a:blip r:embed="rId26"/>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jc w:val="left"/>
            </w:pPr>
            <w:r>
              <w:t xml:space="preserve">Time-kill</w:t>
            </w:r>
          </w:p>
        </w:tc>
        <w:tc>
          <w:tcPr/>
          <w:p>
            <w:pPr>
              <w:pStyle w:val="Compact"/>
              <w:jc w:val="left"/>
            </w:pPr>
            <w:r>
              <w:t xml:space="preserve">4 FDC-S (KPC-3-</w:t>
            </w:r>
            <w:r>
              <w:rPr>
                <w:i/>
                <w:iCs/>
              </w:rPr>
              <w:t xml:space="preserve">Kp</w:t>
            </w:r>
            <w:r>
              <w:t xml:space="preserve">, NDM-1-</w:t>
            </w:r>
            <w:r>
              <w:rPr>
                <w:i/>
                <w:iCs/>
              </w:rPr>
              <w:t xml:space="preserve">Ec</w:t>
            </w:r>
            <w:r>
              <w:t xml:space="preserve">, OXA-23-</w:t>
            </w:r>
            <w:r>
              <w:rPr>
                <w:i/>
                <w:iCs/>
              </w:rPr>
              <w:t xml:space="preserve">Ab</w:t>
            </w:r>
            <w:r>
              <w:t xml:space="preserve">, OXA-48-</w:t>
            </w:r>
            <w:r>
              <w:rPr>
                <w:i/>
                <w:iCs/>
              </w:rPr>
              <w:t xml:space="preserve">Kp</w:t>
            </w:r>
            <w:r>
              <w:t xml:space="preserve">) and 1 FDC-R (KPC-50-</w:t>
            </w:r>
            <w:r>
              <w:rPr>
                <w:i/>
                <w:iCs/>
              </w:rPr>
              <w:t xml:space="preserve">Kp</w:t>
            </w:r>
            <w:r>
              <w:t xml:space="preserve">)</w:t>
            </w:r>
          </w:p>
        </w:tc>
        <w:tc>
          <w:tcPr/>
          <w:p>
            <w:pPr>
              <w:jc w:val="left"/>
            </w:pPr>
            <w:r>
              <w:t xml:space="preserve">KPC: synergy for AVI, VAB, REL</w:t>
            </w:r>
          </w:p>
          <w:p>
            <w:pPr>
              <w:jc w:val="left"/>
            </w:pPr>
            <w:r>
              <w:t xml:space="preserve">NDM and OXA-23: no synergy</w:t>
            </w:r>
          </w:p>
          <w:p>
            <w:pPr>
              <w:jc w:val="left"/>
            </w:pPr>
            <w:r>
              <w:t xml:space="preserve">OXA-48: synergy for TAZ and AVI</w:t>
            </w:r>
          </w:p>
        </w:tc>
        <w:tc>
          <w:tcPr/>
          <w:p>
            <w:pPr>
              <w:pStyle w:val="Compact"/>
              <w:jc w:val="center"/>
            </w:pPr>
            <w:r>
              <w:drawing>
                <wp:inline>
                  <wp:extent cx="333375" cy="333375"/>
                  <wp:effectExtent b="0" l="0" r="0" t="0"/>
                  <wp:docPr descr="" title="" id="70" name="Picture"/>
                  <a:graphic>
                    <a:graphicData uri="http://schemas.openxmlformats.org/drawingml/2006/picture">
                      <pic:pic>
                        <pic:nvPicPr>
                          <pic:cNvPr descr="images/yellow_synergy.png" id="71" name="Picture"/>
                          <pic:cNvPicPr>
                            <a:picLocks noChangeArrowheads="1" noChangeAspect="1"/>
                          </pic:cNvPicPr>
                        </pic:nvPicPr>
                        <pic:blipFill>
                          <a:blip r:embed="rId26"/>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Gopikrishnan, 2023</w:t>
            </w:r>
            <w:r>
              <w:t xml:space="preserve"> </w:t>
            </w:r>
            <w:r>
              <w:t xml:space="preserve">[17]</w:t>
            </w:r>
          </w:p>
        </w:tc>
        <w:tc>
          <w:tcPr/>
          <w:p>
            <w:pPr>
              <w:pStyle w:val="Compact"/>
              <w:jc w:val="left"/>
            </w:pPr>
            <w:r>
              <w:t xml:space="preserve">ZID and AVI</w:t>
            </w:r>
          </w:p>
        </w:tc>
        <w:tc>
          <w:tcPr/>
          <w:p>
            <w:pPr>
              <w:pStyle w:val="Compact"/>
              <w:jc w:val="left"/>
            </w:pPr>
            <w:r>
              <w:t xml:space="preserve">BMD MIC and molecular simulation</w:t>
            </w:r>
          </w:p>
        </w:tc>
        <w:tc>
          <w:tcPr/>
          <w:p>
            <w:pPr>
              <w:pStyle w:val="Compact"/>
              <w:jc w:val="left"/>
            </w:pPr>
            <w:r>
              <w:t xml:space="preserve">52 (13 FDC-R) CRAB (OXA‐23, 24, and 58)</w:t>
            </w:r>
          </w:p>
        </w:tc>
        <w:tc>
          <w:tcPr/>
          <w:p>
            <w:pPr>
              <w:pStyle w:val="Compact"/>
              <w:jc w:val="left"/>
            </w:pPr>
            <w:r>
              <w:t xml:space="preserve">Inhibitory activity of FDC+ZID better than monotherapy</w:t>
            </w:r>
          </w:p>
        </w:tc>
        <w:tc>
          <w:tcPr/>
          <w:p>
            <w:pPr>
              <w:pStyle w:val="Compact"/>
              <w:jc w:val="center"/>
            </w:pPr>
            <w:r>
              <w:drawing>
                <wp:inline>
                  <wp:extent cx="333375" cy="333375"/>
                  <wp:effectExtent b="0" l="0" r="0" t="0"/>
                  <wp:docPr descr="" title="" id="72" name="Picture"/>
                  <a:graphic>
                    <a:graphicData uri="http://schemas.openxmlformats.org/drawingml/2006/picture">
                      <pic:pic>
                        <pic:nvPicPr>
                          <pic:cNvPr descr="images/green_synergy.png" id="73" name="Picture"/>
                          <pic:cNvPicPr>
                            <a:picLocks noChangeArrowheads="1" noChangeAspect="1"/>
                          </pic:cNvPicPr>
                        </pic:nvPicPr>
                        <pic:blipFill>
                          <a:blip r:embed="rId2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Huband, 2024</w:t>
            </w:r>
            <w:r>
              <w:t xml:space="preserve"> </w:t>
            </w:r>
            <w:r>
              <w:t xml:space="preserve">[18]</w:t>
            </w:r>
          </w:p>
        </w:tc>
        <w:tc>
          <w:tcPr/>
          <w:p>
            <w:pPr>
              <w:pStyle w:val="Compact"/>
              <w:jc w:val="left"/>
            </w:pPr>
            <w:r>
              <w:t xml:space="preserve">SUL</w:t>
            </w:r>
          </w:p>
        </w:tc>
        <w:tc>
          <w:tcPr/>
          <w:p>
            <w:pPr>
              <w:pStyle w:val="Compact"/>
              <w:jc w:val="left"/>
            </w:pPr>
            <w:r>
              <w:t xml:space="preserve">BMD MIC</w:t>
            </w:r>
          </w:p>
        </w:tc>
        <w:tc>
          <w:tcPr/>
          <w:p>
            <w:pPr>
              <w:pStyle w:val="Compact"/>
              <w:jc w:val="left"/>
            </w:pPr>
            <w:r>
              <w:t xml:space="preserve">66</w:t>
            </w:r>
            <w:r>
              <w:t xml:space="preserve"> </w:t>
            </w:r>
            <w:r>
              <w:rPr>
                <w:i/>
                <w:iCs/>
              </w:rPr>
              <w:t xml:space="preserve">Ab</w:t>
            </w:r>
          </w:p>
        </w:tc>
        <w:tc>
          <w:tcPr/>
          <w:p>
            <w:pPr>
              <w:pStyle w:val="Compact"/>
              <w:jc w:val="left"/>
            </w:pPr>
            <w:r>
              <w:t xml:space="preserve">Negative</w:t>
            </w:r>
          </w:p>
        </w:tc>
        <w:tc>
          <w:tcPr/>
          <w:p>
            <w:pPr>
              <w:pStyle w:val="Compact"/>
              <w:jc w:val="center"/>
            </w:pPr>
            <w:r>
              <w:drawing>
                <wp:inline>
                  <wp:extent cx="333375" cy="333375"/>
                  <wp:effectExtent b="0" l="0" r="0" t="0"/>
                  <wp:docPr descr="" title="" id="74" name="Picture"/>
                  <a:graphic>
                    <a:graphicData uri="http://schemas.openxmlformats.org/drawingml/2006/picture">
                      <pic:pic>
                        <pic:nvPicPr>
                          <pic:cNvPr descr="images/red_synergy.png" id="75" name="Picture"/>
                          <pic:cNvPicPr>
                            <a:picLocks noChangeArrowheads="1" noChangeAspect="1"/>
                          </pic:cNvPicPr>
                        </pic:nvPicPr>
                        <pic:blipFill>
                          <a:blip r:embed="rId47"/>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jc w:val="left"/>
            </w:pPr>
            <w:r>
              <w:t xml:space="preserve">DUR</w:t>
            </w:r>
          </w:p>
        </w:tc>
        <w:tc>
          <w:tcPr/>
          <w:p>
            <w:pPr>
              <w:pStyle w:val="Compact"/>
            </w:pPr>
          </w:p>
        </w:tc>
        <w:tc>
          <w:tcPr/>
          <w:p>
            <w:pPr>
              <w:pStyle w:val="Compact"/>
            </w:pPr>
          </w:p>
        </w:tc>
        <w:tc>
          <w:tcPr/>
          <w:p>
            <w:pPr>
              <w:pStyle w:val="Compact"/>
              <w:jc w:val="left"/>
            </w:pPr>
            <w:r>
              <w:t xml:space="preserve">Positive</w:t>
            </w:r>
          </w:p>
        </w:tc>
        <w:tc>
          <w:tcPr/>
          <w:p>
            <w:pPr>
              <w:pStyle w:val="Compact"/>
              <w:jc w:val="center"/>
            </w:pPr>
            <w:r>
              <w:drawing>
                <wp:inline>
                  <wp:extent cx="333375" cy="333375"/>
                  <wp:effectExtent b="0" l="0" r="0" t="0"/>
                  <wp:docPr descr="" title="" id="76" name="Picture"/>
                  <a:graphic>
                    <a:graphicData uri="http://schemas.openxmlformats.org/drawingml/2006/picture">
                      <pic:pic>
                        <pic:nvPicPr>
                          <pic:cNvPr descr="images/green_synergy.png" id="77" name="Picture"/>
                          <pic:cNvPicPr>
                            <a:picLocks noChangeArrowheads="1" noChangeAspect="1"/>
                          </pic:cNvPicPr>
                        </pic:nvPicPr>
                        <pic:blipFill>
                          <a:blip r:embed="rId2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jc w:val="left"/>
            </w:pPr>
            <w:r>
              <w:t xml:space="preserve">SUL-DUR</w:t>
            </w:r>
          </w:p>
        </w:tc>
        <w:tc>
          <w:tcPr/>
          <w:p>
            <w:pPr>
              <w:pStyle w:val="Compact"/>
            </w:pPr>
          </w:p>
        </w:tc>
        <w:tc>
          <w:tcPr/>
          <w:p>
            <w:pPr>
              <w:pStyle w:val="Compact"/>
            </w:pPr>
          </w:p>
        </w:tc>
        <w:tc>
          <w:tcPr/>
          <w:p>
            <w:pPr>
              <w:pStyle w:val="Compact"/>
              <w:jc w:val="left"/>
            </w:pPr>
            <w:r>
              <w:t xml:space="preserve">Positive (stronger than only with DUR)</w:t>
            </w:r>
          </w:p>
        </w:tc>
        <w:tc>
          <w:tcPr/>
          <w:p>
            <w:pPr>
              <w:pStyle w:val="Compact"/>
              <w:jc w:val="center"/>
            </w:pPr>
            <w:r>
              <w:drawing>
                <wp:inline>
                  <wp:extent cx="333375" cy="333375"/>
                  <wp:effectExtent b="0" l="0" r="0" t="0"/>
                  <wp:docPr descr="" title="" id="78" name="Picture"/>
                  <a:graphic>
                    <a:graphicData uri="http://schemas.openxmlformats.org/drawingml/2006/picture">
                      <pic:pic>
                        <pic:nvPicPr>
                          <pic:cNvPr descr="images/green_synergy.png" id="79" name="Picture"/>
                          <pic:cNvPicPr>
                            <a:picLocks noChangeArrowheads="1" noChangeAspect="1"/>
                          </pic:cNvPicPr>
                        </pic:nvPicPr>
                        <pic:blipFill>
                          <a:blip r:embed="rId2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Kobic, 2022</w:t>
            </w:r>
            <w:r>
              <w:t xml:space="preserve"> </w:t>
            </w:r>
            <w:r>
              <w:t xml:space="preserve">[19]</w:t>
            </w:r>
          </w:p>
        </w:tc>
        <w:tc>
          <w:tcPr/>
          <w:p>
            <w:pPr>
              <w:pStyle w:val="Compact"/>
              <w:jc w:val="left"/>
            </w:pPr>
            <w:r>
              <w:t xml:space="preserve">SUL and TGC</w:t>
            </w:r>
          </w:p>
        </w:tc>
        <w:tc>
          <w:tcPr/>
          <w:p>
            <w:pPr>
              <w:pStyle w:val="Compact"/>
              <w:jc w:val="left"/>
            </w:pPr>
            <w:r>
              <w:t xml:space="preserve">Time-kill</w:t>
            </w:r>
          </w:p>
        </w:tc>
        <w:tc>
          <w:tcPr/>
          <w:p>
            <w:pPr>
              <w:pStyle w:val="Compact"/>
              <w:jc w:val="left"/>
            </w:pPr>
            <w:r>
              <w:t xml:space="preserve">1 FDC-S XDR</w:t>
            </w:r>
            <w:r>
              <w:t xml:space="preserve"> </w:t>
            </w:r>
            <w:r>
              <w:rPr>
                <w:i/>
                <w:iCs/>
              </w:rPr>
              <w:t xml:space="preserve">Ab</w:t>
            </w:r>
          </w:p>
        </w:tc>
        <w:tc>
          <w:tcPr/>
          <w:p>
            <w:pPr>
              <w:pStyle w:val="Compact"/>
              <w:jc w:val="left"/>
            </w:pPr>
            <w:r>
              <w:t xml:space="preserve">Only synergy for FDC+SUL+TGC</w:t>
            </w:r>
          </w:p>
        </w:tc>
        <w:tc>
          <w:tcPr/>
          <w:p>
            <w:pPr>
              <w:pStyle w:val="Compact"/>
              <w:jc w:val="center"/>
            </w:pPr>
            <w:r>
              <w:drawing>
                <wp:inline>
                  <wp:extent cx="333375" cy="333375"/>
                  <wp:effectExtent b="0" l="0" r="0" t="0"/>
                  <wp:docPr descr="" title="" id="80" name="Picture"/>
                  <a:graphic>
                    <a:graphicData uri="http://schemas.openxmlformats.org/drawingml/2006/picture">
                      <pic:pic>
                        <pic:nvPicPr>
                          <pic:cNvPr descr="images/yellow_synergy.png" id="81" name="Picture"/>
                          <pic:cNvPicPr>
                            <a:picLocks noChangeArrowheads="1" noChangeAspect="1"/>
                          </pic:cNvPicPr>
                        </pic:nvPicPr>
                        <pic:blipFill>
                          <a:blip r:embed="rId26"/>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Wong, 2024</w:t>
            </w:r>
            <w:r>
              <w:t xml:space="preserve"> </w:t>
            </w:r>
            <w:r>
              <w:t xml:space="preserve">[20]</w:t>
            </w:r>
          </w:p>
        </w:tc>
        <w:tc>
          <w:tcPr/>
          <w:p>
            <w:pPr>
              <w:pStyle w:val="Compact"/>
              <w:jc w:val="left"/>
            </w:pPr>
            <w:r>
              <w:t xml:space="preserve">SUL, AVI</w:t>
            </w:r>
          </w:p>
        </w:tc>
        <w:tc>
          <w:tcPr/>
          <w:p>
            <w:pPr>
              <w:pStyle w:val="Compact"/>
              <w:jc w:val="left"/>
            </w:pPr>
            <w:r>
              <w:t xml:space="preserve">-</w:t>
            </w:r>
          </w:p>
        </w:tc>
        <w:tc>
          <w:tcPr/>
          <w:p>
            <w:pPr>
              <w:pStyle w:val="Compact"/>
              <w:jc w:val="left"/>
            </w:pPr>
            <w:r>
              <w:t xml:space="preserve">2 FDC-S Ab and</w:t>
            </w:r>
            <w:r>
              <w:t xml:space="preserve"> </w:t>
            </w:r>
            <w:r>
              <w:rPr>
                <w:i/>
                <w:iCs/>
              </w:rPr>
              <w:t xml:space="preserve">A. lwoffii</w:t>
            </w:r>
            <w:r>
              <w:t xml:space="preserve"> </w:t>
            </w:r>
            <w:r>
              <w:t xml:space="preserve">(NDM-1 producers)</w:t>
            </w:r>
          </w:p>
        </w:tc>
        <w:tc>
          <w:tcPr/>
          <w:p>
            <w:pPr>
              <w:pStyle w:val="Compact"/>
              <w:jc w:val="left"/>
            </w:pPr>
            <w:r>
              <w:t xml:space="preserve">Exposure to FDC+SUL or FDC+AVI led to the selection of FDC-R strains</w:t>
            </w:r>
          </w:p>
        </w:tc>
        <w:tc>
          <w:tcPr/>
          <w:p>
            <w:pPr>
              <w:pStyle w:val="Compact"/>
              <w:jc w:val="center"/>
            </w:pPr>
            <w:r>
              <w:drawing>
                <wp:inline>
                  <wp:extent cx="333375" cy="333375"/>
                  <wp:effectExtent b="0" l="0" r="0" t="0"/>
                  <wp:docPr descr="" title="" id="82" name="Picture"/>
                  <a:graphic>
                    <a:graphicData uri="http://schemas.openxmlformats.org/drawingml/2006/picture">
                      <pic:pic>
                        <pic:nvPicPr>
                          <pic:cNvPr descr="images/red_synergy.png" id="83" name="Picture"/>
                          <pic:cNvPicPr>
                            <a:picLocks noChangeArrowheads="1" noChangeAspect="1"/>
                          </pic:cNvPicPr>
                        </pic:nvPicPr>
                        <pic:blipFill>
                          <a:blip r:embed="rId47"/>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You, 2025</w:t>
            </w:r>
            <w:r>
              <w:t xml:space="preserve"> </w:t>
            </w:r>
            <w:r>
              <w:t xml:space="preserve">[21]</w:t>
            </w:r>
          </w:p>
        </w:tc>
        <w:tc>
          <w:tcPr/>
          <w:p>
            <w:pPr>
              <w:pStyle w:val="Compact"/>
              <w:jc w:val="left"/>
            </w:pPr>
            <w:r>
              <w:t xml:space="preserve">-</w:t>
            </w:r>
          </w:p>
        </w:tc>
        <w:tc>
          <w:tcPr/>
          <w:p>
            <w:pPr>
              <w:pStyle w:val="Compact"/>
              <w:jc w:val="left"/>
            </w:pPr>
            <w:r>
              <w:t xml:space="preserve">AI</w:t>
            </w:r>
          </w:p>
        </w:tc>
        <w:tc>
          <w:tcPr/>
          <w:p>
            <w:pPr>
              <w:pStyle w:val="Compact"/>
              <w:jc w:val="left"/>
            </w:pPr>
            <w:r>
              <w:t xml:space="preserve">1 XDR</w:t>
            </w:r>
            <w:r>
              <w:t xml:space="preserve"> </w:t>
            </w:r>
            <w:r>
              <w:rPr>
                <w:i/>
                <w:iCs/>
              </w:rPr>
              <w:t xml:space="preserve">Ab</w:t>
            </w:r>
          </w:p>
        </w:tc>
        <w:tc>
          <w:tcPr/>
          <w:p>
            <w:pPr>
              <w:pStyle w:val="Compact"/>
              <w:jc w:val="left"/>
            </w:pPr>
            <w:r>
              <w:t xml:space="preserve">FDC+A-S and FDC+PM-B+RIF were pinpointed (93.89 ± 5.95% and 92.23 ± 11.89% inhibition)</w:t>
            </w:r>
          </w:p>
        </w:tc>
        <w:tc>
          <w:tcPr/>
          <w:p>
            <w:pPr>
              <w:pStyle w:val="Compact"/>
              <w:jc w:val="center"/>
            </w:pPr>
            <w:r>
              <w:drawing>
                <wp:inline>
                  <wp:extent cx="333375" cy="333375"/>
                  <wp:effectExtent b="0" l="0" r="0" t="0"/>
                  <wp:docPr descr="" title="" id="84" name="Picture"/>
                  <a:graphic>
                    <a:graphicData uri="http://schemas.openxmlformats.org/drawingml/2006/picture">
                      <pic:pic>
                        <pic:nvPicPr>
                          <pic:cNvPr descr="images/red_synergy.png" id="85" name="Picture"/>
                          <pic:cNvPicPr>
                            <a:picLocks noChangeArrowheads="1" noChangeAspect="1"/>
                          </pic:cNvPicPr>
                        </pic:nvPicPr>
                        <pic:blipFill>
                          <a:blip r:embed="rId47"/>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jc w:val="left"/>
            </w:pPr>
            <w:r>
              <w:t xml:space="preserve">A-S, PM-B+RIF</w:t>
            </w:r>
          </w:p>
        </w:tc>
        <w:tc>
          <w:tcPr/>
          <w:p>
            <w:pPr>
              <w:pStyle w:val="Compact"/>
              <w:jc w:val="left"/>
            </w:pPr>
            <w:r>
              <w:t xml:space="preserve">Checkerboard</w:t>
            </w:r>
          </w:p>
        </w:tc>
        <w:tc>
          <w:tcPr/>
          <w:p>
            <w:pPr>
              <w:pStyle w:val="Compact"/>
              <w:jc w:val="left"/>
            </w:pPr>
            <w:r>
              <w:t xml:space="preserve">4</w:t>
            </w:r>
            <w:r>
              <w:t xml:space="preserve"> </w:t>
            </w:r>
            <w:r>
              <w:rPr>
                <w:i/>
                <w:iCs/>
              </w:rPr>
              <w:t xml:space="preserve">Ab</w:t>
            </w:r>
          </w:p>
        </w:tc>
        <w:tc>
          <w:tcPr/>
          <w:p>
            <w:pPr>
              <w:pStyle w:val="Compact"/>
              <w:jc w:val="left"/>
            </w:pPr>
            <w:r>
              <w:t xml:space="preserve">FDC+PM-B+RIF showed synergy but FDC+A-S antagonism</w:t>
            </w:r>
          </w:p>
        </w:tc>
        <w:tc>
          <w:tcPr/>
          <w:p>
            <w:pPr>
              <w:pStyle w:val="Compact"/>
              <w:jc w:val="center"/>
            </w:pPr>
            <w:r>
              <w:drawing>
                <wp:inline>
                  <wp:extent cx="333375" cy="333375"/>
                  <wp:effectExtent b="0" l="0" r="0" t="0"/>
                  <wp:docPr descr="" title="" id="86" name="Picture"/>
                  <a:graphic>
                    <a:graphicData uri="http://schemas.openxmlformats.org/drawingml/2006/picture">
                      <pic:pic>
                        <pic:nvPicPr>
                          <pic:cNvPr descr="images/yellow_synergy.png" id="87" name="Picture"/>
                          <pic:cNvPicPr>
                            <a:picLocks noChangeArrowheads="1" noChangeAspect="1"/>
                          </pic:cNvPicPr>
                        </pic:nvPicPr>
                        <pic:blipFill>
                          <a:blip r:embed="rId26"/>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Bianco, 2022</w:t>
            </w:r>
            <w:r>
              <w:t xml:space="preserve"> </w:t>
            </w:r>
            <w:r>
              <w:t xml:space="preserve">[16]</w:t>
            </w:r>
          </w:p>
        </w:tc>
        <w:tc>
          <w:tcPr/>
          <w:p>
            <w:pPr>
              <w:pStyle w:val="Compact"/>
              <w:jc w:val="left"/>
            </w:pPr>
            <w:r>
              <w:t xml:space="preserve">CZA</w:t>
            </w:r>
          </w:p>
        </w:tc>
        <w:tc>
          <w:tcPr/>
          <w:p>
            <w:pPr>
              <w:pStyle w:val="Compact"/>
              <w:jc w:val="left"/>
            </w:pPr>
            <w:r>
              <w:t xml:space="preserve">Gradient diffusion strip crossing</w:t>
            </w:r>
          </w:p>
        </w:tc>
        <w:tc>
          <w:tcPr/>
          <w:p>
            <w:pPr>
              <w:jc w:val="left"/>
            </w:pPr>
            <w:r>
              <w:t xml:space="preserve">4 KPC (1 FDC-R) + VIM-EB,</w:t>
            </w:r>
          </w:p>
          <w:p>
            <w:pPr>
              <w:jc w:val="left"/>
            </w:pPr>
            <w:r>
              <w:t xml:space="preserve">4 NDM (1 FDC-R) + OXA-48 like-EB and 2 (both FDC-S)  VIM + OXA-48 like-EB</w:t>
            </w:r>
          </w:p>
        </w:tc>
        <w:tc>
          <w:tcPr/>
          <w:p>
            <w:pPr>
              <w:pStyle w:val="Compact"/>
              <w:jc w:val="left"/>
            </w:pPr>
            <w:r>
              <w:t xml:space="preserve">No synergy</w:t>
            </w:r>
          </w:p>
        </w:tc>
        <w:tc>
          <w:tcPr/>
          <w:p>
            <w:pPr>
              <w:pStyle w:val="Compact"/>
              <w:jc w:val="center"/>
            </w:pPr>
            <w:r>
              <w:drawing>
                <wp:inline>
                  <wp:extent cx="333375" cy="333375"/>
                  <wp:effectExtent b="0" l="0" r="0" t="0"/>
                  <wp:docPr descr="" title="" id="88" name="Picture"/>
                  <a:graphic>
                    <a:graphicData uri="http://schemas.openxmlformats.org/drawingml/2006/picture">
                      <pic:pic>
                        <pic:nvPicPr>
                          <pic:cNvPr descr="images/red_synergy.png" id="89" name="Picture"/>
                          <pic:cNvPicPr>
                            <a:picLocks noChangeArrowheads="1" noChangeAspect="1"/>
                          </pic:cNvPicPr>
                        </pic:nvPicPr>
                        <pic:blipFill>
                          <a:blip r:embed="rId47"/>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Göpel, 2024</w:t>
            </w:r>
            <w:r>
              <w:t xml:space="preserve"> </w:t>
            </w:r>
            <w:r>
              <w:t xml:space="preserve">[22]</w:t>
            </w:r>
          </w:p>
        </w:tc>
        <w:tc>
          <w:tcPr/>
          <w:p>
            <w:pPr>
              <w:pStyle w:val="Compact"/>
              <w:jc w:val="left"/>
            </w:pPr>
            <w:r>
              <w:t xml:space="preserve">ATM</w:t>
            </w:r>
          </w:p>
        </w:tc>
        <w:tc>
          <w:tcPr/>
          <w:p>
            <w:pPr>
              <w:pStyle w:val="Compact"/>
              <w:jc w:val="left"/>
            </w:pPr>
            <w:r>
              <w:t xml:space="preserve">Checkerboard</w:t>
            </w:r>
          </w:p>
        </w:tc>
        <w:tc>
          <w:tcPr/>
          <w:p>
            <w:pPr>
              <w:pStyle w:val="Compact"/>
              <w:jc w:val="left"/>
            </w:pPr>
            <w:r>
              <w:t xml:space="preserve">20 NDM-</w:t>
            </w:r>
            <w:r>
              <w:rPr>
                <w:i/>
                <w:iCs/>
              </w:rPr>
              <w:t xml:space="preserve">Ent. cloacae</w:t>
            </w:r>
          </w:p>
        </w:tc>
        <w:tc>
          <w:tcPr/>
          <w:p>
            <w:pPr>
              <w:pStyle w:val="Compact"/>
              <w:jc w:val="left"/>
            </w:pPr>
            <w:r>
              <w:t xml:space="preserve">Synergy found</w:t>
            </w:r>
          </w:p>
        </w:tc>
        <w:tc>
          <w:tcPr/>
          <w:p>
            <w:pPr>
              <w:pStyle w:val="Compact"/>
              <w:jc w:val="center"/>
            </w:pPr>
            <w:r>
              <w:drawing>
                <wp:inline>
                  <wp:extent cx="333375" cy="333375"/>
                  <wp:effectExtent b="0" l="0" r="0" t="0"/>
                  <wp:docPr descr="" title="" id="90" name="Picture"/>
                  <a:graphic>
                    <a:graphicData uri="http://schemas.openxmlformats.org/drawingml/2006/picture">
                      <pic:pic>
                        <pic:nvPicPr>
                          <pic:cNvPr descr="images/green_synergy.png" id="91" name="Picture"/>
                          <pic:cNvPicPr>
                            <a:picLocks noChangeArrowheads="1" noChangeAspect="1"/>
                          </pic:cNvPicPr>
                        </pic:nvPicPr>
                        <pic:blipFill>
                          <a:blip r:embed="rId2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Bianco, 2022</w:t>
            </w:r>
            <w:r>
              <w:t xml:space="preserve"> </w:t>
            </w:r>
            <w:r>
              <w:t xml:space="preserve">[23]</w:t>
            </w:r>
          </w:p>
        </w:tc>
        <w:tc>
          <w:tcPr/>
          <w:p>
            <w:pPr>
              <w:pStyle w:val="Compact"/>
              <w:jc w:val="left"/>
            </w:pPr>
            <w:r>
              <w:t xml:space="preserve">CZA, MEV, IMI, and AMK</w:t>
            </w:r>
          </w:p>
        </w:tc>
        <w:tc>
          <w:tcPr/>
          <w:p>
            <w:pPr>
              <w:pStyle w:val="Compact"/>
              <w:jc w:val="left"/>
            </w:pPr>
            <w:r>
              <w:t xml:space="preserve">Gradient diffusion strip crossing</w:t>
            </w:r>
          </w:p>
        </w:tc>
        <w:tc>
          <w:tcPr/>
          <w:p>
            <w:pPr>
              <w:pStyle w:val="Compact"/>
              <w:jc w:val="left"/>
            </w:pPr>
            <w:r>
              <w:t xml:space="preserve">6 KPC-</w:t>
            </w:r>
            <w:r>
              <w:rPr>
                <w:i/>
                <w:iCs/>
              </w:rPr>
              <w:t xml:space="preserve">Kp</w:t>
            </w:r>
            <w:r>
              <w:t xml:space="preserve"> </w:t>
            </w:r>
            <w:r>
              <w:t xml:space="preserve">(3 FDC-R and 3 S)</w:t>
            </w:r>
          </w:p>
        </w:tc>
        <w:tc>
          <w:tcPr/>
          <w:p>
            <w:pPr>
              <w:pStyle w:val="Compact"/>
              <w:jc w:val="left"/>
            </w:pPr>
            <w:r>
              <w:t xml:space="preserve">Synergy for CZA (synergy rate of 67%)</w:t>
            </w:r>
          </w:p>
        </w:tc>
        <w:tc>
          <w:tcPr/>
          <w:p>
            <w:pPr>
              <w:pStyle w:val="Compact"/>
              <w:jc w:val="center"/>
            </w:pPr>
            <w:r>
              <w:drawing>
                <wp:inline>
                  <wp:extent cx="333375" cy="333375"/>
                  <wp:effectExtent b="0" l="0" r="0" t="0"/>
                  <wp:docPr descr="" title="" id="92" name="Picture"/>
                  <a:graphic>
                    <a:graphicData uri="http://schemas.openxmlformats.org/drawingml/2006/picture">
                      <pic:pic>
                        <pic:nvPicPr>
                          <pic:cNvPr descr="images/green_synergy.png" id="93" name="Picture"/>
                          <pic:cNvPicPr>
                            <a:picLocks noChangeArrowheads="1" noChangeAspect="1"/>
                          </pic:cNvPicPr>
                        </pic:nvPicPr>
                        <pic:blipFill>
                          <a:blip r:embed="rId2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Boattini, 2022</w:t>
            </w:r>
            <w:r>
              <w:t xml:space="preserve"> </w:t>
            </w:r>
            <w:r>
              <w:t xml:space="preserve">[24]</w:t>
            </w:r>
          </w:p>
        </w:tc>
        <w:tc>
          <w:tcPr/>
          <w:p>
            <w:pPr>
              <w:pStyle w:val="Compact"/>
              <w:jc w:val="left"/>
            </w:pPr>
            <w:r>
              <w:t xml:space="preserve">CZA</w:t>
            </w:r>
          </w:p>
        </w:tc>
        <w:tc>
          <w:tcPr/>
          <w:p>
            <w:pPr>
              <w:pStyle w:val="Compact"/>
              <w:jc w:val="left"/>
            </w:pPr>
            <w:r>
              <w:t xml:space="preserve">Gradient diffusion strip crossing</w:t>
            </w:r>
          </w:p>
        </w:tc>
        <w:tc>
          <w:tcPr/>
          <w:p>
            <w:pPr>
              <w:pStyle w:val="Compact"/>
              <w:jc w:val="left"/>
            </w:pPr>
            <w:r>
              <w:t xml:space="preserve">2-VIM</w:t>
            </w:r>
            <w:r>
              <w:rPr>
                <w:i/>
                <w:iCs/>
              </w:rPr>
              <w:t xml:space="preserve">-Pa</w:t>
            </w:r>
            <w:r>
              <w:t xml:space="preserve"> </w:t>
            </w:r>
            <w:r>
              <w:t xml:space="preserve">and 3 NDM-</w:t>
            </w:r>
            <w:r>
              <w:rPr>
                <w:i/>
                <w:iCs/>
              </w:rPr>
              <w:t xml:space="preserve">Kp</w:t>
            </w:r>
          </w:p>
        </w:tc>
        <w:tc>
          <w:tcPr/>
          <w:p>
            <w:pPr>
              <w:pStyle w:val="Compact"/>
              <w:jc w:val="left"/>
            </w:pPr>
            <w:r>
              <w:t xml:space="preserve">Synergy in 1 NDM-</w:t>
            </w:r>
            <w:r>
              <w:rPr>
                <w:i/>
                <w:iCs/>
              </w:rPr>
              <w:t xml:space="preserve">Kp</w:t>
            </w:r>
            <w:r>
              <w:t xml:space="preserve"> </w:t>
            </w:r>
            <w:r>
              <w:t xml:space="preserve">and only additive effects in 1 NDM-</w:t>
            </w:r>
            <w:r>
              <w:rPr>
                <w:i/>
                <w:iCs/>
              </w:rPr>
              <w:t xml:space="preserve">Kp</w:t>
            </w:r>
            <w:r>
              <w:t xml:space="preserve"> </w:t>
            </w:r>
            <w:r>
              <w:t xml:space="preserve">and 1 VIM-</w:t>
            </w:r>
            <w:r>
              <w:rPr>
                <w:i/>
                <w:iCs/>
              </w:rPr>
              <w:t xml:space="preserve">Pa</w:t>
            </w:r>
          </w:p>
        </w:tc>
        <w:tc>
          <w:tcPr/>
          <w:p>
            <w:pPr>
              <w:pStyle w:val="Compact"/>
              <w:jc w:val="center"/>
            </w:pPr>
            <w:r>
              <w:drawing>
                <wp:inline>
                  <wp:extent cx="333375" cy="333375"/>
                  <wp:effectExtent b="0" l="0" r="0" t="0"/>
                  <wp:docPr descr="" title="" id="94" name="Picture"/>
                  <a:graphic>
                    <a:graphicData uri="http://schemas.openxmlformats.org/drawingml/2006/picture">
                      <pic:pic>
                        <pic:nvPicPr>
                          <pic:cNvPr descr="images/yellow_synergy.png" id="95" name="Picture"/>
                          <pic:cNvPicPr>
                            <a:picLocks noChangeArrowheads="1" noChangeAspect="1"/>
                          </pic:cNvPicPr>
                        </pic:nvPicPr>
                        <pic:blipFill>
                          <a:blip r:embed="rId26"/>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Moon, 2023</w:t>
            </w:r>
            <w:r>
              <w:t xml:space="preserve"> </w:t>
            </w:r>
            <w:r>
              <w:t xml:space="preserve">[25]</w:t>
            </w:r>
          </w:p>
        </w:tc>
        <w:tc>
          <w:tcPr/>
          <w:p>
            <w:pPr>
              <w:pStyle w:val="Compact"/>
              <w:jc w:val="left"/>
            </w:pPr>
            <w:r>
              <w:t xml:space="preserve">AVI</w:t>
            </w:r>
          </w:p>
        </w:tc>
        <w:tc>
          <w:tcPr/>
          <w:p>
            <w:pPr>
              <w:pStyle w:val="Compact"/>
              <w:jc w:val="left"/>
            </w:pPr>
            <w:r>
              <w:t xml:space="preserve">Double-disk assay</w:t>
            </w:r>
          </w:p>
        </w:tc>
        <w:tc>
          <w:tcPr/>
          <w:p>
            <w:pPr>
              <w:pStyle w:val="Compact"/>
              <w:jc w:val="left"/>
            </w:pPr>
            <w:r>
              <w:t xml:space="preserve">1 FDC-R</w:t>
            </w:r>
            <w:r>
              <w:t xml:space="preserve"> </w:t>
            </w:r>
            <w:r>
              <w:rPr>
                <w:i/>
                <w:iCs/>
              </w:rPr>
              <w:t xml:space="preserve">Kp</w:t>
            </w:r>
          </w:p>
        </w:tc>
        <w:tc>
          <w:tcPr/>
          <w:p>
            <w:pPr>
              <w:pStyle w:val="Compact"/>
              <w:jc w:val="left"/>
            </w:pPr>
            <w:r>
              <w:t xml:space="preserve">AVI enhanced the activity of FDC</w:t>
            </w:r>
          </w:p>
        </w:tc>
        <w:tc>
          <w:tcPr/>
          <w:p>
            <w:pPr>
              <w:pStyle w:val="Compact"/>
              <w:jc w:val="center"/>
            </w:pPr>
            <w:r>
              <w:drawing>
                <wp:inline>
                  <wp:extent cx="333375" cy="333375"/>
                  <wp:effectExtent b="0" l="0" r="0" t="0"/>
                  <wp:docPr descr="" title="" id="96" name="Picture"/>
                  <a:graphic>
                    <a:graphicData uri="http://schemas.openxmlformats.org/drawingml/2006/picture">
                      <pic:pic>
                        <pic:nvPicPr>
                          <pic:cNvPr descr="images/green_synergy.png" id="97" name="Picture"/>
                          <pic:cNvPicPr>
                            <a:picLocks noChangeArrowheads="1" noChangeAspect="1"/>
                          </pic:cNvPicPr>
                        </pic:nvPicPr>
                        <pic:blipFill>
                          <a:blip r:embed="rId2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Daoud, 2023</w:t>
            </w:r>
            <w:r>
              <w:t xml:space="preserve"> </w:t>
            </w:r>
            <w:r>
              <w:t xml:space="preserve">[26]</w:t>
            </w:r>
          </w:p>
        </w:tc>
        <w:tc>
          <w:tcPr/>
          <w:p>
            <w:pPr>
              <w:pStyle w:val="Compact"/>
              <w:jc w:val="left"/>
            </w:pPr>
            <w:r>
              <w:t xml:space="preserve">AVI, TAZ, SUL, CA, DPA, PMBN</w:t>
            </w:r>
          </w:p>
        </w:tc>
        <w:tc>
          <w:tcPr/>
          <w:p>
            <w:pPr>
              <w:pStyle w:val="Compact"/>
              <w:jc w:val="left"/>
            </w:pPr>
            <w:r>
              <w:t xml:space="preserve">Checkerboard</w:t>
            </w:r>
          </w:p>
        </w:tc>
        <w:tc>
          <w:tcPr/>
          <w:p>
            <w:pPr>
              <w:pStyle w:val="Compact"/>
              <w:jc w:val="left"/>
            </w:pPr>
            <w:r>
              <w:t xml:space="preserve">34</w:t>
            </w:r>
            <w:r>
              <w:t xml:space="preserve"> </w:t>
            </w:r>
            <w:r>
              <w:rPr>
                <w:i/>
                <w:iCs/>
              </w:rPr>
              <w:t xml:space="preserve">Kp</w:t>
            </w:r>
          </w:p>
        </w:tc>
        <w:tc>
          <w:tcPr/>
          <w:p>
            <w:pPr>
              <w:jc w:val="left"/>
            </w:pPr>
            <w:r>
              <w:t xml:space="preserve">Synergy with AVI (highest), TAZ, SUL, CA AND PMBN</w:t>
            </w:r>
          </w:p>
          <w:p>
            <w:pPr>
              <w:jc w:val="left"/>
            </w:pPr>
            <w:r>
              <w:t xml:space="preserve">DPA: non-significant improvement</w:t>
            </w:r>
          </w:p>
          <w:p>
            <w:pPr>
              <w:jc w:val="left"/>
            </w:pPr>
            <w:r>
              <w:t xml:space="preserve">FDC+AVI+DPA: significant reduction</w:t>
            </w:r>
          </w:p>
        </w:tc>
        <w:tc>
          <w:tcPr/>
          <w:p>
            <w:pPr>
              <w:pStyle w:val="Compact"/>
              <w:jc w:val="center"/>
            </w:pPr>
            <w:r>
              <w:drawing>
                <wp:inline>
                  <wp:extent cx="333375" cy="333375"/>
                  <wp:effectExtent b="0" l="0" r="0" t="0"/>
                  <wp:docPr descr="" title="" id="98" name="Picture"/>
                  <a:graphic>
                    <a:graphicData uri="http://schemas.openxmlformats.org/drawingml/2006/picture">
                      <pic:pic>
                        <pic:nvPicPr>
                          <pic:cNvPr descr="images/yellow_synergy.png" id="99" name="Picture"/>
                          <pic:cNvPicPr>
                            <a:picLocks noChangeArrowheads="1" noChangeAspect="1"/>
                          </pic:cNvPicPr>
                        </pic:nvPicPr>
                        <pic:blipFill>
                          <a:blip r:embed="rId26"/>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jc w:val="left"/>
            </w:pPr>
            <w:r>
              <w:t xml:space="preserve">AVI, PMBN</w:t>
            </w:r>
          </w:p>
        </w:tc>
        <w:tc>
          <w:tcPr/>
          <w:p>
            <w:pPr>
              <w:pStyle w:val="Compact"/>
              <w:jc w:val="left"/>
            </w:pPr>
            <w:r>
              <w:t xml:space="preserve">Time-kill</w:t>
            </w:r>
          </w:p>
        </w:tc>
        <w:tc>
          <w:tcPr/>
          <w:p>
            <w:pPr>
              <w:pStyle w:val="Compact"/>
              <w:jc w:val="left"/>
            </w:pPr>
            <w:r>
              <w:t xml:space="preserve">4</w:t>
            </w:r>
            <w:r>
              <w:t xml:space="preserve"> </w:t>
            </w:r>
            <w:r>
              <w:rPr>
                <w:i/>
                <w:iCs/>
              </w:rPr>
              <w:t xml:space="preserve">Kp</w:t>
            </w:r>
          </w:p>
        </w:tc>
        <w:tc>
          <w:tcPr/>
          <w:p>
            <w:pPr>
              <w:jc w:val="left"/>
            </w:pPr>
            <w:r>
              <w:t xml:space="preserve">FDC+AVI enabled the killing of the bacteria earlier with a lower concentration of FDC</w:t>
            </w:r>
          </w:p>
          <w:p>
            <w:pPr>
              <w:jc w:val="left"/>
            </w:pPr>
            <w:r>
              <w:t xml:space="preserve">FDC+AVI+PMBN: bacterial killing at lower concentrations of FDC and less time than FDC+AVI</w:t>
            </w:r>
          </w:p>
        </w:tc>
        <w:tc>
          <w:tcPr/>
          <w:p>
            <w:pPr>
              <w:pStyle w:val="Compact"/>
              <w:jc w:val="center"/>
            </w:pPr>
            <w:r>
              <w:drawing>
                <wp:inline>
                  <wp:extent cx="333375" cy="333375"/>
                  <wp:effectExtent b="0" l="0" r="0" t="0"/>
                  <wp:docPr descr="" title="" id="100" name="Picture"/>
                  <a:graphic>
                    <a:graphicData uri="http://schemas.openxmlformats.org/drawingml/2006/picture">
                      <pic:pic>
                        <pic:nvPicPr>
                          <pic:cNvPr descr="images/green_synergy.png" id="101" name="Picture"/>
                          <pic:cNvPicPr>
                            <a:picLocks noChangeArrowheads="1" noChangeAspect="1"/>
                          </pic:cNvPicPr>
                        </pic:nvPicPr>
                        <pic:blipFill>
                          <a:blip r:embed="rId2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Daoud, 2023</w:t>
            </w:r>
            <w:r>
              <w:t xml:space="preserve"> </w:t>
            </w:r>
            <w:r>
              <w:t xml:space="preserve">[26]</w:t>
            </w:r>
          </w:p>
        </w:tc>
        <w:tc>
          <w:tcPr/>
          <w:p>
            <w:pPr>
              <w:pStyle w:val="Compact"/>
              <w:jc w:val="left"/>
            </w:pPr>
            <w:r>
              <w:t xml:space="preserve">AVI, DPA, ATM</w:t>
            </w:r>
          </w:p>
        </w:tc>
        <w:tc>
          <w:tcPr/>
          <w:p>
            <w:pPr>
              <w:pStyle w:val="Compact"/>
              <w:jc w:val="left"/>
            </w:pPr>
            <w:r>
              <w:t xml:space="preserve">Checkerboard</w:t>
            </w:r>
          </w:p>
        </w:tc>
        <w:tc>
          <w:tcPr/>
          <w:p>
            <w:pPr>
              <w:pStyle w:val="Compact"/>
              <w:jc w:val="left"/>
            </w:pPr>
            <w:r>
              <w:t xml:space="preserve">1 FDC-R</w:t>
            </w:r>
            <w:r>
              <w:t xml:space="preserve"> </w:t>
            </w:r>
            <w:r>
              <w:rPr>
                <w:i/>
                <w:iCs/>
              </w:rPr>
              <w:t xml:space="preserve">Kp</w:t>
            </w:r>
          </w:p>
        </w:tc>
        <w:tc>
          <w:tcPr/>
          <w:p>
            <w:pPr>
              <w:jc w:val="left"/>
            </w:pPr>
            <w:r>
              <w:t xml:space="preserve">FDC+AVI: no synergy</w:t>
            </w:r>
          </w:p>
          <w:p>
            <w:pPr>
              <w:jc w:val="left"/>
            </w:pPr>
            <w:r>
              <w:t xml:space="preserve">FDC+DPA: synergy</w:t>
            </w:r>
          </w:p>
          <w:p>
            <w:pPr>
              <w:jc w:val="left"/>
            </w:pPr>
            <w:r>
              <w:t xml:space="preserve">FDC+AVI+(ATM or DPA): synergy</w:t>
            </w:r>
          </w:p>
        </w:tc>
        <w:tc>
          <w:tcPr/>
          <w:p>
            <w:pPr>
              <w:pStyle w:val="Compact"/>
              <w:jc w:val="center"/>
            </w:pPr>
            <w:r>
              <w:drawing>
                <wp:inline>
                  <wp:extent cx="333375" cy="333375"/>
                  <wp:effectExtent b="0" l="0" r="0" t="0"/>
                  <wp:docPr descr="" title="" id="102" name="Picture"/>
                  <a:graphic>
                    <a:graphicData uri="http://schemas.openxmlformats.org/drawingml/2006/picture">
                      <pic:pic>
                        <pic:nvPicPr>
                          <pic:cNvPr descr="images/yellow_synergy.png" id="103" name="Picture"/>
                          <pic:cNvPicPr>
                            <a:picLocks noChangeArrowheads="1" noChangeAspect="1"/>
                          </pic:cNvPicPr>
                        </pic:nvPicPr>
                        <pic:blipFill>
                          <a:blip r:embed="rId26"/>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Granata, 2025</w:t>
            </w:r>
            <w:r>
              <w:t xml:space="preserve"> </w:t>
            </w:r>
            <w:r>
              <w:t xml:space="preserve">[27]</w:t>
            </w:r>
          </w:p>
        </w:tc>
        <w:tc>
          <w:tcPr/>
          <w:p>
            <w:pPr>
              <w:pStyle w:val="Compact"/>
              <w:jc w:val="left"/>
            </w:pPr>
            <w:r>
              <w:t xml:space="preserve">IMR</w:t>
            </w:r>
          </w:p>
        </w:tc>
        <w:tc>
          <w:tcPr/>
          <w:p>
            <w:pPr>
              <w:pStyle w:val="Compact"/>
              <w:jc w:val="left"/>
            </w:pPr>
            <w:r>
              <w:t xml:space="preserve">Gradient diffusion strip crossing</w:t>
            </w:r>
          </w:p>
        </w:tc>
        <w:tc>
          <w:tcPr/>
          <w:p>
            <w:pPr>
              <w:pStyle w:val="Compact"/>
              <w:jc w:val="left"/>
            </w:pPr>
            <w:r>
              <w:t xml:space="preserve">3 FDC-S (2 IMP-13 and 1 VIM-2-</w:t>
            </w:r>
            <w:r>
              <w:rPr>
                <w:i/>
                <w:iCs/>
              </w:rPr>
              <w:t xml:space="preserve">Pa</w:t>
            </w:r>
            <w:r>
              <w:t xml:space="preserve">)</w:t>
            </w:r>
          </w:p>
        </w:tc>
        <w:tc>
          <w:tcPr/>
          <w:p>
            <w:pPr>
              <w:pStyle w:val="Compact"/>
              <w:jc w:val="left"/>
            </w:pPr>
            <w:r>
              <w:t xml:space="preserve">Synergy in 2 IMP-13-</w:t>
            </w:r>
            <w:r>
              <w:rPr>
                <w:i/>
                <w:iCs/>
              </w:rPr>
              <w:t xml:space="preserve">Pa</w:t>
            </w:r>
            <w:r>
              <w:t xml:space="preserve"> </w:t>
            </w:r>
            <w:r>
              <w:t xml:space="preserve">(not in VIM-2-</w:t>
            </w:r>
            <w:r>
              <w:rPr>
                <w:i/>
                <w:iCs/>
              </w:rPr>
              <w:t xml:space="preserve">Pa)</w:t>
            </w:r>
          </w:p>
        </w:tc>
        <w:tc>
          <w:tcPr/>
          <w:p>
            <w:pPr>
              <w:pStyle w:val="Compact"/>
              <w:jc w:val="center"/>
            </w:pPr>
            <w:r>
              <w:drawing>
                <wp:inline>
                  <wp:extent cx="333375" cy="333375"/>
                  <wp:effectExtent b="0" l="0" r="0" t="0"/>
                  <wp:docPr descr="" title="" id="104" name="Picture"/>
                  <a:graphic>
                    <a:graphicData uri="http://schemas.openxmlformats.org/drawingml/2006/picture">
                      <pic:pic>
                        <pic:nvPicPr>
                          <pic:cNvPr descr="images/yellow_synergy.png" id="105" name="Picture"/>
                          <pic:cNvPicPr>
                            <a:picLocks noChangeArrowheads="1" noChangeAspect="1"/>
                          </pic:cNvPicPr>
                        </pic:nvPicPr>
                        <pic:blipFill>
                          <a:blip r:embed="rId26"/>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Ferretti, 2024</w:t>
            </w:r>
            <w:r>
              <w:t xml:space="preserve"> </w:t>
            </w:r>
            <w:r>
              <w:t xml:space="preserve">[28]</w:t>
            </w:r>
          </w:p>
        </w:tc>
        <w:tc>
          <w:tcPr/>
          <w:p>
            <w:pPr>
              <w:pStyle w:val="Compact"/>
              <w:jc w:val="left"/>
            </w:pPr>
            <w:r>
              <w:t xml:space="preserve">IMI</w:t>
            </w:r>
          </w:p>
        </w:tc>
        <w:tc>
          <w:tcPr/>
          <w:p>
            <w:pPr>
              <w:pStyle w:val="Compact"/>
              <w:jc w:val="left"/>
            </w:pPr>
            <w:r>
              <w:t xml:space="preserve">Minimum biofilm bactericidal concentration (≈ BMD MIC)</w:t>
            </w:r>
          </w:p>
        </w:tc>
        <w:tc>
          <w:tcPr/>
          <w:p>
            <w:pPr>
              <w:pStyle w:val="Compact"/>
              <w:jc w:val="left"/>
            </w:pPr>
            <w:r>
              <w:t xml:space="preserve">5 FDC-S</w:t>
            </w:r>
            <w:r>
              <w:t xml:space="preserve"> </w:t>
            </w:r>
            <w:r>
              <w:rPr>
                <w:i/>
                <w:iCs/>
              </w:rPr>
              <w:t xml:space="preserve">Pa</w:t>
            </w:r>
          </w:p>
        </w:tc>
        <w:tc>
          <w:tcPr/>
          <w:p>
            <w:pPr>
              <w:pStyle w:val="Compact"/>
              <w:jc w:val="left"/>
            </w:pPr>
            <w:r>
              <w:t xml:space="preserve">Synergistic bactericidal activity in all tested strains and synergistic eradicating activity in one isolate</w:t>
            </w:r>
          </w:p>
        </w:tc>
        <w:tc>
          <w:tcPr/>
          <w:p>
            <w:pPr>
              <w:pStyle w:val="Compact"/>
              <w:jc w:val="center"/>
            </w:pPr>
            <w:r>
              <w:drawing>
                <wp:inline>
                  <wp:extent cx="333375" cy="333375"/>
                  <wp:effectExtent b="0" l="0" r="0" t="0"/>
                  <wp:docPr descr="" title="" id="106" name="Picture"/>
                  <a:graphic>
                    <a:graphicData uri="http://schemas.openxmlformats.org/drawingml/2006/picture">
                      <pic:pic>
                        <pic:nvPicPr>
                          <pic:cNvPr descr="images/yellow_synergy.png" id="107" name="Picture"/>
                          <pic:cNvPicPr>
                            <a:picLocks noChangeArrowheads="1" noChangeAspect="1"/>
                          </pic:cNvPicPr>
                        </pic:nvPicPr>
                        <pic:blipFill>
                          <a:blip r:embed="rId26"/>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El Haj, 2024</w:t>
            </w:r>
            <w:r>
              <w:t xml:space="preserve"> </w:t>
            </w:r>
            <w:r>
              <w:t xml:space="preserve">[29]</w:t>
            </w:r>
          </w:p>
        </w:tc>
        <w:tc>
          <w:tcPr/>
          <w:p>
            <w:pPr>
              <w:pStyle w:val="Compact"/>
              <w:jc w:val="left"/>
            </w:pPr>
            <w:r>
              <w:t xml:space="preserve">COL</w:t>
            </w:r>
          </w:p>
        </w:tc>
        <w:tc>
          <w:tcPr/>
          <w:p>
            <w:pPr>
              <w:pStyle w:val="Compact"/>
              <w:jc w:val="left"/>
            </w:pPr>
            <w:r>
              <w:rPr>
                <w:i/>
                <w:iCs/>
              </w:rPr>
              <w:t xml:space="preserve">In vitro</w:t>
            </w:r>
            <w:r>
              <w:t xml:space="preserve"> </w:t>
            </w:r>
            <w:r>
              <w:t xml:space="preserve">pharmaco ynamic model</w:t>
            </w:r>
          </w:p>
        </w:tc>
        <w:tc>
          <w:tcPr/>
          <w:p>
            <w:pPr>
              <w:pStyle w:val="Compact"/>
              <w:jc w:val="left"/>
            </w:pPr>
            <w:r>
              <w:t xml:space="preserve">2 FDC-S</w:t>
            </w:r>
            <w:r>
              <w:t xml:space="preserve"> </w:t>
            </w:r>
            <w:r>
              <w:rPr>
                <w:i/>
                <w:iCs/>
              </w:rPr>
              <w:t xml:space="preserve">Pa</w:t>
            </w:r>
          </w:p>
        </w:tc>
        <w:tc>
          <w:tcPr/>
          <w:p>
            <w:pPr>
              <w:pStyle w:val="Compact"/>
              <w:jc w:val="left"/>
            </w:pPr>
            <w:r>
              <w:t xml:space="preserve">COL improved FDC efficacy against biofilms</w:t>
            </w:r>
          </w:p>
        </w:tc>
        <w:tc>
          <w:tcPr/>
          <w:p>
            <w:pPr>
              <w:pStyle w:val="Compact"/>
              <w:jc w:val="center"/>
            </w:pPr>
            <w:r>
              <w:drawing>
                <wp:inline>
                  <wp:extent cx="333375" cy="333375"/>
                  <wp:effectExtent b="0" l="0" r="0" t="0"/>
                  <wp:docPr descr="" title="" id="108" name="Picture"/>
                  <a:graphic>
                    <a:graphicData uri="http://schemas.openxmlformats.org/drawingml/2006/picture">
                      <pic:pic>
                        <pic:nvPicPr>
                          <pic:cNvPr descr="images/green_synergy.png" id="109" name="Picture"/>
                          <pic:cNvPicPr>
                            <a:picLocks noChangeArrowheads="1" noChangeAspect="1"/>
                          </pic:cNvPicPr>
                        </pic:nvPicPr>
                        <pic:blipFill>
                          <a:blip r:embed="rId2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Schilling, 2024</w:t>
            </w:r>
            <w:r>
              <w:t xml:space="preserve"> </w:t>
            </w:r>
            <w:r>
              <w:t xml:space="preserve">[30]</w:t>
            </w:r>
          </w:p>
        </w:tc>
        <w:tc>
          <w:tcPr/>
          <w:p>
            <w:pPr>
              <w:pStyle w:val="Compact"/>
              <w:jc w:val="left"/>
            </w:pPr>
            <w:r>
              <w:t xml:space="preserve">VAN</w:t>
            </w:r>
          </w:p>
        </w:tc>
        <w:tc>
          <w:tcPr/>
          <w:p>
            <w:pPr>
              <w:pStyle w:val="Compact"/>
              <w:jc w:val="left"/>
            </w:pPr>
            <w:r>
              <w:t xml:space="preserve">Gradient diffusion strip crossing</w:t>
            </w:r>
          </w:p>
        </w:tc>
        <w:tc>
          <w:tcPr/>
          <w:p>
            <w:pPr>
              <w:pStyle w:val="Compact"/>
              <w:jc w:val="left"/>
            </w:pPr>
            <w:r>
              <w:t xml:space="preserve">2 FDC-S</w:t>
            </w:r>
            <w:r>
              <w:t xml:space="preserve"> </w:t>
            </w:r>
            <w:r>
              <w:rPr>
                <w:i/>
                <w:iCs/>
              </w:rPr>
              <w:t xml:space="preserve">Pa</w:t>
            </w:r>
          </w:p>
        </w:tc>
        <w:tc>
          <w:tcPr/>
          <w:p>
            <w:pPr>
              <w:pStyle w:val="Compact"/>
              <w:jc w:val="left"/>
            </w:pPr>
            <w:r>
              <w:t xml:space="preserve">Indifferent</w:t>
            </w:r>
          </w:p>
        </w:tc>
        <w:tc>
          <w:tcPr/>
          <w:p>
            <w:pPr>
              <w:pStyle w:val="Compact"/>
              <w:jc w:val="center"/>
            </w:pPr>
            <w:r>
              <w:drawing>
                <wp:inline>
                  <wp:extent cx="333375" cy="333375"/>
                  <wp:effectExtent b="0" l="0" r="0" t="0"/>
                  <wp:docPr descr="" title="" id="110" name="Picture"/>
                  <a:graphic>
                    <a:graphicData uri="http://schemas.openxmlformats.org/drawingml/2006/picture">
                      <pic:pic>
                        <pic:nvPicPr>
                          <pic:cNvPr descr="images/red_synergy.png" id="111" name="Picture"/>
                          <pic:cNvPicPr>
                            <a:picLocks noChangeArrowheads="1" noChangeAspect="1"/>
                          </pic:cNvPicPr>
                        </pic:nvPicPr>
                        <pic:blipFill>
                          <a:blip r:embed="rId47"/>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Wang, 2023</w:t>
            </w:r>
            <w:r>
              <w:t xml:space="preserve"> </w:t>
            </w:r>
            <w:r>
              <w:t xml:space="preserve">[31]</w:t>
            </w:r>
          </w:p>
        </w:tc>
        <w:tc>
          <w:tcPr/>
          <w:p>
            <w:pPr>
              <w:pStyle w:val="Compact"/>
              <w:jc w:val="left"/>
            </w:pPr>
            <w:r>
              <w:t xml:space="preserve">CBS</w:t>
            </w:r>
          </w:p>
        </w:tc>
        <w:tc>
          <w:tcPr/>
          <w:p>
            <w:pPr>
              <w:pStyle w:val="Compact"/>
              <w:jc w:val="left"/>
            </w:pPr>
            <w:r>
              <w:t xml:space="preserve">BMD MIC</w:t>
            </w:r>
          </w:p>
        </w:tc>
        <w:tc>
          <w:tcPr/>
          <w:p>
            <w:pPr>
              <w:pStyle w:val="Compact"/>
              <w:jc w:val="left"/>
            </w:pPr>
            <w:r>
              <w:rPr>
                <w:i/>
                <w:iCs/>
              </w:rPr>
              <w:t xml:space="preserve">Pa</w:t>
            </w:r>
            <w:r>
              <w:t xml:space="preserve"> </w:t>
            </w:r>
            <w:r>
              <w:t xml:space="preserve">and</w:t>
            </w:r>
            <w:r>
              <w:t xml:space="preserve"> </w:t>
            </w:r>
            <w:r>
              <w:rPr>
                <w:i/>
                <w:iCs/>
              </w:rPr>
              <w:t xml:space="preserve">B. cepacia</w:t>
            </w:r>
          </w:p>
        </w:tc>
        <w:tc>
          <w:tcPr/>
          <w:p>
            <w:pPr>
              <w:pStyle w:val="Compact"/>
              <w:jc w:val="left"/>
            </w:pPr>
            <w:r>
              <w:t xml:space="preserve">Synergy found</w:t>
            </w:r>
          </w:p>
        </w:tc>
        <w:tc>
          <w:tcPr/>
          <w:p>
            <w:pPr>
              <w:pStyle w:val="Compact"/>
              <w:jc w:val="center"/>
            </w:pPr>
            <w:r>
              <w:drawing>
                <wp:inline>
                  <wp:extent cx="333375" cy="333375"/>
                  <wp:effectExtent b="0" l="0" r="0" t="0"/>
                  <wp:docPr descr="" title="" id="112" name="Picture"/>
                  <a:graphic>
                    <a:graphicData uri="http://schemas.openxmlformats.org/drawingml/2006/picture">
                      <pic:pic>
                        <pic:nvPicPr>
                          <pic:cNvPr descr="images/green_synergy.png" id="113" name="Picture"/>
                          <pic:cNvPicPr>
                            <a:picLocks noChangeArrowheads="1" noChangeAspect="1"/>
                          </pic:cNvPicPr>
                        </pic:nvPicPr>
                        <pic:blipFill>
                          <a:blip r:embed="rId2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jc w:val="left"/>
            </w:pPr>
            <w:r>
              <w:t xml:space="preserve">Checkerboard and time-kill</w:t>
            </w:r>
          </w:p>
        </w:tc>
        <w:tc>
          <w:tcPr/>
          <w:p>
            <w:pPr>
              <w:pStyle w:val="Compact"/>
              <w:jc w:val="left"/>
            </w:pPr>
            <w:r>
              <w:rPr>
                <w:i/>
                <w:iCs/>
              </w:rPr>
              <w:t xml:space="preserve">Pa</w:t>
            </w:r>
          </w:p>
        </w:tc>
        <w:tc>
          <w:tcPr/>
          <w:p>
            <w:pPr>
              <w:pStyle w:val="Compact"/>
              <w:jc w:val="left"/>
            </w:pPr>
            <w:r>
              <w:t xml:space="preserve">Synergy found</w:t>
            </w:r>
          </w:p>
        </w:tc>
        <w:tc>
          <w:tcPr/>
          <w:p>
            <w:pPr>
              <w:pStyle w:val="Compact"/>
              <w:jc w:val="center"/>
            </w:pPr>
            <w:r>
              <w:drawing>
                <wp:inline>
                  <wp:extent cx="333375" cy="333375"/>
                  <wp:effectExtent b="0" l="0" r="0" t="0"/>
                  <wp:docPr descr="" title="" id="114" name="Picture"/>
                  <a:graphic>
                    <a:graphicData uri="http://schemas.openxmlformats.org/drawingml/2006/picture">
                      <pic:pic>
                        <pic:nvPicPr>
                          <pic:cNvPr descr="images/green_synergy.png" id="115" name="Picture"/>
                          <pic:cNvPicPr>
                            <a:picLocks noChangeArrowheads="1" noChangeAspect="1"/>
                          </pic:cNvPicPr>
                        </pic:nvPicPr>
                        <pic:blipFill>
                          <a:blip r:embed="rId2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jc w:val="left"/>
            </w:pPr>
            <w:r>
              <w:rPr>
                <w:i/>
                <w:iCs/>
              </w:rPr>
              <w:t xml:space="preserve">In vivo</w:t>
            </w:r>
            <w:r>
              <w:t xml:space="preserve"> </w:t>
            </w:r>
            <w:r>
              <w:t xml:space="preserve">model</w:t>
            </w:r>
          </w:p>
        </w:tc>
        <w:tc>
          <w:tcPr/>
          <w:p>
            <w:pPr>
              <w:pStyle w:val="Compact"/>
              <w:jc w:val="left"/>
            </w:pPr>
            <w:r>
              <w:rPr>
                <w:i/>
                <w:iCs/>
              </w:rPr>
              <w:t xml:space="preserve">Pa</w:t>
            </w:r>
          </w:p>
        </w:tc>
        <w:tc>
          <w:tcPr/>
          <w:p>
            <w:pPr>
              <w:pStyle w:val="Compact"/>
              <w:jc w:val="left"/>
            </w:pPr>
            <w:r>
              <w:t xml:space="preserve">FDC-CBS significantly increased survival</w:t>
            </w:r>
          </w:p>
        </w:tc>
        <w:tc>
          <w:tcPr/>
          <w:p>
            <w:pPr>
              <w:pStyle w:val="Compact"/>
              <w:jc w:val="center"/>
            </w:pPr>
            <w:r>
              <w:drawing>
                <wp:inline>
                  <wp:extent cx="333375" cy="333375"/>
                  <wp:effectExtent b="0" l="0" r="0" t="0"/>
                  <wp:docPr descr="" title="" id="116" name="Picture"/>
                  <a:graphic>
                    <a:graphicData uri="http://schemas.openxmlformats.org/drawingml/2006/picture">
                      <pic:pic>
                        <pic:nvPicPr>
                          <pic:cNvPr descr="images/green_synergy.png" id="117" name="Picture"/>
                          <pic:cNvPicPr>
                            <a:picLocks noChangeArrowheads="1" noChangeAspect="1"/>
                          </pic:cNvPicPr>
                        </pic:nvPicPr>
                        <pic:blipFill>
                          <a:blip r:embed="rId2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Biagi, 2020</w:t>
            </w:r>
            <w:r>
              <w:t xml:space="preserve"> </w:t>
            </w:r>
            <w:r>
              <w:t xml:space="preserve">[32]</w:t>
            </w:r>
          </w:p>
        </w:tc>
        <w:tc>
          <w:tcPr/>
          <w:p>
            <w:pPr>
              <w:pStyle w:val="Compact"/>
              <w:jc w:val="left"/>
            </w:pPr>
            <w:r>
              <w:t xml:space="preserve">LEV, MIN, PM-B, SXT</w:t>
            </w:r>
          </w:p>
        </w:tc>
        <w:tc>
          <w:tcPr/>
          <w:p>
            <w:pPr>
              <w:pStyle w:val="Compact"/>
              <w:jc w:val="left"/>
            </w:pPr>
            <w:r>
              <w:t xml:space="preserve">Time-kill</w:t>
            </w:r>
          </w:p>
        </w:tc>
        <w:tc>
          <w:tcPr/>
          <w:p>
            <w:pPr>
              <w:pStyle w:val="Compact"/>
              <w:jc w:val="left"/>
            </w:pPr>
            <w:r>
              <w:t xml:space="preserve">9-FDC-S</w:t>
            </w:r>
            <w:r>
              <w:t xml:space="preserve"> </w:t>
            </w:r>
            <w:r>
              <w:rPr>
                <w:i/>
                <w:iCs/>
              </w:rPr>
              <w:t xml:space="preserve">S. maltophilia</w:t>
            </w:r>
          </w:p>
        </w:tc>
        <w:tc>
          <w:tcPr/>
          <w:p>
            <w:pPr>
              <w:pStyle w:val="Compact"/>
              <w:jc w:val="left"/>
            </w:pPr>
            <w:r>
              <w:t xml:space="preserve">Synergy found (44% LEV, 67% MIN, 56% PM-B and 67% SXT)</w:t>
            </w:r>
          </w:p>
        </w:tc>
        <w:tc>
          <w:tcPr/>
          <w:p>
            <w:pPr>
              <w:pStyle w:val="Compact"/>
              <w:jc w:val="center"/>
            </w:pPr>
            <w:r>
              <w:drawing>
                <wp:inline>
                  <wp:extent cx="333375" cy="333375"/>
                  <wp:effectExtent b="0" l="0" r="0" t="0"/>
                  <wp:docPr descr="" title="" id="118" name="Picture"/>
                  <a:graphic>
                    <a:graphicData uri="http://schemas.openxmlformats.org/drawingml/2006/picture">
                      <pic:pic>
                        <pic:nvPicPr>
                          <pic:cNvPr descr="images/green_synergy.png" id="119" name="Picture"/>
                          <pic:cNvPicPr>
                            <a:picLocks noChangeArrowheads="1" noChangeAspect="1"/>
                          </pic:cNvPicPr>
                        </pic:nvPicPr>
                        <pic:blipFill>
                          <a:blip r:embed="rId21"/>
                          <a:stretch>
                            <a:fillRect/>
                          </a:stretch>
                        </pic:blipFill>
                        <pic:spPr bwMode="auto">
                          <a:xfrm>
                            <a:off x="0" y="0"/>
                            <a:ext cx="333375" cy="333375"/>
                          </a:xfrm>
                          <a:prstGeom prst="rect">
                            <a:avLst/>
                          </a:prstGeom>
                          <a:noFill/>
                          <a:ln w="9525">
                            <a:noFill/>
                            <a:headEnd/>
                            <a:tailEnd/>
                          </a:ln>
                        </pic:spPr>
                      </pic:pic>
                    </a:graphicData>
                  </a:graphic>
                </wp:inline>
              </w:drawing>
            </w:r>
          </w:p>
        </w:tc>
      </w:tr>
    </w:tbl>
    <w:p>
      <w:pPr>
        <w:pStyle w:val="BodyText"/>
      </w:pPr>
      <w:r>
        <w:t xml:space="preserve"> </w:t>
      </w:r>
    </w:p>
    <w:p>
      <w:pPr>
        <w:pStyle w:val="TableCaption"/>
      </w:pPr>
      <w:r>
        <w:rPr>
          <w:b/>
          <w:bCs/>
        </w:rPr>
        <w:t xml:space="preserve">Table 2.</w:t>
      </w:r>
      <w:r>
        <w:t xml:space="preserve"> </w:t>
      </w:r>
      <w:r>
        <w:t xml:space="preserve">Summary of cefiderocol combination therapies in human studies.</w:t>
      </w:r>
      <w:r>
        <w:t xml:space="preserve"> </w:t>
      </w:r>
      <w:r>
        <w:rPr>
          <w:b/>
          <w:bCs/>
        </w:rPr>
        <w:t xml:space="preserve">Molecules</w:t>
      </w:r>
      <w:r>
        <w:t xml:space="preserve"> </w:t>
      </w:r>
      <w:r>
        <w:t xml:space="preserve">(in alphabetical order) AMK: amikacin, A–S: ampicillin-sulbactam, CEP: cefepime, CIP: ciprofloxacin, COL: colistin, CAZ: ceftazidime, CZA-AVI: ceftazidime-avibactam, FOS: fosfomycin, LEV: levofloxacin, MER: meropenem, MIN: minocycline, M-V: meropenem-vaborbactam, P–T: piperacillin-tazobactam, TMP/SMX: trimethoprim/sulfamethoxazole, TGC: tigecycline, TOB: tobramycin, AGs: aminoglycosides, ERAV: eravacycline, IMI-REL: imipenem/cilistatin/releabactam. POL: polymixin.</w:t>
      </w:r>
      <w:r>
        <w:t xml:space="preserve"> </w:t>
      </w:r>
      <w:r>
        <w:rPr>
          <w:b/>
          <w:bCs/>
        </w:rPr>
        <w:t xml:space="preserve">Isolates</w:t>
      </w:r>
      <w:r>
        <w:t xml:space="preserve"> </w:t>
      </w:r>
      <w:r>
        <w:t xml:space="preserve">(in alphabetical order) CRAB: carbapenem-resistant</w:t>
      </w:r>
      <w:r>
        <w:t xml:space="preserve"> </w:t>
      </w:r>
      <w:r>
        <w:rPr>
          <w:i/>
          <w:iCs/>
        </w:rPr>
        <w:t xml:space="preserve">Acinetobacter baumannii complex</w:t>
      </w:r>
      <w:r>
        <w:t xml:space="preserve">, Pa:</w:t>
      </w:r>
      <w:r>
        <w:t xml:space="preserve"> </w:t>
      </w:r>
      <w:r>
        <w:rPr>
          <w:i/>
          <w:iCs/>
        </w:rPr>
        <w:t xml:space="preserve">P. aeruginosa</w:t>
      </w:r>
      <w:r>
        <w:t xml:space="preserve">; Kp:</w:t>
      </w:r>
      <w:r>
        <w:t xml:space="preserve"> </w:t>
      </w:r>
      <w:r>
        <w:rPr>
          <w:i/>
          <w:iCs/>
        </w:rPr>
        <w:t xml:space="preserve">K. pneumoniae</w:t>
      </w:r>
      <w:r>
        <w:t xml:space="preserve">; E: Enterobacteriales; SMAL:</w:t>
      </w:r>
      <w:r>
        <w:t xml:space="preserve"> </w:t>
      </w:r>
      <w:r>
        <w:rPr>
          <w:i/>
          <w:iCs/>
        </w:rPr>
        <w:t xml:space="preserve">Stenotrophomonas maltophilia</w:t>
      </w:r>
      <w:r>
        <w:t xml:space="preserve">; XDR: extensively-drug resistant.</w:t>
      </w:r>
      <w:r>
        <w:t xml:space="preserve"> </w:t>
      </w:r>
      <w:r>
        <w:rPr>
          <w:b/>
          <w:bCs/>
        </w:rPr>
        <w:t xml:space="preserve">Type of study and conditions</w:t>
      </w:r>
      <w:r>
        <w:t xml:space="preserve"> </w:t>
      </w:r>
      <w:r>
        <w:t xml:space="preserve">P: prospective study; R: retrospective study; Combo: combination. BSI: bloodstream infection; CLABSI: central line associated BSI; LRTI: lower respiratory tract infections; SSTI: skin and soft tissue infections; cIAI: complicated intra-abdominal infection; cUTI: complicated urinary tract infection; EVD extra ventricular drainage; HAP: hospital acquired pneumonia; VAP: Ventilator-Associated Pneumonia, BJI: bone and joint infections.</w:t>
      </w:r>
      <w:r>
        <w:t xml:space="preserve"> </w:t>
      </w:r>
      <w:r>
        <w:rPr>
          <w:b/>
          <w:bCs/>
        </w:rPr>
        <w:t xml:space="preserve">Results</w:t>
      </w:r>
      <w:r>
        <w:t xml:space="preserve"> </w:t>
      </w:r>
      <w:r>
        <w:t xml:space="preserve">NS: non-significant; N/A:</w:t>
      </w:r>
      <w:r>
        <w:t xml:space="preserve"> </w:t>
      </w:r>
      <w:r>
        <w:rPr>
          <w:i/>
          <w:iCs/>
        </w:rPr>
        <w:t xml:space="preserve">P values</w:t>
      </w:r>
      <w:r>
        <w:t xml:space="preserve"> </w:t>
      </w:r>
      <w:r>
        <w:t xml:space="preserve">not reported or calculated by the authors are reported.</w:t>
      </w:r>
    </w:p>
    <w:tbl>
      <w:tblPr>
        <w:tblStyle w:val="Table"/>
        <w:tblW w:type="pct" w:w="4932"/>
        <w:tblLayout w:type="fixed"/>
        <w:tblLook w:firstRow="1" w:lastRow="0" w:firstColumn="0" w:lastColumn="0" w:noHBand="0" w:noVBand="0" w:val="0020"/>
        <w:tblCaption w:val="Table 2. Summary of cefiderocol combination therapies in human studies. Molecules (in alphabetical order) AMK: amikacin, A–S: ampicillin-sulbactam, CEP: cefepime, CIP: ciprofloxacin, COL: colistin, CAZ: ceftazidime, CZA-AVI: ceftazidime-avibactam, FOS: fosfomycin, LEV: levofloxacin, MER: meropenem, MIN: minocycline, M-V: meropenem-vaborbactam, P–T: piperacillin-tazobactam, TMP/SMX: trimethoprim/sulfamethoxazole, TGC: tigecycline, TOB: tobramycin, AGs: aminoglycosides, ERAV: eravacycline, IMI-REL: imipenem/cilistatin/releabactam. POL: polymixin. Isolates (in alphabetical order) CRAB: carbapenem-resistant Acinetobacter baumannii complex, Pa: P. aeruginosa; Kp: K. pneumoniae; E: Enterobacteriales; SMAL: Stenotrophomonas maltophilia; XDR: extensively-drug resistant. Type of study and conditions P: prospective study; R: retrospective study; Combo: combination. BSI: bloodstream infection; CLABSI: central line associated BSI; LRTI: lower respiratory tract infections; SSTI: skin and soft tissue infections; cIAI: complicated intra-abdominal infection; cUTI: complicated urinary tract infection; EVD extra ventricular drainage; HAP: hospital acquired pneumonia; VAP: Ventilator-Associated Pneumonia, BJI: bone and joint infections. Results NS: non-significant; N/A: P values not reported or calculated by the authors are reported."/>
      </w:tblPr>
      <w:tblGrid>
        <w:gridCol w:w="700"/>
        <w:gridCol w:w="359"/>
        <w:gridCol w:w="772"/>
        <w:gridCol w:w="772"/>
        <w:gridCol w:w="897"/>
        <w:gridCol w:w="826"/>
        <w:gridCol w:w="538"/>
        <w:gridCol w:w="2945"/>
      </w:tblGrid>
      <w:tr>
        <w:trPr>
          <w:tblHeader w:val="on"/>
        </w:trPr>
        <w:tc>
          <w:tcPr/>
          <w:p>
            <w:pPr>
              <w:pStyle w:val="Compact"/>
            </w:pPr>
            <w:r>
              <w:rPr>
                <w:b/>
                <w:bCs/>
              </w:rPr>
              <w:t xml:space="preserve">Author, year</w:t>
            </w:r>
          </w:p>
        </w:tc>
        <w:tc>
          <w:tcPr/>
          <w:p>
            <w:pPr>
              <w:pStyle w:val="Compact"/>
            </w:pPr>
            <w:r>
              <w:rPr>
                <w:b/>
                <w:bCs/>
              </w:rPr>
              <w:t xml:space="preserve">Type of study</w:t>
            </w:r>
          </w:p>
        </w:tc>
        <w:tc>
          <w:tcPr/>
          <w:p>
            <w:pPr>
              <w:pStyle w:val="Compact"/>
            </w:pPr>
            <w:r>
              <w:rPr>
                <w:b/>
                <w:bCs/>
              </w:rPr>
              <w:t xml:space="preserve">Infection type</w:t>
            </w:r>
          </w:p>
        </w:tc>
        <w:tc>
          <w:tcPr/>
          <w:p>
            <w:pPr>
              <w:pStyle w:val="Compact"/>
            </w:pPr>
            <w:r>
              <w:rPr>
                <w:b/>
                <w:bCs/>
              </w:rPr>
              <w:t xml:space="preserve">Pathogen(s)</w:t>
            </w:r>
          </w:p>
        </w:tc>
        <w:tc>
          <w:tcPr/>
          <w:p>
            <w:pPr>
              <w:pStyle w:val="Compact"/>
            </w:pPr>
            <w:r>
              <w:rPr>
                <w:b/>
                <w:bCs/>
              </w:rPr>
              <w:t xml:space="preserve">Number of patients treated with cefiderocol</w:t>
            </w:r>
          </w:p>
        </w:tc>
        <w:tc>
          <w:tcPr/>
          <w:p>
            <w:pPr>
              <w:pStyle w:val="Compact"/>
            </w:pPr>
            <w:r>
              <w:rPr>
                <w:b/>
                <w:bCs/>
              </w:rPr>
              <w:t xml:space="preserve">Combination therapies</w:t>
            </w:r>
          </w:p>
        </w:tc>
        <w:tc>
          <w:tcPr/>
          <w:p>
            <w:pPr>
              <w:pStyle w:val="Compact"/>
            </w:pPr>
            <w:r>
              <w:rPr>
                <w:b/>
                <w:bCs/>
              </w:rPr>
              <w:t xml:space="preserve">Microbiological outcome</w:t>
            </w:r>
          </w:p>
        </w:tc>
        <w:tc>
          <w:tcPr/>
          <w:p>
            <w:pPr>
              <w:pStyle w:val="Compact"/>
            </w:pPr>
            <w:r>
              <w:rPr>
                <w:b/>
                <w:bCs/>
              </w:rPr>
              <w:t xml:space="preserve">Clinical outcome</w:t>
            </w:r>
          </w:p>
        </w:tc>
      </w:tr>
      <w:tr>
        <w:tc>
          <w:tcPr/>
          <w:p>
            <w:pPr>
              <w:pStyle w:val="Compact"/>
            </w:pPr>
            <w:r>
              <w:t xml:space="preserve">Bassetti, 2020</w:t>
            </w:r>
            <w:r>
              <w:t xml:space="preserve"> </w:t>
            </w:r>
            <w:r>
              <w:t xml:space="preserve">[33]</w:t>
            </w:r>
          </w:p>
        </w:tc>
        <w:tc>
          <w:tcPr/>
          <w:p>
            <w:pPr>
              <w:pStyle w:val="Compact"/>
            </w:pPr>
            <w:r>
              <w:t xml:space="preserve">Clinical trial</w:t>
            </w:r>
          </w:p>
        </w:tc>
        <w:tc>
          <w:tcPr/>
          <w:p>
            <w:pPr>
              <w:pStyle w:val="Compact"/>
            </w:pPr>
            <w:r>
              <w:t xml:space="preserve">LRTI, BSI, cUTI</w:t>
            </w:r>
          </w:p>
        </w:tc>
        <w:tc>
          <w:tcPr/>
          <w:p>
            <w:pPr>
              <w:pStyle w:val="Compact"/>
            </w:pPr>
            <w:r>
              <w:t xml:space="preserve">CRAB,</w:t>
            </w:r>
            <w:r>
              <w:t xml:space="preserve"> </w:t>
            </w:r>
            <w:r>
              <w:rPr>
                <w:i/>
                <w:iCs/>
              </w:rPr>
              <w:t xml:space="preserve">Kp</w:t>
            </w:r>
            <w:r>
              <w:t xml:space="preserve">,</w:t>
            </w:r>
            <w:r>
              <w:t xml:space="preserve"> </w:t>
            </w:r>
            <w:r>
              <w:rPr>
                <w:i/>
                <w:iCs/>
              </w:rPr>
              <w:t xml:space="preserve">Pa</w:t>
            </w:r>
            <w:r>
              <w:t xml:space="preserve">, SMAL</w:t>
            </w:r>
          </w:p>
        </w:tc>
        <w:tc>
          <w:tcPr/>
          <w:p>
            <w:pPr>
              <w:pStyle w:val="BodyText"/>
            </w:pPr>
            <w:r>
              <w:t xml:space="preserve">80</w:t>
            </w:r>
          </w:p>
          <w:p>
            <w:pPr>
              <w:pStyle w:val="BodyText"/>
            </w:pPr>
            <w:r>
              <w:t xml:space="preserve">Mono: 66 (83%)</w:t>
            </w:r>
          </w:p>
          <w:p>
            <w:pPr>
              <w:pStyle w:val="BodyText"/>
            </w:pPr>
            <w:r>
              <w:t xml:space="preserve">Combo: 14 (18%)</w:t>
            </w:r>
          </w:p>
        </w:tc>
        <w:tc>
          <w:tcPr/>
          <w:p>
            <w:pPr>
              <w:pStyle w:val="Compact"/>
            </w:pPr>
            <w:r>
              <w:t xml:space="preserve">TGC, FOS, AMK, A-S, CIP, COL, GEN, LEV, P-T</w:t>
            </w:r>
          </w:p>
        </w:tc>
        <w:tc>
          <w:tcPr/>
          <w:p>
            <w:pPr>
              <w:pStyle w:val="BodyText"/>
            </w:pPr>
            <w:r>
              <w:t xml:space="preserve">Eradication</w:t>
            </w:r>
          </w:p>
          <w:p>
            <w:pPr>
              <w:pStyle w:val="BodyText"/>
            </w:pPr>
            <w:r>
              <w:t xml:space="preserve">Mono: 32%</w:t>
            </w:r>
          </w:p>
          <w:p>
            <w:pPr>
              <w:pStyle w:val="BodyText"/>
            </w:pPr>
            <w:r>
              <w:t xml:space="preserve">Combo: 29%</w:t>
            </w:r>
          </w:p>
          <w:p>
            <w:pPr>
              <w:pStyle w:val="BodyText"/>
            </w:pPr>
            <w:r>
              <w:t xml:space="preserve">P=NS</w:t>
            </w:r>
          </w:p>
        </w:tc>
        <w:tc>
          <w:tcPr/>
          <w:p>
            <w:pPr>
              <w:pStyle w:val="BodyText"/>
            </w:pPr>
            <w:r>
              <w:t xml:space="preserve">Clinical cure</w:t>
            </w:r>
          </w:p>
          <w:p>
            <w:pPr>
              <w:pStyle w:val="BodyText"/>
            </w:pPr>
            <w:r>
              <w:t xml:space="preserve">Mono: 53%</w:t>
            </w:r>
          </w:p>
          <w:p>
            <w:pPr>
              <w:pStyle w:val="BodyText"/>
            </w:pPr>
            <w:r>
              <w:t xml:space="preserve">Combo: 50%</w:t>
            </w:r>
          </w:p>
          <w:p>
            <w:pPr>
              <w:pStyle w:val="BodyText"/>
            </w:pPr>
            <w:r>
              <w:t xml:space="preserve">P=NS</w:t>
            </w:r>
          </w:p>
        </w:tc>
      </w:tr>
      <w:tr>
        <w:tc>
          <w:tcPr/>
          <w:p>
            <w:pPr>
              <w:pStyle w:val="Compact"/>
            </w:pPr>
            <w:r>
              <w:t xml:space="preserve">Dalfino, 2023</w:t>
            </w:r>
            <w:r>
              <w:t xml:space="preserve"> </w:t>
            </w:r>
            <w:r>
              <w:t xml:space="preserve">[34]</w:t>
            </w:r>
          </w:p>
        </w:tc>
        <w:tc>
          <w:tcPr/>
          <w:p>
            <w:pPr>
              <w:pStyle w:val="Compact"/>
            </w:pPr>
            <w:r>
              <w:t xml:space="preserve">P</w:t>
            </w:r>
          </w:p>
        </w:tc>
        <w:tc>
          <w:tcPr/>
          <w:p>
            <w:pPr>
              <w:pStyle w:val="Compact"/>
            </w:pPr>
            <w:r>
              <w:t xml:space="preserve">VAP</w:t>
            </w:r>
          </w:p>
        </w:tc>
        <w:tc>
          <w:tcPr/>
          <w:p>
            <w:pPr>
              <w:pStyle w:val="Compact"/>
            </w:pPr>
            <w:r>
              <w:t xml:space="preserve">CRAB</w:t>
            </w:r>
          </w:p>
        </w:tc>
        <w:tc>
          <w:tcPr/>
          <w:p>
            <w:pPr>
              <w:pStyle w:val="BodyText"/>
            </w:pPr>
            <w:r>
              <w:t xml:space="preserve">40</w:t>
            </w:r>
          </w:p>
          <w:p>
            <w:pPr>
              <w:pStyle w:val="BodyText"/>
            </w:pPr>
            <w:r>
              <w:t xml:space="preserve">Mono: 19 (48%)</w:t>
            </w:r>
          </w:p>
          <w:p>
            <w:pPr>
              <w:pStyle w:val="BodyText"/>
            </w:pPr>
            <w:r>
              <w:t xml:space="preserve">Combo: 21 (53%)</w:t>
            </w:r>
          </w:p>
        </w:tc>
        <w:tc>
          <w:tcPr/>
          <w:p>
            <w:pPr>
              <w:pStyle w:val="Compact"/>
            </w:pPr>
            <w:r>
              <w:t xml:space="preserve">FOS, aerosolized COL</w:t>
            </w:r>
          </w:p>
        </w:tc>
        <w:tc>
          <w:tcPr/>
          <w:p>
            <w:pPr>
              <w:pStyle w:val="Compact"/>
            </w:pPr>
            <w:r>
              <w:t xml:space="preserve">N/A</w:t>
            </w:r>
          </w:p>
        </w:tc>
        <w:tc>
          <w:tcPr/>
          <w:p>
            <w:pPr>
              <w:pStyle w:val="BodyText"/>
            </w:pPr>
            <w:r>
              <w:t xml:space="preserve">Clinical cure</w:t>
            </w:r>
          </w:p>
          <w:p>
            <w:pPr>
              <w:pStyle w:val="BodyText"/>
            </w:pPr>
            <w:r>
              <w:t xml:space="preserve">Mono: 18%</w:t>
            </w:r>
          </w:p>
          <w:p>
            <w:pPr>
              <w:pStyle w:val="BodyText"/>
            </w:pPr>
            <w:r>
              <w:t xml:space="preserve">Combo: 36%</w:t>
            </w:r>
          </w:p>
          <w:p>
            <w:pPr>
              <w:pStyle w:val="BodyText"/>
            </w:pPr>
            <w:r>
              <w:t xml:space="preserve">P = N/A</w:t>
            </w:r>
          </w:p>
        </w:tc>
      </w:tr>
      <w:tr>
        <w:tc>
          <w:tcPr/>
          <w:p>
            <w:pPr>
              <w:pStyle w:val="Compact"/>
            </w:pPr>
            <w:r>
              <w:t xml:space="preserve">Buonomo, 2024</w:t>
            </w:r>
            <w:r>
              <w:t xml:space="preserve"> </w:t>
            </w:r>
            <w:r>
              <w:t xml:space="preserve">[35]</w:t>
            </w:r>
          </w:p>
        </w:tc>
        <w:tc>
          <w:tcPr/>
          <w:p>
            <w:pPr>
              <w:pStyle w:val="Compact"/>
            </w:pPr>
            <w:r>
              <w:t xml:space="preserve">P</w:t>
            </w:r>
          </w:p>
        </w:tc>
        <w:tc>
          <w:tcPr/>
          <w:p>
            <w:pPr>
              <w:pStyle w:val="Compact"/>
            </w:pPr>
            <w:r>
              <w:t xml:space="preserve">VAP, BSI, CLABSI</w:t>
            </w:r>
          </w:p>
        </w:tc>
        <w:tc>
          <w:tcPr/>
          <w:p>
            <w:pPr>
              <w:pStyle w:val="Compact"/>
            </w:pPr>
            <w:r>
              <w:t xml:space="preserve">CRAB</w:t>
            </w:r>
          </w:p>
        </w:tc>
        <w:tc>
          <w:tcPr/>
          <w:p>
            <w:pPr>
              <w:pStyle w:val="BodyText"/>
            </w:pPr>
            <w:r>
              <w:t xml:space="preserve">23</w:t>
            </w:r>
          </w:p>
          <w:p>
            <w:pPr>
              <w:pStyle w:val="BodyText"/>
            </w:pPr>
            <w:r>
              <w:t xml:space="preserve">Mono: 11 (48%)</w:t>
            </w:r>
          </w:p>
          <w:p>
            <w:pPr>
              <w:pStyle w:val="BodyText"/>
            </w:pPr>
            <w:r>
              <w:t xml:space="preserve">Combo:12 (52%)</w:t>
            </w:r>
          </w:p>
        </w:tc>
        <w:tc>
          <w:tcPr/>
          <w:p>
            <w:pPr>
              <w:pStyle w:val="Compact"/>
            </w:pPr>
            <w:r>
              <w:t xml:space="preserve">A-S, FOS, TGC</w:t>
            </w:r>
          </w:p>
        </w:tc>
        <w:tc>
          <w:tcPr/>
          <w:p>
            <w:pPr>
              <w:pStyle w:val="Compact"/>
            </w:pPr>
            <w:r>
              <w:t xml:space="preserve">N/A</w:t>
            </w:r>
          </w:p>
        </w:tc>
        <w:tc>
          <w:tcPr/>
          <w:p>
            <w:pPr>
              <w:pStyle w:val="BodyText"/>
            </w:pPr>
            <w:r>
              <w:t xml:space="preserve">Clinical cure</w:t>
            </w:r>
          </w:p>
          <w:p>
            <w:pPr>
              <w:pStyle w:val="BodyText"/>
            </w:pPr>
            <w:r>
              <w:t xml:space="preserve">Mono: 56%</w:t>
            </w:r>
          </w:p>
          <w:p>
            <w:pPr>
              <w:pStyle w:val="BodyText"/>
            </w:pPr>
            <w:r>
              <w:t xml:space="preserve">Combo: 44%</w:t>
            </w:r>
          </w:p>
          <w:p>
            <w:pPr>
              <w:pStyle w:val="BodyText"/>
            </w:pPr>
            <w:r>
              <w:t xml:space="preserve">P=NS</w:t>
            </w:r>
          </w:p>
        </w:tc>
      </w:tr>
      <w:tr>
        <w:tc>
          <w:tcPr/>
          <w:p>
            <w:pPr>
              <w:pStyle w:val="Compact"/>
            </w:pPr>
            <w:r>
              <w:t xml:space="preserve">Giacobbe, 2024</w:t>
            </w:r>
            <w:r>
              <w:t xml:space="preserve"> </w:t>
            </w:r>
            <w:r>
              <w:t xml:space="preserve">[36]</w:t>
            </w:r>
          </w:p>
        </w:tc>
        <w:tc>
          <w:tcPr/>
          <w:p>
            <w:pPr>
              <w:pStyle w:val="Compact"/>
            </w:pPr>
            <w:r>
              <w:t xml:space="preserve">P</w:t>
            </w:r>
          </w:p>
        </w:tc>
        <w:tc>
          <w:tcPr/>
          <w:p>
            <w:pPr>
              <w:pStyle w:val="Compact"/>
            </w:pPr>
            <w:r>
              <w:t xml:space="preserve">LRTI, BSI, SSTI, cIAI</w:t>
            </w:r>
          </w:p>
        </w:tc>
        <w:tc>
          <w:tcPr/>
          <w:p>
            <w:pPr>
              <w:pStyle w:val="Compact"/>
            </w:pPr>
            <w:r>
              <w:t xml:space="preserve">CRAB,</w:t>
            </w:r>
            <w:r>
              <w:t xml:space="preserve"> </w:t>
            </w:r>
            <w:r>
              <w:rPr>
                <w:i/>
                <w:iCs/>
              </w:rPr>
              <w:t xml:space="preserve">Pa, E</w:t>
            </w:r>
            <w:r>
              <w:t xml:space="preserve">, SMAL</w:t>
            </w:r>
          </w:p>
        </w:tc>
        <w:tc>
          <w:tcPr/>
          <w:p>
            <w:pPr>
              <w:pStyle w:val="BodyText"/>
            </w:pPr>
            <w:r>
              <w:t xml:space="preserve">200</w:t>
            </w:r>
          </w:p>
          <w:p>
            <w:pPr>
              <w:pStyle w:val="BodyText"/>
            </w:pPr>
            <w:r>
              <w:t xml:space="preserve">Mono: 101(51%)</w:t>
            </w:r>
          </w:p>
          <w:p>
            <w:pPr>
              <w:pStyle w:val="BodyText"/>
            </w:pPr>
            <w:r>
              <w:t xml:space="preserve">Combo 99 (50%)</w:t>
            </w:r>
          </w:p>
        </w:tc>
        <w:tc>
          <w:tcPr/>
          <w:p>
            <w:pPr>
              <w:pStyle w:val="Compact"/>
            </w:pPr>
            <w:r>
              <w:t xml:space="preserve">FOS, TGC, A-S, COL, AGs</w:t>
            </w:r>
          </w:p>
        </w:tc>
        <w:tc>
          <w:tcPr/>
          <w:p>
            <w:pPr>
              <w:pStyle w:val="Compact"/>
            </w:pPr>
            <w:r>
              <w:t xml:space="preserve">N/A</w:t>
            </w:r>
          </w:p>
        </w:tc>
        <w:tc>
          <w:tcPr/>
          <w:p>
            <w:pPr>
              <w:pStyle w:val="Compact"/>
            </w:pPr>
            <w:r>
              <w:t xml:space="preserve">N/A</w:t>
            </w:r>
          </w:p>
        </w:tc>
      </w:tr>
      <w:tr>
        <w:tc>
          <w:tcPr/>
          <w:p>
            <w:pPr>
              <w:pStyle w:val="Compact"/>
            </w:pPr>
            <w:r>
              <w:t xml:space="preserve">Falcone, 2022</w:t>
            </w:r>
            <w:r>
              <w:t xml:space="preserve"> </w:t>
            </w:r>
            <w:r>
              <w:t xml:space="preserve">[37]</w:t>
            </w:r>
          </w:p>
        </w:tc>
        <w:tc>
          <w:tcPr/>
          <w:p>
            <w:pPr>
              <w:pStyle w:val="Compact"/>
            </w:pPr>
            <w:r>
              <w:t xml:space="preserve">R</w:t>
            </w:r>
          </w:p>
        </w:tc>
        <w:tc>
          <w:tcPr/>
          <w:p>
            <w:pPr>
              <w:pStyle w:val="Compact"/>
            </w:pPr>
            <w:r>
              <w:t xml:space="preserve">BSI, VAP</w:t>
            </w:r>
          </w:p>
        </w:tc>
        <w:tc>
          <w:tcPr/>
          <w:p>
            <w:pPr>
              <w:pStyle w:val="Compact"/>
            </w:pPr>
            <w:r>
              <w:t xml:space="preserve">CRAB</w:t>
            </w:r>
          </w:p>
        </w:tc>
        <w:tc>
          <w:tcPr/>
          <w:p>
            <w:pPr>
              <w:pStyle w:val="BodyText"/>
            </w:pPr>
            <w:r>
              <w:t xml:space="preserve">47</w:t>
            </w:r>
          </w:p>
          <w:p>
            <w:pPr>
              <w:pStyle w:val="BodyText"/>
            </w:pPr>
            <w:r>
              <w:t xml:space="preserve">Mono: 15 (32%)</w:t>
            </w:r>
          </w:p>
          <w:p>
            <w:pPr>
              <w:pStyle w:val="BodyText"/>
            </w:pPr>
            <w:r>
              <w:t xml:space="preserve">Combo: 32 (68%)</w:t>
            </w:r>
          </w:p>
        </w:tc>
        <w:tc>
          <w:tcPr/>
          <w:p>
            <w:pPr>
              <w:pStyle w:val="Compact"/>
            </w:pPr>
            <w:r>
              <w:t xml:space="preserve">TGC, FOS, ERT, M-V, A-S</w:t>
            </w:r>
          </w:p>
        </w:tc>
        <w:tc>
          <w:tcPr/>
          <w:p>
            <w:pPr>
              <w:pStyle w:val="BodyText"/>
            </w:pPr>
            <w:r>
              <w:t xml:space="preserve">Failure</w:t>
            </w:r>
          </w:p>
          <w:p>
            <w:pPr>
              <w:pStyle w:val="BodyText"/>
            </w:pPr>
            <w:r>
              <w:t xml:space="preserve">Mono 40%</w:t>
            </w:r>
          </w:p>
          <w:p>
            <w:pPr>
              <w:pStyle w:val="BodyText"/>
            </w:pPr>
            <w:r>
              <w:t xml:space="preserve">Combo: 6%</w:t>
            </w:r>
          </w:p>
          <w:p>
            <w:pPr>
              <w:pStyle w:val="BodyText"/>
            </w:pPr>
            <w:r>
              <w:t xml:space="preserve">P &lt; 0.01</w:t>
            </w:r>
          </w:p>
        </w:tc>
        <w:tc>
          <w:tcPr/>
          <w:p>
            <w:pPr>
              <w:pStyle w:val="Compact"/>
            </w:pPr>
            <w:r>
              <w:t xml:space="preserve">N/A</w:t>
            </w:r>
          </w:p>
        </w:tc>
      </w:tr>
      <w:tr>
        <w:tc>
          <w:tcPr/>
          <w:p>
            <w:pPr>
              <w:pStyle w:val="Compact"/>
            </w:pPr>
            <w:r>
              <w:t xml:space="preserve">Mazzitelli, 2023</w:t>
            </w:r>
            <w:r>
              <w:t xml:space="preserve"> </w:t>
            </w:r>
            <w:r>
              <w:t xml:space="preserve">[38]</w:t>
            </w:r>
          </w:p>
        </w:tc>
        <w:tc>
          <w:tcPr/>
          <w:p>
            <w:pPr>
              <w:pStyle w:val="Compact"/>
            </w:pPr>
            <w:r>
              <w:t xml:space="preserve">R</w:t>
            </w:r>
          </w:p>
        </w:tc>
        <w:tc>
          <w:tcPr/>
          <w:p>
            <w:pPr>
              <w:pStyle w:val="Compact"/>
            </w:pPr>
            <w:r>
              <w:t xml:space="preserve">BSI, LRTI, cIAI, cUTI</w:t>
            </w:r>
          </w:p>
        </w:tc>
        <w:tc>
          <w:tcPr/>
          <w:p>
            <w:pPr>
              <w:pStyle w:val="Compact"/>
            </w:pPr>
            <w:r>
              <w:t xml:space="preserve">CRAB</w:t>
            </w:r>
          </w:p>
        </w:tc>
        <w:tc>
          <w:tcPr/>
          <w:p>
            <w:pPr>
              <w:pStyle w:val="BodyText"/>
            </w:pPr>
            <w:r>
              <w:t xml:space="preserve">60</w:t>
            </w:r>
          </w:p>
          <w:p>
            <w:pPr>
              <w:pStyle w:val="BodyText"/>
            </w:pPr>
            <w:r>
              <w:t xml:space="preserve">Mono: 30 (50%)</w:t>
            </w:r>
          </w:p>
          <w:p>
            <w:pPr>
              <w:pStyle w:val="BodyText"/>
            </w:pPr>
            <w:r>
              <w:t xml:space="preserve">Combo: 30 (50%)</w:t>
            </w:r>
          </w:p>
        </w:tc>
        <w:tc>
          <w:tcPr/>
          <w:p>
            <w:pPr>
              <w:pStyle w:val="Compact"/>
            </w:pPr>
            <w:r>
              <w:t xml:space="preserve">MER, TGC, FOS</w:t>
            </w:r>
          </w:p>
        </w:tc>
        <w:tc>
          <w:tcPr/>
          <w:p>
            <w:pPr>
              <w:pStyle w:val="BodyText"/>
            </w:pPr>
            <w:r>
              <w:t xml:space="preserve">Cure</w:t>
            </w:r>
          </w:p>
          <w:p>
            <w:pPr>
              <w:pStyle w:val="BodyText"/>
            </w:pPr>
            <w:r>
              <w:t xml:space="preserve">Mono: 50%</w:t>
            </w:r>
          </w:p>
          <w:p>
            <w:pPr>
              <w:pStyle w:val="BodyText"/>
            </w:pPr>
            <w:r>
              <w:t xml:space="preserve">Combo: 37%</w:t>
            </w:r>
          </w:p>
          <w:p>
            <w:pPr>
              <w:pStyle w:val="BodyText"/>
            </w:pPr>
            <w:r>
              <w:t xml:space="preserve">P = 0.03</w:t>
            </w:r>
          </w:p>
        </w:tc>
        <w:tc>
          <w:tcPr/>
          <w:p>
            <w:pPr>
              <w:pStyle w:val="BodyText"/>
            </w:pPr>
            <w:r>
              <w:t xml:space="preserve">Clinical cure</w:t>
            </w:r>
          </w:p>
          <w:p>
            <w:pPr>
              <w:pStyle w:val="BodyText"/>
            </w:pPr>
            <w:r>
              <w:t xml:space="preserve">Mono: 33%</w:t>
            </w:r>
          </w:p>
          <w:p>
            <w:pPr>
              <w:pStyle w:val="BodyText"/>
            </w:pPr>
            <w:r>
              <w:t xml:space="preserve">Combo: 53%</w:t>
            </w:r>
          </w:p>
          <w:p>
            <w:pPr>
              <w:pStyle w:val="BodyText"/>
            </w:pPr>
            <w:r>
              <w:t xml:space="preserve">P = NS</w:t>
            </w:r>
          </w:p>
        </w:tc>
      </w:tr>
      <w:tr>
        <w:tc>
          <w:tcPr/>
          <w:p>
            <w:pPr>
              <w:pStyle w:val="Compact"/>
            </w:pPr>
            <w:r>
              <w:t xml:space="preserve">Russo, 2023</w:t>
            </w:r>
            <w:r>
              <w:t xml:space="preserve"> </w:t>
            </w:r>
            <w:r>
              <w:t xml:space="preserve">[39]</w:t>
            </w:r>
          </w:p>
        </w:tc>
        <w:tc>
          <w:tcPr/>
          <w:p>
            <w:pPr>
              <w:pStyle w:val="Compact"/>
            </w:pPr>
            <w:r>
              <w:t xml:space="preserve">R</w:t>
            </w:r>
          </w:p>
        </w:tc>
        <w:tc>
          <w:tcPr/>
          <w:p>
            <w:pPr>
              <w:pStyle w:val="Compact"/>
            </w:pPr>
            <w:r>
              <w:t xml:space="preserve">bacteriemic VAP</w:t>
            </w:r>
          </w:p>
        </w:tc>
        <w:tc>
          <w:tcPr/>
          <w:p>
            <w:pPr>
              <w:pStyle w:val="Compact"/>
            </w:pPr>
            <w:r>
              <w:t xml:space="preserve">CRAB</w:t>
            </w:r>
          </w:p>
        </w:tc>
        <w:tc>
          <w:tcPr/>
          <w:p>
            <w:pPr>
              <w:pStyle w:val="BodyText"/>
            </w:pPr>
            <w:r>
              <w:t xml:space="preserve">19</w:t>
            </w:r>
          </w:p>
          <w:p>
            <w:pPr>
              <w:pStyle w:val="BodyText"/>
            </w:pPr>
            <w:r>
              <w:t xml:space="preserve">Mono: 0 (0%)</w:t>
            </w:r>
          </w:p>
          <w:p>
            <w:pPr>
              <w:pStyle w:val="BodyText"/>
            </w:pPr>
            <w:r>
              <w:t xml:space="preserve">Combo: 19 (100%)</w:t>
            </w:r>
          </w:p>
        </w:tc>
        <w:tc>
          <w:tcPr/>
          <w:p>
            <w:pPr>
              <w:pStyle w:val="Compact"/>
            </w:pPr>
            <w:r>
              <w:t xml:space="preserve">TGC, FOS, TMP/SMX, A-S</w:t>
            </w:r>
          </w:p>
        </w:tc>
        <w:tc>
          <w:tcPr/>
          <w:p>
            <w:pPr>
              <w:pStyle w:val="Compact"/>
            </w:pPr>
            <w:r>
              <w:t xml:space="preserve">N/A</w:t>
            </w:r>
          </w:p>
        </w:tc>
        <w:tc>
          <w:tcPr/>
          <w:p>
            <w:pPr>
              <w:pStyle w:val="Compact"/>
            </w:pPr>
            <w:r>
              <w:t xml:space="preserve">30-day survival higher for cefiderocol-based regimens (HR 0.34, 95% CI 0.18–0.56; P &lt; 0.001) and cefiderocol + fosfomycin (HR 0.22, 95% CI 0.1–0.55; P &lt; 0.001)</w:t>
            </w:r>
          </w:p>
        </w:tc>
      </w:tr>
      <w:tr>
        <w:tc>
          <w:tcPr/>
          <w:p>
            <w:pPr>
              <w:pStyle w:val="Compact"/>
            </w:pPr>
            <w:r>
              <w:t xml:space="preserve">Bavaro, 2023</w:t>
            </w:r>
            <w:r>
              <w:t xml:space="preserve"> </w:t>
            </w:r>
            <w:r>
              <w:t xml:space="preserve">[40]</w:t>
            </w:r>
          </w:p>
        </w:tc>
        <w:tc>
          <w:tcPr/>
          <w:p>
            <w:pPr>
              <w:pStyle w:val="Compact"/>
            </w:pPr>
            <w:r>
              <w:t xml:space="preserve">R</w:t>
            </w:r>
          </w:p>
        </w:tc>
        <w:tc>
          <w:tcPr/>
          <w:p>
            <w:pPr>
              <w:pStyle w:val="Compact"/>
            </w:pPr>
            <w:r>
              <w:t xml:space="preserve">BSI</w:t>
            </w:r>
          </w:p>
        </w:tc>
        <w:tc>
          <w:tcPr/>
          <w:p>
            <w:pPr>
              <w:pStyle w:val="Compact"/>
            </w:pPr>
            <w:r>
              <w:t xml:space="preserve">CRAB</w:t>
            </w:r>
          </w:p>
        </w:tc>
        <w:tc>
          <w:tcPr/>
          <w:p>
            <w:pPr>
              <w:pStyle w:val="BodyText"/>
            </w:pPr>
            <w:r>
              <w:t xml:space="preserve">43</w:t>
            </w:r>
          </w:p>
          <w:p>
            <w:pPr>
              <w:pStyle w:val="BodyText"/>
            </w:pPr>
            <w:r>
              <w:t xml:space="preserve">Mono: 16 (37%)</w:t>
            </w:r>
          </w:p>
          <w:p>
            <w:pPr>
              <w:pStyle w:val="BodyText"/>
            </w:pPr>
            <w:r>
              <w:t xml:space="preserve">Combo: 27 (63%)</w:t>
            </w:r>
          </w:p>
        </w:tc>
        <w:tc>
          <w:tcPr/>
          <w:p>
            <w:pPr>
              <w:pStyle w:val="Compact"/>
            </w:pPr>
            <w:r>
              <w:t xml:space="preserve">FOS, A-S</w:t>
            </w:r>
          </w:p>
        </w:tc>
        <w:tc>
          <w:tcPr/>
          <w:p>
            <w:pPr>
              <w:pStyle w:val="BodyText"/>
            </w:pPr>
            <w:r>
              <w:t xml:space="preserve">Resistance development</w:t>
            </w:r>
          </w:p>
          <w:p>
            <w:pPr>
              <w:pStyle w:val="BodyText"/>
            </w:pPr>
            <w:r>
              <w:t xml:space="preserve">Mono: 13%</w:t>
            </w:r>
          </w:p>
          <w:p>
            <w:pPr>
              <w:pStyle w:val="BodyText"/>
            </w:pPr>
            <w:r>
              <w:t xml:space="preserve">Combo: 0%</w:t>
            </w:r>
          </w:p>
          <w:p>
            <w:pPr>
              <w:pStyle w:val="BodyText"/>
            </w:pPr>
            <w:r>
              <w:t xml:space="preserve">P = N/A</w:t>
            </w:r>
          </w:p>
        </w:tc>
        <w:tc>
          <w:tcPr/>
          <w:p>
            <w:pPr>
              <w:pStyle w:val="BodyText"/>
            </w:pPr>
            <w:r>
              <w:t xml:space="preserve">30-day mortality similar in mono vs. combo</w:t>
            </w:r>
          </w:p>
          <w:p>
            <w:pPr>
              <w:pStyle w:val="BodyText"/>
            </w:pPr>
            <w:r>
              <w:t xml:space="preserve">(HR = 0.81, 95% CI 0.39–1.66) and lower for cefiderocol + fosfomycin (HR = 0.43, 95% CI 0.22–0.81)</w:t>
            </w:r>
          </w:p>
        </w:tc>
      </w:tr>
      <w:tr>
        <w:tc>
          <w:tcPr/>
          <w:p>
            <w:pPr>
              <w:pStyle w:val="Compact"/>
            </w:pPr>
            <w:r>
              <w:t xml:space="preserve">Piccica, 2023</w:t>
            </w:r>
            <w:r>
              <w:t xml:space="preserve"> </w:t>
            </w:r>
            <w:r>
              <w:t xml:space="preserve">[41]</w:t>
            </w:r>
          </w:p>
        </w:tc>
        <w:tc>
          <w:tcPr/>
          <w:p>
            <w:pPr>
              <w:pStyle w:val="Compact"/>
            </w:pPr>
            <w:r>
              <w:t xml:space="preserve">R</w:t>
            </w:r>
          </w:p>
        </w:tc>
        <w:tc>
          <w:tcPr/>
          <w:p>
            <w:pPr>
              <w:pStyle w:val="Compact"/>
            </w:pPr>
            <w:r>
              <w:t xml:space="preserve">BSI, VAP, cIAI, cUTI</w:t>
            </w:r>
          </w:p>
        </w:tc>
        <w:tc>
          <w:tcPr/>
          <w:p>
            <w:pPr>
              <w:pStyle w:val="Compact"/>
            </w:pPr>
            <w:r>
              <w:t xml:space="preserve">CRAB,</w:t>
            </w:r>
            <w:r>
              <w:t xml:space="preserve"> </w:t>
            </w:r>
            <w:r>
              <w:rPr>
                <w:i/>
                <w:iCs/>
              </w:rPr>
              <w:t xml:space="preserve">Kp</w:t>
            </w:r>
            <w:r>
              <w:t xml:space="preserve">,</w:t>
            </w:r>
            <w:r>
              <w:t xml:space="preserve"> </w:t>
            </w:r>
            <w:r>
              <w:rPr>
                <w:i/>
                <w:iCs/>
              </w:rPr>
              <w:t xml:space="preserve">Pa</w:t>
            </w:r>
          </w:p>
        </w:tc>
        <w:tc>
          <w:tcPr/>
          <w:p>
            <w:pPr>
              <w:pStyle w:val="BodyText"/>
            </w:pPr>
            <w:r>
              <w:t xml:space="preserve">142</w:t>
            </w:r>
          </w:p>
          <w:p>
            <w:pPr>
              <w:pStyle w:val="BodyText"/>
            </w:pPr>
            <w:r>
              <w:t xml:space="preserve">Mono: 70 (49%)</w:t>
            </w:r>
          </w:p>
          <w:p>
            <w:pPr>
              <w:pStyle w:val="BodyText"/>
            </w:pPr>
            <w:r>
              <w:t xml:space="preserve">Combo: 72 (51%)</w:t>
            </w:r>
          </w:p>
        </w:tc>
        <w:tc>
          <w:tcPr/>
          <w:p>
            <w:pPr>
              <w:pStyle w:val="Compact"/>
            </w:pPr>
            <w:r>
              <w:t xml:space="preserve">FOS, COL</w:t>
            </w:r>
          </w:p>
        </w:tc>
        <w:tc>
          <w:tcPr/>
          <w:p>
            <w:pPr>
              <w:pStyle w:val="BodyText"/>
            </w:pPr>
            <w:r>
              <w:t xml:space="preserve">Cure</w:t>
            </w:r>
          </w:p>
          <w:p>
            <w:pPr>
              <w:pStyle w:val="BodyText"/>
            </w:pPr>
            <w:r>
              <w:t xml:space="preserve">Mono: 87%</w:t>
            </w:r>
          </w:p>
          <w:p>
            <w:pPr>
              <w:pStyle w:val="BodyText"/>
            </w:pPr>
            <w:r>
              <w:t xml:space="preserve">Combo: 60%</w:t>
            </w:r>
          </w:p>
          <w:p>
            <w:pPr>
              <w:pStyle w:val="BodyText"/>
            </w:pPr>
            <w:r>
              <w:t xml:space="preserve">P = N/A</w:t>
            </w:r>
          </w:p>
        </w:tc>
        <w:tc>
          <w:tcPr/>
          <w:p>
            <w:pPr>
              <w:pStyle w:val="BodyText"/>
            </w:pPr>
            <w:r>
              <w:t xml:space="preserve">Clinical cure</w:t>
            </w:r>
          </w:p>
          <w:p>
            <w:pPr>
              <w:pStyle w:val="BodyText"/>
            </w:pPr>
            <w:r>
              <w:t xml:space="preserve">Mono: 58%</w:t>
            </w:r>
          </w:p>
          <w:p>
            <w:pPr>
              <w:pStyle w:val="BodyText"/>
            </w:pPr>
            <w:r>
              <w:t xml:space="preserve">Combo: 50%</w:t>
            </w:r>
          </w:p>
          <w:p>
            <w:pPr>
              <w:pStyle w:val="BodyText"/>
            </w:pPr>
            <w:r>
              <w:t xml:space="preserve">30-day mortality</w:t>
            </w:r>
          </w:p>
          <w:p>
            <w:pPr>
              <w:pStyle w:val="BodyText"/>
            </w:pPr>
            <w:r>
              <w:t xml:space="preserve">Mono: 36%</w:t>
            </w:r>
          </w:p>
          <w:p>
            <w:pPr>
              <w:pStyle w:val="BodyText"/>
            </w:pPr>
            <w:r>
              <w:t xml:space="preserve">Combo: 40%</w:t>
            </w:r>
          </w:p>
          <w:p>
            <w:pPr>
              <w:pStyle w:val="BodyText"/>
            </w:pPr>
            <w:r>
              <w:t xml:space="preserve">P=NS</w:t>
            </w:r>
          </w:p>
        </w:tc>
      </w:tr>
      <w:tr>
        <w:tc>
          <w:tcPr/>
          <w:p>
            <w:pPr>
              <w:pStyle w:val="Compact"/>
            </w:pPr>
            <w:r>
              <w:t xml:space="preserve">Palermo, 2023</w:t>
            </w:r>
            <w:r>
              <w:t xml:space="preserve"> </w:t>
            </w:r>
            <w:r>
              <w:t xml:space="preserve">[42]</w:t>
            </w:r>
          </w:p>
        </w:tc>
        <w:tc>
          <w:tcPr/>
          <w:p>
            <w:pPr>
              <w:pStyle w:val="Compact"/>
            </w:pPr>
            <w:r>
              <w:t xml:space="preserve">R</w:t>
            </w:r>
          </w:p>
        </w:tc>
        <w:tc>
          <w:tcPr/>
          <w:p>
            <w:pPr>
              <w:pStyle w:val="Compact"/>
            </w:pPr>
            <w:r>
              <w:t xml:space="preserve">HAP, BSI, cUTI, cIAI, SSTI</w:t>
            </w:r>
          </w:p>
        </w:tc>
        <w:tc>
          <w:tcPr/>
          <w:p>
            <w:pPr>
              <w:pStyle w:val="Compact"/>
            </w:pPr>
            <w:r>
              <w:t xml:space="preserve">CRAB,</w:t>
            </w:r>
            <w:r>
              <w:t xml:space="preserve"> </w:t>
            </w:r>
            <w:r>
              <w:rPr>
                <w:i/>
                <w:iCs/>
              </w:rPr>
              <w:t xml:space="preserve">Kp</w:t>
            </w:r>
            <w:r>
              <w:t xml:space="preserve">,</w:t>
            </w:r>
            <w:r>
              <w:t xml:space="preserve"> </w:t>
            </w:r>
            <w:r>
              <w:rPr>
                <w:i/>
                <w:iCs/>
              </w:rPr>
              <w:t xml:space="preserve">Pa</w:t>
            </w:r>
          </w:p>
        </w:tc>
        <w:tc>
          <w:tcPr/>
          <w:p>
            <w:pPr>
              <w:pStyle w:val="BodyText"/>
            </w:pPr>
            <w:r>
              <w:t xml:space="preserve">41</w:t>
            </w:r>
          </w:p>
          <w:p>
            <w:pPr>
              <w:pStyle w:val="BodyText"/>
            </w:pPr>
            <w:r>
              <w:t xml:space="preserve">Mono: 31 (76%)</w:t>
            </w:r>
          </w:p>
          <w:p>
            <w:pPr>
              <w:pStyle w:val="BodyText"/>
            </w:pPr>
            <w:r>
              <w:t xml:space="preserve">Combo: 10 (24%)</w:t>
            </w:r>
          </w:p>
        </w:tc>
        <w:tc>
          <w:tcPr/>
          <w:p>
            <w:pPr>
              <w:pStyle w:val="Compact"/>
            </w:pPr>
            <w:r>
              <w:t xml:space="preserve">FOS, COL</w:t>
            </w:r>
          </w:p>
        </w:tc>
        <w:tc>
          <w:tcPr/>
          <w:p>
            <w:pPr>
              <w:pStyle w:val="BodyText"/>
            </w:pPr>
            <w:r>
              <w:t xml:space="preserve">Cure</w:t>
            </w:r>
          </w:p>
          <w:p>
            <w:pPr>
              <w:pStyle w:val="BodyText"/>
            </w:pPr>
            <w:r>
              <w:t xml:space="preserve">Mono: 87%</w:t>
            </w:r>
          </w:p>
          <w:p>
            <w:pPr>
              <w:pStyle w:val="BodyText"/>
            </w:pPr>
            <w:r>
              <w:t xml:space="preserve">Combo: 60%</w:t>
            </w:r>
          </w:p>
          <w:p>
            <w:pPr>
              <w:pStyle w:val="BodyText"/>
            </w:pPr>
            <w:r>
              <w:t xml:space="preserve">P = N/A</w:t>
            </w:r>
          </w:p>
        </w:tc>
        <w:tc>
          <w:tcPr/>
          <w:p>
            <w:pPr>
              <w:pStyle w:val="BodyText"/>
            </w:pPr>
            <w:r>
              <w:t xml:space="preserve">Clinical cure</w:t>
            </w:r>
          </w:p>
          <w:p>
            <w:pPr>
              <w:pStyle w:val="BodyText"/>
            </w:pPr>
            <w:r>
              <w:t xml:space="preserve">Mono: 58%</w:t>
            </w:r>
          </w:p>
          <w:p>
            <w:pPr>
              <w:pStyle w:val="BodyText"/>
            </w:pPr>
            <w:r>
              <w:t xml:space="preserve">Combo: 50%</w:t>
            </w:r>
          </w:p>
          <w:p>
            <w:pPr>
              <w:pStyle w:val="BodyText"/>
            </w:pPr>
            <w:r>
              <w:t xml:space="preserve">30-day mortality</w:t>
            </w:r>
          </w:p>
          <w:p>
            <w:pPr>
              <w:pStyle w:val="BodyText"/>
            </w:pPr>
            <w:r>
              <w:t xml:space="preserve">Mono: 36%</w:t>
            </w:r>
          </w:p>
          <w:p>
            <w:pPr>
              <w:pStyle w:val="BodyText"/>
            </w:pPr>
            <w:r>
              <w:t xml:space="preserve">Combo: 40%</w:t>
            </w:r>
          </w:p>
          <w:p>
            <w:pPr>
              <w:pStyle w:val="BodyText"/>
            </w:pPr>
            <w:r>
              <w:t xml:space="preserve">P = NS</w:t>
            </w:r>
          </w:p>
        </w:tc>
      </w:tr>
      <w:tr>
        <w:tc>
          <w:tcPr/>
          <w:p>
            <w:pPr>
              <w:pStyle w:val="Compact"/>
            </w:pPr>
            <w:r>
              <w:t xml:space="preserve">Calò, 2023</w:t>
            </w:r>
            <w:r>
              <w:t xml:space="preserve"> </w:t>
            </w:r>
            <w:r>
              <w:t xml:space="preserve">[43]</w:t>
            </w:r>
          </w:p>
        </w:tc>
        <w:tc>
          <w:tcPr/>
          <w:p>
            <w:pPr>
              <w:pStyle w:val="Compact"/>
            </w:pPr>
            <w:r>
              <w:t xml:space="preserve">R</w:t>
            </w:r>
          </w:p>
        </w:tc>
        <w:tc>
          <w:tcPr/>
          <w:p>
            <w:pPr>
              <w:pStyle w:val="Compact"/>
            </w:pPr>
            <w:r>
              <w:t xml:space="preserve">LRTI, CLABSI</w:t>
            </w:r>
          </w:p>
        </w:tc>
        <w:tc>
          <w:tcPr/>
          <w:p>
            <w:pPr>
              <w:pStyle w:val="Compact"/>
            </w:pPr>
            <w:r>
              <w:t xml:space="preserve">CRAB</w:t>
            </w:r>
          </w:p>
        </w:tc>
        <w:tc>
          <w:tcPr/>
          <w:p>
            <w:pPr>
              <w:pStyle w:val="BodyText"/>
            </w:pPr>
            <w:r>
              <w:t xml:space="preserve">40</w:t>
            </w:r>
          </w:p>
          <w:p>
            <w:pPr>
              <w:pStyle w:val="BodyText"/>
            </w:pPr>
            <w:r>
              <w:t xml:space="preserve">Mono: 29 (73%)</w:t>
            </w:r>
          </w:p>
          <w:p>
            <w:pPr>
              <w:pStyle w:val="BodyText"/>
            </w:pPr>
            <w:r>
              <w:t xml:space="preserve">Combo: 11 (28%)</w:t>
            </w:r>
          </w:p>
        </w:tc>
        <w:tc>
          <w:tcPr/>
          <w:p>
            <w:pPr>
              <w:pStyle w:val="Compact"/>
            </w:pPr>
            <w:r>
              <w:t xml:space="preserve">A-S, FOS, TGC, AMK</w:t>
            </w:r>
          </w:p>
        </w:tc>
        <w:tc>
          <w:tcPr/>
          <w:p>
            <w:pPr>
              <w:pStyle w:val="BodyText"/>
            </w:pPr>
            <w:r>
              <w:t xml:space="preserve">Failure</w:t>
            </w:r>
          </w:p>
          <w:p>
            <w:pPr>
              <w:pStyle w:val="BodyText"/>
            </w:pPr>
            <w:r>
              <w:t xml:space="preserve">Mono: 14%</w:t>
            </w:r>
          </w:p>
          <w:p>
            <w:pPr>
              <w:pStyle w:val="BodyText"/>
            </w:pPr>
            <w:r>
              <w:t xml:space="preserve">Combo: 0%</w:t>
            </w:r>
          </w:p>
          <w:p>
            <w:pPr>
              <w:pStyle w:val="BodyText"/>
            </w:pPr>
            <w:r>
              <w:t xml:space="preserve">P = N/A</w:t>
            </w:r>
          </w:p>
        </w:tc>
        <w:tc>
          <w:tcPr/>
          <w:p>
            <w:pPr>
              <w:pStyle w:val="BodyText"/>
            </w:pPr>
            <w:r>
              <w:t xml:space="preserve">Clinical cure</w:t>
            </w:r>
          </w:p>
          <w:p>
            <w:pPr>
              <w:pStyle w:val="BodyText"/>
            </w:pPr>
            <w:r>
              <w:t xml:space="preserve">Mono: 42%</w:t>
            </w:r>
          </w:p>
          <w:p>
            <w:pPr>
              <w:pStyle w:val="BodyText"/>
            </w:pPr>
            <w:r>
              <w:t xml:space="preserve">Combo: 64%</w:t>
            </w:r>
          </w:p>
          <w:p>
            <w:pPr>
              <w:pStyle w:val="BodyText"/>
            </w:pPr>
            <w:r>
              <w:t xml:space="preserve">30-day mortality</w:t>
            </w:r>
          </w:p>
          <w:p>
            <w:pPr>
              <w:pStyle w:val="BodyText"/>
            </w:pPr>
            <w:r>
              <w:t xml:space="preserve">Mono: 52%</w:t>
            </w:r>
          </w:p>
          <w:p>
            <w:pPr>
              <w:pStyle w:val="BodyText"/>
            </w:pPr>
            <w:r>
              <w:t xml:space="preserve">Combo: 46%</w:t>
            </w:r>
          </w:p>
          <w:p>
            <w:pPr>
              <w:pStyle w:val="BodyText"/>
            </w:pPr>
            <w:r>
              <w:t xml:space="preserve">P = NS</w:t>
            </w:r>
          </w:p>
        </w:tc>
      </w:tr>
      <w:tr>
        <w:tc>
          <w:tcPr/>
          <w:p>
            <w:pPr>
              <w:pStyle w:val="Compact"/>
            </w:pPr>
            <w:r>
              <w:t xml:space="preserve">Giannella, 2023</w:t>
            </w:r>
            <w:r>
              <w:t xml:space="preserve"> </w:t>
            </w:r>
            <w:r>
              <w:t xml:space="preserve">[44]</w:t>
            </w:r>
          </w:p>
        </w:tc>
        <w:tc>
          <w:tcPr/>
          <w:p>
            <w:pPr>
              <w:pStyle w:val="Compact"/>
            </w:pPr>
            <w:r>
              <w:t xml:space="preserve">R</w:t>
            </w:r>
          </w:p>
        </w:tc>
        <w:tc>
          <w:tcPr/>
          <w:p>
            <w:pPr>
              <w:pStyle w:val="Compact"/>
            </w:pPr>
            <w:r>
              <w:t xml:space="preserve">VAP, BSI, CLABSI</w:t>
            </w:r>
          </w:p>
        </w:tc>
        <w:tc>
          <w:tcPr/>
          <w:p>
            <w:pPr>
              <w:pStyle w:val="Compact"/>
            </w:pPr>
            <w:r>
              <w:t xml:space="preserve">CRAB</w:t>
            </w:r>
          </w:p>
        </w:tc>
        <w:tc>
          <w:tcPr/>
          <w:p>
            <w:pPr>
              <w:pStyle w:val="BodyText"/>
            </w:pPr>
            <w:r>
              <w:t xml:space="preserve">147</w:t>
            </w:r>
          </w:p>
          <w:p>
            <w:pPr>
              <w:pStyle w:val="BodyText"/>
            </w:pPr>
            <w:r>
              <w:t xml:space="preserve">Mono: 49 (33%)</w:t>
            </w:r>
          </w:p>
          <w:p>
            <w:pPr>
              <w:pStyle w:val="BodyText"/>
            </w:pPr>
            <w:r>
              <w:t xml:space="preserve">Combo: 98 (67%)</w:t>
            </w:r>
          </w:p>
        </w:tc>
        <w:tc>
          <w:tcPr/>
          <w:p>
            <w:pPr>
              <w:pStyle w:val="Compact"/>
            </w:pPr>
            <w:r>
              <w:t xml:space="preserve">FOS, COL, TGC, MER, A-S</w:t>
            </w:r>
          </w:p>
        </w:tc>
        <w:tc>
          <w:tcPr/>
          <w:p>
            <w:pPr>
              <w:pStyle w:val="Compact"/>
            </w:pPr>
            <w:r>
              <w:t xml:space="preserve">N/A</w:t>
            </w:r>
          </w:p>
        </w:tc>
        <w:tc>
          <w:tcPr/>
          <w:p>
            <w:pPr>
              <w:pStyle w:val="BodyText"/>
            </w:pPr>
            <w:r>
              <w:t xml:space="preserve">Clinical cure</w:t>
            </w:r>
          </w:p>
          <w:p>
            <w:pPr>
              <w:pStyle w:val="BodyText"/>
            </w:pPr>
            <w:r>
              <w:t xml:space="preserve">Mono: 61%</w:t>
            </w:r>
          </w:p>
          <w:p>
            <w:pPr>
              <w:pStyle w:val="BodyText"/>
            </w:pPr>
            <w:r>
              <w:t xml:space="preserve">Combo: 49%</w:t>
            </w:r>
          </w:p>
          <w:p>
            <w:pPr>
              <w:pStyle w:val="BodyText"/>
            </w:pPr>
            <w:r>
              <w:t xml:space="preserve">28-day survival</w:t>
            </w:r>
          </w:p>
          <w:p>
            <w:pPr>
              <w:pStyle w:val="BodyText"/>
            </w:pPr>
            <w:r>
              <w:t xml:space="preserve">Mono: 53%</w:t>
            </w:r>
          </w:p>
          <w:p>
            <w:pPr>
              <w:pStyle w:val="BodyText"/>
            </w:pPr>
            <w:r>
              <w:t xml:space="preserve">Combo: 41%</w:t>
            </w:r>
          </w:p>
          <w:p>
            <w:pPr>
              <w:pStyle w:val="BodyText"/>
            </w:pPr>
            <w:r>
              <w:t xml:space="preserve">P = N/A</w:t>
            </w:r>
          </w:p>
        </w:tc>
      </w:tr>
      <w:tr>
        <w:tc>
          <w:tcPr/>
          <w:p>
            <w:pPr>
              <w:pStyle w:val="Compact"/>
            </w:pPr>
            <w:r>
              <w:t xml:space="preserve">Gavghan, 2023</w:t>
            </w:r>
            <w:r>
              <w:t xml:space="preserve"> </w:t>
            </w:r>
            <w:r>
              <w:t xml:space="preserve">[45]</w:t>
            </w:r>
          </w:p>
        </w:tc>
        <w:tc>
          <w:tcPr/>
          <w:p>
            <w:pPr>
              <w:pStyle w:val="Compact"/>
            </w:pPr>
            <w:r>
              <w:t xml:space="preserve">R</w:t>
            </w:r>
          </w:p>
        </w:tc>
        <w:tc>
          <w:tcPr/>
          <w:p>
            <w:pPr>
              <w:pStyle w:val="Compact"/>
            </w:pPr>
            <w:r>
              <w:t xml:space="preserve">LRTI</w:t>
            </w:r>
          </w:p>
        </w:tc>
        <w:tc>
          <w:tcPr/>
          <w:p>
            <w:pPr>
              <w:pStyle w:val="Compact"/>
            </w:pPr>
            <w:r>
              <w:t xml:space="preserve">CRAB,</w:t>
            </w:r>
            <w:r>
              <w:t xml:space="preserve"> </w:t>
            </w:r>
            <w:r>
              <w:rPr>
                <w:i/>
                <w:iCs/>
              </w:rPr>
              <w:t xml:space="preserve">Pa</w:t>
            </w:r>
          </w:p>
        </w:tc>
        <w:tc>
          <w:tcPr/>
          <w:p>
            <w:pPr>
              <w:pStyle w:val="BodyText"/>
            </w:pPr>
            <w:r>
              <w:t xml:space="preserve">24</w:t>
            </w:r>
          </w:p>
          <w:p>
            <w:pPr>
              <w:pStyle w:val="BodyText"/>
            </w:pPr>
            <w:r>
              <w:t xml:space="preserve">Mono: 16 (67%)</w:t>
            </w:r>
          </w:p>
          <w:p>
            <w:pPr>
              <w:pStyle w:val="BodyText"/>
            </w:pPr>
            <w:r>
              <w:t xml:space="preserve">Combo: 8 (33%)</w:t>
            </w:r>
          </w:p>
        </w:tc>
        <w:tc>
          <w:tcPr/>
          <w:p>
            <w:pPr>
              <w:pStyle w:val="Compact"/>
            </w:pPr>
            <w:r>
              <w:t xml:space="preserve">TGC, GEN, COL, TOB, MIN</w:t>
            </w:r>
          </w:p>
        </w:tc>
        <w:tc>
          <w:tcPr/>
          <w:p>
            <w:pPr>
              <w:pStyle w:val="Compact"/>
            </w:pPr>
            <w:r>
              <w:t xml:space="preserve">N/A</w:t>
            </w:r>
          </w:p>
        </w:tc>
        <w:tc>
          <w:tcPr/>
          <w:p>
            <w:pPr>
              <w:pStyle w:val="BodyText"/>
            </w:pPr>
            <w:r>
              <w:t xml:space="preserve">28-day mortality</w:t>
            </w:r>
          </w:p>
          <w:p>
            <w:pPr>
              <w:pStyle w:val="BodyText"/>
            </w:pPr>
            <w:r>
              <w:t xml:space="preserve">Mono: 25%</w:t>
            </w:r>
          </w:p>
          <w:p>
            <w:pPr>
              <w:pStyle w:val="BodyText"/>
            </w:pPr>
            <w:r>
              <w:t xml:space="preserve">Combo: 0%</w:t>
            </w:r>
          </w:p>
        </w:tc>
      </w:tr>
      <w:tr>
        <w:tc>
          <w:tcPr/>
          <w:p>
            <w:pPr>
              <w:pStyle w:val="Compact"/>
            </w:pPr>
            <w:r>
              <w:t xml:space="preserve">Frattari, 2024</w:t>
            </w:r>
            <w:r>
              <w:t xml:space="preserve"> </w:t>
            </w:r>
            <w:r>
              <w:t xml:space="preserve">[46]</w:t>
            </w:r>
          </w:p>
        </w:tc>
        <w:tc>
          <w:tcPr/>
          <w:p>
            <w:pPr>
              <w:pStyle w:val="Compact"/>
            </w:pPr>
            <w:r>
              <w:t xml:space="preserve">R</w:t>
            </w:r>
          </w:p>
        </w:tc>
        <w:tc>
          <w:tcPr/>
          <w:p>
            <w:pPr>
              <w:pStyle w:val="Compact"/>
            </w:pPr>
            <w:r>
              <w:t xml:space="preserve">Sepsis</w:t>
            </w:r>
          </w:p>
        </w:tc>
        <w:tc>
          <w:tcPr/>
          <w:p>
            <w:pPr>
              <w:pStyle w:val="Compact"/>
            </w:pPr>
            <w:r>
              <w:t xml:space="preserve">CRAB</w:t>
            </w:r>
          </w:p>
        </w:tc>
        <w:tc>
          <w:tcPr/>
          <w:p>
            <w:pPr>
              <w:pStyle w:val="BodyText"/>
            </w:pPr>
            <w:r>
              <w:t xml:space="preserve">36</w:t>
            </w:r>
          </w:p>
          <w:p>
            <w:pPr>
              <w:pStyle w:val="BodyText"/>
            </w:pPr>
            <w:r>
              <w:t xml:space="preserve">Mono:16 (44%)</w:t>
            </w:r>
          </w:p>
          <w:p>
            <w:pPr>
              <w:pStyle w:val="BodyText"/>
            </w:pPr>
            <w:r>
              <w:t xml:space="preserve">Combo 22 (61%)</w:t>
            </w:r>
          </w:p>
        </w:tc>
        <w:tc>
          <w:tcPr/>
          <w:p>
            <w:pPr>
              <w:pStyle w:val="Compact"/>
            </w:pPr>
            <w:r>
              <w:t xml:space="preserve">N/A</w:t>
            </w:r>
          </w:p>
        </w:tc>
        <w:tc>
          <w:tcPr/>
          <w:p>
            <w:pPr>
              <w:pStyle w:val="Compact"/>
            </w:pPr>
            <w:r>
              <w:t xml:space="preserve">N/A</w:t>
            </w:r>
          </w:p>
        </w:tc>
        <w:tc>
          <w:tcPr/>
          <w:p>
            <w:pPr>
              <w:pStyle w:val="BodyText"/>
            </w:pPr>
            <w:r>
              <w:t xml:space="preserve">30 day mortality</w:t>
            </w:r>
          </w:p>
          <w:p>
            <w:pPr>
              <w:pStyle w:val="BodyText"/>
            </w:pPr>
            <w:r>
              <w:t xml:space="preserve">Mono: 56%</w:t>
            </w:r>
          </w:p>
          <w:p>
            <w:pPr>
              <w:pStyle w:val="BodyText"/>
            </w:pPr>
            <w:r>
              <w:t xml:space="preserve">Combo: 50%</w:t>
            </w:r>
          </w:p>
        </w:tc>
      </w:tr>
      <w:tr>
        <w:tc>
          <w:tcPr/>
          <w:p>
            <w:pPr>
              <w:pStyle w:val="Compact"/>
            </w:pPr>
            <w:r>
              <w:t xml:space="preserve">Oliva, 2024</w:t>
            </w:r>
            <w:r>
              <w:t xml:space="preserve"> </w:t>
            </w:r>
            <w:r>
              <w:t xml:space="preserve">[47]</w:t>
            </w:r>
          </w:p>
        </w:tc>
        <w:tc>
          <w:tcPr/>
          <w:p>
            <w:pPr>
              <w:pStyle w:val="Compact"/>
            </w:pPr>
            <w:r>
              <w:t xml:space="preserve">R</w:t>
            </w:r>
          </w:p>
        </w:tc>
        <w:tc>
          <w:tcPr/>
          <w:p>
            <w:pPr>
              <w:pStyle w:val="Compact"/>
            </w:pPr>
            <w:r>
              <w:t xml:space="preserve">BSI, VAP, HAP, CLABSI,</w:t>
            </w:r>
          </w:p>
        </w:tc>
        <w:tc>
          <w:tcPr/>
          <w:p>
            <w:pPr>
              <w:pStyle w:val="Compact"/>
            </w:pPr>
            <w:r>
              <w:t xml:space="preserve">CRAB</w:t>
            </w:r>
          </w:p>
        </w:tc>
        <w:tc>
          <w:tcPr/>
          <w:p>
            <w:pPr>
              <w:pStyle w:val="BodyText"/>
            </w:pPr>
            <w:r>
              <w:t xml:space="preserve">50</w:t>
            </w:r>
          </w:p>
          <w:p>
            <w:pPr>
              <w:pStyle w:val="BodyText"/>
            </w:pPr>
            <w:r>
              <w:t xml:space="preserve">Mono: 14 (28)</w:t>
            </w:r>
          </w:p>
          <w:p>
            <w:pPr>
              <w:pStyle w:val="BodyText"/>
            </w:pPr>
            <w:r>
              <w:t xml:space="preserve">Combo: 36 (72%)</w:t>
            </w:r>
          </w:p>
        </w:tc>
        <w:tc>
          <w:tcPr/>
          <w:p>
            <w:pPr>
              <w:pStyle w:val="Compact"/>
            </w:pPr>
            <w:r>
              <w:t xml:space="preserve">A-S, FOS, TGC, MER</w:t>
            </w:r>
          </w:p>
        </w:tc>
        <w:tc>
          <w:tcPr/>
          <w:p>
            <w:pPr>
              <w:pStyle w:val="Compact"/>
            </w:pPr>
            <w:r>
              <w:t xml:space="preserve">N/A</w:t>
            </w:r>
          </w:p>
        </w:tc>
        <w:tc>
          <w:tcPr/>
          <w:p>
            <w:pPr>
              <w:pStyle w:val="Compact"/>
            </w:pPr>
            <w:r>
              <w:t xml:space="preserve">N/A</w:t>
            </w:r>
          </w:p>
        </w:tc>
      </w:tr>
      <w:tr>
        <w:tc>
          <w:tcPr/>
          <w:p>
            <w:pPr>
              <w:pStyle w:val="Compact"/>
            </w:pPr>
            <w:r>
              <w:t xml:space="preserve">El Ghali, 2024</w:t>
            </w:r>
            <w:r>
              <w:t xml:space="preserve"> </w:t>
            </w:r>
            <w:r>
              <w:t xml:space="preserve">[48]</w:t>
            </w:r>
          </w:p>
        </w:tc>
        <w:tc>
          <w:tcPr/>
          <w:p>
            <w:pPr>
              <w:pStyle w:val="Compact"/>
            </w:pPr>
            <w:r>
              <w:t xml:space="preserve">R</w:t>
            </w:r>
          </w:p>
        </w:tc>
        <w:tc>
          <w:tcPr/>
          <w:p>
            <w:pPr>
              <w:pStyle w:val="Compact"/>
            </w:pPr>
            <w:r>
              <w:t xml:space="preserve">BSI, VAP, HAP, SSTI, cIAI, cUTI, BJI</w:t>
            </w:r>
          </w:p>
        </w:tc>
        <w:tc>
          <w:tcPr/>
          <w:p>
            <w:pPr>
              <w:pStyle w:val="Compact"/>
            </w:pPr>
            <w:r>
              <w:t xml:space="preserve">CRAB,</w:t>
            </w:r>
            <w:r>
              <w:t xml:space="preserve"> </w:t>
            </w:r>
            <w:r>
              <w:rPr>
                <w:i/>
                <w:iCs/>
              </w:rPr>
              <w:t xml:space="preserve">Pa</w:t>
            </w:r>
            <w:r>
              <w:t xml:space="preserve">,</w:t>
            </w:r>
            <w:r>
              <w:t xml:space="preserve"> </w:t>
            </w:r>
            <w:r>
              <w:rPr>
                <w:i/>
                <w:iCs/>
              </w:rPr>
              <w:t xml:space="preserve">Kp</w:t>
            </w:r>
          </w:p>
        </w:tc>
        <w:tc>
          <w:tcPr/>
          <w:p>
            <w:pPr>
              <w:pStyle w:val="BodyText"/>
            </w:pPr>
            <w:r>
              <w:t xml:space="preserve">112</w:t>
            </w:r>
          </w:p>
          <w:p>
            <w:pPr>
              <w:pStyle w:val="BodyText"/>
            </w:pPr>
            <w:r>
              <w:t xml:space="preserve">Mono: 39 (35%)</w:t>
            </w:r>
          </w:p>
          <w:p>
            <w:pPr>
              <w:pStyle w:val="BodyText"/>
            </w:pPr>
            <w:r>
              <w:t xml:space="preserve">Combo: 73 (65%)</w:t>
            </w:r>
          </w:p>
        </w:tc>
        <w:tc>
          <w:tcPr/>
          <w:p>
            <w:pPr>
              <w:pStyle w:val="Compact"/>
            </w:pPr>
            <w:r>
              <w:t xml:space="preserve">COL, CZA-AVI, AGs, ERAV, IMI-REL, CEP, A-S</w:t>
            </w:r>
          </w:p>
        </w:tc>
        <w:tc>
          <w:tcPr/>
          <w:p>
            <w:pPr>
              <w:pStyle w:val="BodyText"/>
            </w:pPr>
            <w:r>
              <w:t xml:space="preserve">Cure</w:t>
            </w:r>
          </w:p>
          <w:p>
            <w:pPr>
              <w:pStyle w:val="BodyText"/>
            </w:pPr>
            <w:r>
              <w:t xml:space="preserve">Mono: 78%</w:t>
            </w:r>
          </w:p>
          <w:p>
            <w:pPr>
              <w:pStyle w:val="BodyText"/>
            </w:pPr>
            <w:r>
              <w:t xml:space="preserve">Combo: 82%</w:t>
            </w:r>
          </w:p>
        </w:tc>
        <w:tc>
          <w:tcPr/>
          <w:p>
            <w:pPr>
              <w:pStyle w:val="BodyText"/>
            </w:pPr>
            <w:r>
              <w:t xml:space="preserve">30-day mortality</w:t>
            </w:r>
          </w:p>
          <w:p>
            <w:pPr>
              <w:pStyle w:val="BodyText"/>
            </w:pPr>
            <w:r>
              <w:t xml:space="preserve">Mono: 18%</w:t>
            </w:r>
          </w:p>
          <w:p>
            <w:pPr>
              <w:pStyle w:val="BodyText"/>
            </w:pPr>
            <w:r>
              <w:t xml:space="preserve">Combo: 82%</w:t>
            </w:r>
          </w:p>
          <w:p>
            <w:pPr>
              <w:pStyle w:val="BodyText"/>
            </w:pPr>
            <w:r>
              <w:t xml:space="preserve">Clinical cure</w:t>
            </w:r>
          </w:p>
          <w:p>
            <w:pPr>
              <w:pStyle w:val="BodyText"/>
            </w:pPr>
            <w:r>
              <w:t xml:space="preserve">Mono: 64%</w:t>
            </w:r>
          </w:p>
          <w:p>
            <w:pPr>
              <w:pStyle w:val="BodyText"/>
            </w:pPr>
            <w:r>
              <w:t xml:space="preserve">Combo: 35%</w:t>
            </w:r>
          </w:p>
        </w:tc>
      </w:tr>
      <w:tr>
        <w:tc>
          <w:tcPr/>
          <w:p>
            <w:pPr>
              <w:pStyle w:val="Compact"/>
            </w:pPr>
            <w:r>
              <w:t xml:space="preserve">Clancy, 2024</w:t>
            </w:r>
            <w:r>
              <w:t xml:space="preserve"> </w:t>
            </w:r>
            <w:r>
              <w:t xml:space="preserve">[49]</w:t>
            </w:r>
          </w:p>
        </w:tc>
        <w:tc>
          <w:tcPr/>
          <w:p>
            <w:pPr>
              <w:pStyle w:val="Compact"/>
            </w:pPr>
            <w:r>
              <w:t xml:space="preserve">R</w:t>
            </w:r>
          </w:p>
        </w:tc>
        <w:tc>
          <w:tcPr/>
          <w:p>
            <w:pPr>
              <w:pStyle w:val="Compact"/>
            </w:pPr>
            <w:r>
              <w:t xml:space="preserve">LRTI, SSTI, BSI, cUTI, cIAI, BJI, other</w:t>
            </w:r>
          </w:p>
        </w:tc>
        <w:tc>
          <w:tcPr/>
          <w:p>
            <w:pPr>
              <w:pStyle w:val="Compact"/>
            </w:pPr>
            <w:r>
              <w:t xml:space="preserve">CRAB,</w:t>
            </w:r>
            <w:r>
              <w:t xml:space="preserve"> </w:t>
            </w:r>
            <w:r>
              <w:rPr>
                <w:i/>
                <w:iCs/>
              </w:rPr>
              <w:t xml:space="preserve">Pa,</w:t>
            </w:r>
            <w:r>
              <w:t xml:space="preserve"> </w:t>
            </w:r>
            <w:r>
              <w:t xml:space="preserve">E</w:t>
            </w:r>
            <w:r>
              <w:rPr>
                <w:i/>
                <w:iCs/>
              </w:rPr>
              <w:t xml:space="preserve">,</w:t>
            </w:r>
            <w:r>
              <w:t xml:space="preserve"> </w:t>
            </w:r>
            <w:r>
              <w:t xml:space="preserve">SMAL, other</w:t>
            </w:r>
          </w:p>
        </w:tc>
        <w:tc>
          <w:tcPr/>
          <w:p>
            <w:pPr>
              <w:pStyle w:val="BodyText"/>
            </w:pPr>
            <w:r>
              <w:t xml:space="preserve">244</w:t>
            </w:r>
          </w:p>
          <w:p>
            <w:pPr>
              <w:pStyle w:val="BodyText"/>
            </w:pPr>
            <w:r>
              <w:t xml:space="preserve">Mono: 130 (53%)</w:t>
            </w:r>
          </w:p>
          <w:p>
            <w:pPr>
              <w:pStyle w:val="BodyText"/>
            </w:pPr>
            <w:r>
              <w:t xml:space="preserve">Combo: 114 (47%)</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Russo, 2024</w:t>
            </w:r>
            <w:r>
              <w:t xml:space="preserve"> </w:t>
            </w:r>
            <w:r>
              <w:t xml:space="preserve">[50]</w:t>
            </w:r>
          </w:p>
        </w:tc>
        <w:tc>
          <w:tcPr/>
          <w:p>
            <w:pPr>
              <w:pStyle w:val="Compact"/>
            </w:pPr>
            <w:r>
              <w:t xml:space="preserve">R</w:t>
            </w:r>
          </w:p>
        </w:tc>
        <w:tc>
          <w:tcPr/>
          <w:p>
            <w:pPr>
              <w:pStyle w:val="Compact"/>
            </w:pPr>
            <w:r>
              <w:t xml:space="preserve">VAP, BSI, CLABSI, other</w:t>
            </w:r>
          </w:p>
        </w:tc>
        <w:tc>
          <w:tcPr/>
          <w:p>
            <w:pPr>
              <w:pStyle w:val="Compact"/>
            </w:pPr>
            <w:r>
              <w:t xml:space="preserve">CRAB</w:t>
            </w:r>
          </w:p>
        </w:tc>
        <w:tc>
          <w:tcPr/>
          <w:p>
            <w:pPr>
              <w:pStyle w:val="BodyText"/>
            </w:pPr>
            <w:r>
              <w:t xml:space="preserve">54</w:t>
            </w:r>
          </w:p>
          <w:p>
            <w:pPr>
              <w:pStyle w:val="BodyText"/>
            </w:pPr>
            <w:r>
              <w:t xml:space="preserve">Combo: 54 (100%)</w:t>
            </w:r>
          </w:p>
        </w:tc>
        <w:tc>
          <w:tcPr/>
          <w:p>
            <w:pPr>
              <w:pStyle w:val="Compact"/>
            </w:pPr>
            <w:r>
              <w:t xml:space="preserve">FOS</w:t>
            </w:r>
          </w:p>
        </w:tc>
        <w:tc>
          <w:tcPr/>
          <w:p>
            <w:pPr>
              <w:pStyle w:val="Compact"/>
            </w:pPr>
            <w:r>
              <w:t xml:space="preserve">N/A</w:t>
            </w:r>
          </w:p>
        </w:tc>
        <w:tc>
          <w:tcPr/>
          <w:p>
            <w:pPr>
              <w:pStyle w:val="BodyText"/>
            </w:pPr>
            <w:r>
              <w:t xml:space="preserve">Clinical cure</w:t>
            </w:r>
          </w:p>
          <w:p>
            <w:pPr>
              <w:pStyle w:val="BodyText"/>
            </w:pPr>
            <w:r>
              <w:t xml:space="preserve">Combo: 77%</w:t>
            </w:r>
          </w:p>
        </w:tc>
      </w:tr>
      <w:tr>
        <w:tc>
          <w:tcPr/>
          <w:p>
            <w:pPr>
              <w:pStyle w:val="Compact"/>
            </w:pPr>
            <w:r>
              <w:t xml:space="preserve">Balandin, 2024</w:t>
            </w:r>
            <w:r>
              <w:t xml:space="preserve"> </w:t>
            </w:r>
            <w:r>
              <w:t xml:space="preserve">[51]</w:t>
            </w:r>
          </w:p>
        </w:tc>
        <w:tc>
          <w:tcPr/>
          <w:p>
            <w:pPr>
              <w:pStyle w:val="Compact"/>
            </w:pPr>
            <w:r>
              <w:t xml:space="preserve">R</w:t>
            </w:r>
          </w:p>
        </w:tc>
        <w:tc>
          <w:tcPr/>
          <w:p>
            <w:pPr>
              <w:pStyle w:val="Compact"/>
            </w:pPr>
            <w:r>
              <w:t xml:space="preserve">LRTI, SSTI, cIAI, cUTI, BSI, CLABSI, BJI</w:t>
            </w:r>
          </w:p>
        </w:tc>
        <w:tc>
          <w:tcPr/>
          <w:p>
            <w:pPr>
              <w:pStyle w:val="Compact"/>
            </w:pPr>
            <w:r>
              <w:rPr>
                <w:i/>
                <w:iCs/>
              </w:rPr>
              <w:t xml:space="preserve">Pa</w:t>
            </w:r>
            <w:r>
              <w:t xml:space="preserve">, E,</w:t>
            </w:r>
            <w:r>
              <w:t xml:space="preserve"> </w:t>
            </w:r>
            <w:r>
              <w:rPr>
                <w:i/>
                <w:iCs/>
              </w:rPr>
              <w:t xml:space="preserve">Kp</w:t>
            </w:r>
            <w:r>
              <w:t xml:space="preserve">, CRAB, SMAL</w:t>
            </w:r>
          </w:p>
        </w:tc>
        <w:tc>
          <w:tcPr/>
          <w:p>
            <w:pPr>
              <w:pStyle w:val="BodyText"/>
            </w:pPr>
            <w:r>
              <w:t xml:space="preserve">63</w:t>
            </w:r>
          </w:p>
          <w:p>
            <w:pPr>
              <w:pStyle w:val="BodyText"/>
            </w:pPr>
            <w:r>
              <w:t xml:space="preserve">Combo; 33 (52%)</w:t>
            </w:r>
          </w:p>
          <w:p>
            <w:pPr>
              <w:pStyle w:val="BodyText"/>
            </w:pPr>
            <w:r>
              <w:t xml:space="preserve">Mono: 30 (48%)</w:t>
            </w:r>
          </w:p>
        </w:tc>
        <w:tc>
          <w:tcPr/>
          <w:p>
            <w:pPr>
              <w:pStyle w:val="Compact"/>
            </w:pPr>
            <w:r>
              <w:t xml:space="preserve">COL</w:t>
            </w:r>
          </w:p>
        </w:tc>
        <w:tc>
          <w:tcPr/>
          <w:p>
            <w:pPr>
              <w:pStyle w:val="Compact"/>
            </w:pPr>
            <w:r>
              <w:t xml:space="preserve">N/A</w:t>
            </w:r>
          </w:p>
        </w:tc>
        <w:tc>
          <w:tcPr/>
          <w:p>
            <w:pPr>
              <w:pStyle w:val="Compact"/>
            </w:pPr>
            <w:r>
              <w:t xml:space="preserve">N/A</w:t>
            </w:r>
          </w:p>
        </w:tc>
      </w:tr>
      <w:tr>
        <w:tc>
          <w:tcPr/>
          <w:p>
            <w:pPr>
              <w:pStyle w:val="Compact"/>
            </w:pPr>
            <w:r>
              <w:t xml:space="preserve">Souege, 2024</w:t>
            </w:r>
            <w:r>
              <w:t xml:space="preserve"> </w:t>
            </w:r>
            <w:r>
              <w:t xml:space="preserve">[52]</w:t>
            </w:r>
          </w:p>
        </w:tc>
        <w:tc>
          <w:tcPr/>
          <w:p>
            <w:pPr>
              <w:pStyle w:val="Compact"/>
            </w:pPr>
            <w:r>
              <w:t xml:space="preserve">R</w:t>
            </w:r>
          </w:p>
        </w:tc>
        <w:tc>
          <w:tcPr/>
          <w:p>
            <w:pPr>
              <w:pStyle w:val="Compact"/>
            </w:pPr>
            <w:r>
              <w:t xml:space="preserve">LRTI, BSI, cUTI</w:t>
            </w:r>
          </w:p>
        </w:tc>
        <w:tc>
          <w:tcPr/>
          <w:p>
            <w:pPr>
              <w:pStyle w:val="Compact"/>
            </w:pPr>
            <w:r>
              <w:rPr>
                <w:i/>
                <w:iCs/>
              </w:rPr>
              <w:t xml:space="preserve">Pa</w:t>
            </w:r>
            <w:r>
              <w:t xml:space="preserve">, E, other</w:t>
            </w:r>
          </w:p>
        </w:tc>
        <w:tc>
          <w:tcPr/>
          <w:p>
            <w:pPr>
              <w:pStyle w:val="BodyText"/>
            </w:pPr>
            <w:r>
              <w:t xml:space="preserve">114</w:t>
            </w:r>
          </w:p>
          <w:p>
            <w:pPr>
              <w:pStyle w:val="BodyText"/>
            </w:pPr>
            <w:r>
              <w:t xml:space="preserve">Combo 58 (51%)</w:t>
            </w:r>
          </w:p>
          <w:p>
            <w:pPr>
              <w:pStyle w:val="BodyText"/>
            </w:pPr>
            <w:r>
              <w:t xml:space="preserve">Mono: 56 (49%)</w:t>
            </w:r>
          </w:p>
        </w:tc>
        <w:tc>
          <w:tcPr/>
          <w:p>
            <w:pPr>
              <w:pStyle w:val="Compact"/>
            </w:pPr>
            <w:r>
              <w:t xml:space="preserve">N/A</w:t>
            </w:r>
          </w:p>
        </w:tc>
        <w:tc>
          <w:tcPr/>
          <w:p>
            <w:pPr>
              <w:pStyle w:val="Compact"/>
            </w:pPr>
            <w:r>
              <w:t xml:space="preserve">N/A</w:t>
            </w:r>
          </w:p>
        </w:tc>
        <w:tc>
          <w:tcPr/>
          <w:p>
            <w:pPr>
              <w:pStyle w:val="BodyText"/>
            </w:pPr>
            <w:r>
              <w:t xml:space="preserve">28-day mortality</w:t>
            </w:r>
          </w:p>
          <w:p>
            <w:pPr>
              <w:pStyle w:val="BodyText"/>
            </w:pPr>
            <w:r>
              <w:t xml:space="preserve">Mono: 34%</w:t>
            </w:r>
          </w:p>
          <w:p>
            <w:pPr>
              <w:pStyle w:val="BodyText"/>
            </w:pPr>
            <w:r>
              <w:t xml:space="preserve">Combo: 41%</w:t>
            </w:r>
          </w:p>
          <w:p>
            <w:pPr>
              <w:pStyle w:val="BodyText"/>
            </w:pPr>
            <w:r>
              <w:t xml:space="preserve">Clinical cure</w:t>
            </w:r>
          </w:p>
          <w:p>
            <w:pPr>
              <w:pStyle w:val="BodyText"/>
            </w:pPr>
            <w:r>
              <w:t xml:space="preserve">Mono: 55%</w:t>
            </w:r>
          </w:p>
          <w:p>
            <w:pPr>
              <w:pStyle w:val="BodyText"/>
            </w:pPr>
            <w:r>
              <w:t xml:space="preserve">Combo: 52%</w:t>
            </w:r>
          </w:p>
        </w:tc>
      </w:tr>
      <w:tr>
        <w:tc>
          <w:tcPr/>
          <w:p>
            <w:pPr>
              <w:pStyle w:val="Compact"/>
            </w:pPr>
            <w:r>
              <w:t xml:space="preserve">Gatti, 2021</w:t>
            </w:r>
            <w:r>
              <w:t xml:space="preserve"> </w:t>
            </w:r>
            <w:r>
              <w:t xml:space="preserve">[53]</w:t>
            </w:r>
          </w:p>
        </w:tc>
        <w:tc>
          <w:tcPr/>
          <w:p>
            <w:pPr>
              <w:pStyle w:val="Compact"/>
            </w:pPr>
            <w:r>
              <w:t xml:space="preserve">Case series</w:t>
            </w:r>
          </w:p>
        </w:tc>
        <w:tc>
          <w:tcPr/>
          <w:p>
            <w:pPr>
              <w:pStyle w:val="Compact"/>
            </w:pPr>
            <w:r>
              <w:t xml:space="preserve">BSI, VAP</w:t>
            </w:r>
          </w:p>
        </w:tc>
        <w:tc>
          <w:tcPr/>
          <w:p>
            <w:pPr>
              <w:pStyle w:val="Compact"/>
            </w:pPr>
            <w:r>
              <w:t xml:space="preserve">CRAB</w:t>
            </w:r>
          </w:p>
        </w:tc>
        <w:tc>
          <w:tcPr/>
          <w:p>
            <w:pPr>
              <w:pStyle w:val="BodyText"/>
            </w:pPr>
            <w:r>
              <w:t xml:space="preserve">13</w:t>
            </w:r>
          </w:p>
          <w:p>
            <w:pPr>
              <w:pStyle w:val="BodyText"/>
            </w:pPr>
            <w:r>
              <w:t xml:space="preserve">Mono: 3 (23%)</w:t>
            </w:r>
          </w:p>
          <w:p>
            <w:pPr>
              <w:pStyle w:val="BodyText"/>
            </w:pPr>
            <w:r>
              <w:t xml:space="preserve">Combo: 10 (67%)</w:t>
            </w:r>
          </w:p>
        </w:tc>
        <w:tc>
          <w:tcPr/>
          <w:p>
            <w:pPr>
              <w:pStyle w:val="Compact"/>
            </w:pPr>
            <w:r>
              <w:t xml:space="preserve">A-S, FOS, COL</w:t>
            </w:r>
          </w:p>
        </w:tc>
        <w:tc>
          <w:tcPr/>
          <w:p>
            <w:pPr>
              <w:pStyle w:val="BodyText"/>
            </w:pPr>
            <w:r>
              <w:t xml:space="preserve">Failure</w:t>
            </w:r>
          </w:p>
          <w:p>
            <w:pPr>
              <w:pStyle w:val="BodyText"/>
            </w:pPr>
            <w:r>
              <w:t xml:space="preserve">Mono: 1/3 (33%)</w:t>
            </w:r>
          </w:p>
          <w:p>
            <w:pPr>
              <w:pStyle w:val="BodyText"/>
            </w:pPr>
            <w:r>
              <w:t xml:space="preserve">Combo: 5/10 (50%)</w:t>
            </w:r>
          </w:p>
        </w:tc>
        <w:tc>
          <w:tcPr/>
          <w:p>
            <w:pPr>
              <w:pStyle w:val="BodyText"/>
            </w:pPr>
            <w:r>
              <w:t xml:space="preserve">30-day mortality</w:t>
            </w:r>
          </w:p>
          <w:p>
            <w:pPr>
              <w:pStyle w:val="BodyText"/>
            </w:pPr>
            <w:r>
              <w:t xml:space="preserve">Mono: 2/3 (66%)</w:t>
            </w:r>
          </w:p>
          <w:p>
            <w:pPr>
              <w:pStyle w:val="BodyText"/>
            </w:pPr>
            <w:r>
              <w:t xml:space="preserve">Combo: 2/10 (20%)</w:t>
            </w:r>
          </w:p>
        </w:tc>
      </w:tr>
      <w:tr>
        <w:tc>
          <w:tcPr/>
          <w:p>
            <w:pPr>
              <w:pStyle w:val="Compact"/>
            </w:pPr>
            <w:r>
              <w:t xml:space="preserve">Rando, 2021</w:t>
            </w:r>
            <w:r>
              <w:t xml:space="preserve"> </w:t>
            </w:r>
            <w:r>
              <w:t xml:space="preserve">[54]</w:t>
            </w:r>
          </w:p>
        </w:tc>
        <w:tc>
          <w:tcPr/>
          <w:p>
            <w:pPr>
              <w:pStyle w:val="Compact"/>
            </w:pPr>
            <w:r>
              <w:t xml:space="preserve">Case series</w:t>
            </w:r>
          </w:p>
        </w:tc>
        <w:tc>
          <w:tcPr/>
          <w:p>
            <w:pPr>
              <w:pStyle w:val="Compact"/>
            </w:pPr>
            <w:r>
              <w:t xml:space="preserve">VAP</w:t>
            </w:r>
          </w:p>
        </w:tc>
        <w:tc>
          <w:tcPr/>
          <w:p>
            <w:pPr>
              <w:pStyle w:val="Compact"/>
            </w:pPr>
            <w:r>
              <w:t xml:space="preserve">CRAB</w:t>
            </w:r>
          </w:p>
        </w:tc>
        <w:tc>
          <w:tcPr/>
          <w:p>
            <w:pPr>
              <w:pStyle w:val="BodyText"/>
            </w:pPr>
            <w:r>
              <w:t xml:space="preserve">13</w:t>
            </w:r>
          </w:p>
          <w:p>
            <w:pPr>
              <w:pStyle w:val="BodyText"/>
            </w:pPr>
            <w:r>
              <w:t xml:space="preserve">Mono: 8 (62%)</w:t>
            </w:r>
          </w:p>
          <w:p>
            <w:pPr>
              <w:pStyle w:val="BodyText"/>
            </w:pPr>
            <w:r>
              <w:t xml:space="preserve">Combo: 5 (39%)</w:t>
            </w:r>
          </w:p>
        </w:tc>
        <w:tc>
          <w:tcPr/>
          <w:p>
            <w:pPr>
              <w:pStyle w:val="Compact"/>
            </w:pPr>
            <w:r>
              <w:t xml:space="preserve">COL, FOS</w:t>
            </w:r>
          </w:p>
        </w:tc>
        <w:tc>
          <w:tcPr/>
          <w:p>
            <w:pPr>
              <w:pStyle w:val="Compact"/>
            </w:pPr>
            <w:r>
              <w:t xml:space="preserve">N/A</w:t>
            </w:r>
          </w:p>
        </w:tc>
        <w:tc>
          <w:tcPr/>
          <w:p>
            <w:pPr>
              <w:pStyle w:val="BodyText"/>
            </w:pPr>
            <w:r>
              <w:t xml:space="preserve">Clinical cure</w:t>
            </w:r>
          </w:p>
          <w:p>
            <w:pPr>
              <w:pStyle w:val="BodyText"/>
            </w:pPr>
            <w:r>
              <w:t xml:space="preserve">Mono: 75%</w:t>
            </w:r>
          </w:p>
          <w:p>
            <w:pPr>
              <w:pStyle w:val="BodyText"/>
            </w:pPr>
            <w:r>
              <w:t xml:space="preserve">Combo: 20%</w:t>
            </w:r>
          </w:p>
          <w:p>
            <w:pPr>
              <w:pStyle w:val="BodyText"/>
            </w:pPr>
            <w:r>
              <w:t xml:space="preserve">P = N/A</w:t>
            </w:r>
          </w:p>
        </w:tc>
      </w:tr>
      <w:tr>
        <w:tc>
          <w:tcPr/>
          <w:p>
            <w:pPr>
              <w:pStyle w:val="Compact"/>
            </w:pPr>
            <w:r>
              <w:t xml:space="preserve">Corcione, 2022</w:t>
            </w:r>
            <w:r>
              <w:t xml:space="preserve"> </w:t>
            </w:r>
            <w:r>
              <w:t xml:space="preserve">[55]</w:t>
            </w:r>
          </w:p>
        </w:tc>
        <w:tc>
          <w:tcPr/>
          <w:p>
            <w:pPr>
              <w:pStyle w:val="Compact"/>
            </w:pPr>
            <w:r>
              <w:t xml:space="preserve">Case series</w:t>
            </w:r>
          </w:p>
        </w:tc>
        <w:tc>
          <w:tcPr/>
          <w:p>
            <w:pPr>
              <w:pStyle w:val="Compact"/>
            </w:pPr>
            <w:r>
              <w:t xml:space="preserve">VAP</w:t>
            </w:r>
          </w:p>
        </w:tc>
        <w:tc>
          <w:tcPr/>
          <w:p>
            <w:pPr>
              <w:pStyle w:val="Compact"/>
            </w:pPr>
            <w:r>
              <w:t xml:space="preserve">CRAB, SMAL,</w:t>
            </w:r>
            <w:r>
              <w:t xml:space="preserve"> </w:t>
            </w:r>
            <w:r>
              <w:rPr>
                <w:i/>
                <w:iCs/>
              </w:rPr>
              <w:t xml:space="preserve">Kp</w:t>
            </w:r>
          </w:p>
        </w:tc>
        <w:tc>
          <w:tcPr/>
          <w:p>
            <w:pPr>
              <w:pStyle w:val="BodyText"/>
            </w:pPr>
            <w:r>
              <w:t xml:space="preserve">18</w:t>
            </w:r>
          </w:p>
          <w:p>
            <w:pPr>
              <w:pStyle w:val="BodyText"/>
            </w:pPr>
            <w:r>
              <w:t xml:space="preserve">Mono: 4 (22%)</w:t>
            </w:r>
          </w:p>
          <w:p>
            <w:pPr>
              <w:pStyle w:val="BodyText"/>
            </w:pPr>
            <w:r>
              <w:t xml:space="preserve">Combo: 14 (78%)</w:t>
            </w:r>
          </w:p>
        </w:tc>
        <w:tc>
          <w:tcPr/>
          <w:p>
            <w:pPr>
              <w:pStyle w:val="Compact"/>
            </w:pPr>
            <w:r>
              <w:t xml:space="preserve">TGC, aerosolized COL</w:t>
            </w:r>
          </w:p>
        </w:tc>
        <w:tc>
          <w:tcPr/>
          <w:p>
            <w:pPr>
              <w:pStyle w:val="BodyText"/>
            </w:pPr>
            <w:r>
              <w:t xml:space="preserve">Failure</w:t>
            </w:r>
          </w:p>
          <w:p>
            <w:pPr>
              <w:pStyle w:val="BodyText"/>
            </w:pPr>
            <w:r>
              <w:t xml:space="preserve">Mono: 25%</w:t>
            </w:r>
          </w:p>
          <w:p>
            <w:pPr>
              <w:pStyle w:val="BodyText"/>
            </w:pPr>
            <w:r>
              <w:t xml:space="preserve">Combo: 21%</w:t>
            </w:r>
          </w:p>
        </w:tc>
        <w:tc>
          <w:tcPr/>
          <w:p>
            <w:pPr>
              <w:pStyle w:val="BodyText"/>
            </w:pPr>
            <w:r>
              <w:t xml:space="preserve">Clinical cure:</w:t>
            </w:r>
          </w:p>
          <w:p>
            <w:pPr>
              <w:pStyle w:val="BodyText"/>
            </w:pPr>
            <w:r>
              <w:t xml:space="preserve">Mono: 75%</w:t>
            </w:r>
          </w:p>
          <w:p>
            <w:pPr>
              <w:pStyle w:val="BodyText"/>
            </w:pPr>
            <w:r>
              <w:t xml:space="preserve">Combo: 64%</w:t>
            </w:r>
          </w:p>
          <w:p>
            <w:pPr>
              <w:pStyle w:val="BodyText"/>
            </w:pPr>
            <w:r>
              <w:t xml:space="preserve">30-day mortality</w:t>
            </w:r>
          </w:p>
          <w:p>
            <w:pPr>
              <w:pStyle w:val="BodyText"/>
            </w:pPr>
            <w:r>
              <w:t xml:space="preserve">Mono: 25%</w:t>
            </w:r>
          </w:p>
          <w:p>
            <w:pPr>
              <w:pStyle w:val="BodyText"/>
            </w:pPr>
            <w:r>
              <w:t xml:space="preserve">Combo: 29%</w:t>
            </w:r>
          </w:p>
          <w:p>
            <w:pPr>
              <w:pStyle w:val="BodyText"/>
            </w:pPr>
            <w:r>
              <w:t xml:space="preserve">P = N/A</w:t>
            </w:r>
          </w:p>
        </w:tc>
      </w:tr>
      <w:tr>
        <w:tc>
          <w:tcPr/>
          <w:p>
            <w:pPr>
              <w:pStyle w:val="Compact"/>
            </w:pPr>
            <w:r>
              <w:t xml:space="preserve">Smoke, 2022</w:t>
            </w:r>
            <w:r>
              <w:t xml:space="preserve"> </w:t>
            </w:r>
            <w:r>
              <w:t xml:space="preserve">[56]</w:t>
            </w:r>
          </w:p>
        </w:tc>
        <w:tc>
          <w:tcPr/>
          <w:p>
            <w:pPr>
              <w:pStyle w:val="Compact"/>
            </w:pPr>
            <w:r>
              <w:t xml:space="preserve">Case series</w:t>
            </w:r>
          </w:p>
        </w:tc>
        <w:tc>
          <w:tcPr/>
          <w:p>
            <w:pPr>
              <w:pStyle w:val="Compact"/>
            </w:pPr>
            <w:r>
              <w:t xml:space="preserve">BSI, LRTI</w:t>
            </w:r>
          </w:p>
        </w:tc>
        <w:tc>
          <w:tcPr/>
          <w:p>
            <w:pPr>
              <w:pStyle w:val="Compact"/>
            </w:pPr>
            <w:r>
              <w:t xml:space="preserve">CRAB</w:t>
            </w:r>
          </w:p>
        </w:tc>
        <w:tc>
          <w:tcPr/>
          <w:p>
            <w:pPr>
              <w:pStyle w:val="BodyText"/>
            </w:pPr>
            <w:r>
              <w:t xml:space="preserve">11</w:t>
            </w:r>
          </w:p>
          <w:p>
            <w:pPr>
              <w:pStyle w:val="BodyText"/>
            </w:pPr>
            <w:r>
              <w:t xml:space="preserve">Combo: 3 (28%)</w:t>
            </w:r>
          </w:p>
          <w:p>
            <w:pPr>
              <w:pStyle w:val="BodyText"/>
            </w:pPr>
            <w:r>
              <w:t xml:space="preserve">Mono: 8 (72%)</w:t>
            </w:r>
          </w:p>
        </w:tc>
        <w:tc>
          <w:tcPr/>
          <w:p>
            <w:pPr>
              <w:pStyle w:val="Compact"/>
            </w:pPr>
            <w:r>
              <w:t xml:space="preserve">POL</w:t>
            </w:r>
          </w:p>
        </w:tc>
        <w:tc>
          <w:tcPr/>
          <w:p>
            <w:pPr>
              <w:pStyle w:val="Compact"/>
            </w:pPr>
            <w:r>
              <w:t xml:space="preserve">N/A</w:t>
            </w:r>
          </w:p>
        </w:tc>
        <w:tc>
          <w:tcPr/>
          <w:p>
            <w:pPr>
              <w:pStyle w:val="BodyText"/>
            </w:pPr>
            <w:r>
              <w:t xml:space="preserve">Clinical cure</w:t>
            </w:r>
          </w:p>
          <w:p>
            <w:pPr>
              <w:pStyle w:val="BodyText"/>
            </w:pPr>
            <w:r>
              <w:t xml:space="preserve">Mono: 2/3 (66%)</w:t>
            </w:r>
          </w:p>
          <w:p>
            <w:pPr>
              <w:pStyle w:val="BodyText"/>
            </w:pPr>
            <w:r>
              <w:t xml:space="preserve">Combo: 2/9 (22%)</w:t>
            </w:r>
          </w:p>
          <w:p>
            <w:pPr>
              <w:pStyle w:val="BodyText"/>
            </w:pPr>
            <w:r>
              <w:t xml:space="preserve">30-day mortality</w:t>
            </w:r>
          </w:p>
          <w:p>
            <w:pPr>
              <w:pStyle w:val="BodyText"/>
            </w:pPr>
            <w:r>
              <w:t xml:space="preserve">Mono 1/3 (33%)</w:t>
            </w:r>
          </w:p>
          <w:p>
            <w:pPr>
              <w:pStyle w:val="BodyText"/>
            </w:pPr>
            <w:r>
              <w:t xml:space="preserve">Combo 1/9 (11%)</w:t>
            </w:r>
          </w:p>
        </w:tc>
      </w:tr>
      <w:tr>
        <w:tc>
          <w:tcPr/>
          <w:p>
            <w:pPr>
              <w:pStyle w:val="Compact"/>
            </w:pPr>
            <w:r>
              <w:t xml:space="preserve">Wicky, 2023</w:t>
            </w:r>
            <w:r>
              <w:t xml:space="preserve"> </w:t>
            </w:r>
            <w:r>
              <w:t xml:space="preserve">[57]</w:t>
            </w:r>
          </w:p>
        </w:tc>
        <w:tc>
          <w:tcPr/>
          <w:p>
            <w:pPr>
              <w:pStyle w:val="Compact"/>
            </w:pPr>
            <w:r>
              <w:t xml:space="preserve">Case series</w:t>
            </w:r>
          </w:p>
        </w:tc>
        <w:tc>
          <w:tcPr/>
          <w:p>
            <w:pPr>
              <w:pStyle w:val="Compact"/>
            </w:pPr>
            <w:r>
              <w:t xml:space="preserve">BSI</w:t>
            </w:r>
          </w:p>
        </w:tc>
        <w:tc>
          <w:tcPr/>
          <w:p>
            <w:pPr>
              <w:pStyle w:val="Compact"/>
            </w:pPr>
            <w:r>
              <w:t xml:space="preserve">CRAB,</w:t>
            </w:r>
            <w:r>
              <w:t xml:space="preserve"> </w:t>
            </w:r>
            <w:r>
              <w:rPr>
                <w:i/>
                <w:iCs/>
              </w:rPr>
              <w:t xml:space="preserve">Pa</w:t>
            </w:r>
            <w:r>
              <w:t xml:space="preserve">, SMAL</w:t>
            </w:r>
          </w:p>
        </w:tc>
        <w:tc>
          <w:tcPr/>
          <w:p>
            <w:pPr>
              <w:pStyle w:val="BodyText"/>
            </w:pPr>
            <w:r>
              <w:t xml:space="preserve">16</w:t>
            </w:r>
          </w:p>
          <w:p>
            <w:pPr>
              <w:pStyle w:val="BodyText"/>
            </w:pPr>
            <w:r>
              <w:t xml:space="preserve">Mono: 11 (69%)</w:t>
            </w:r>
          </w:p>
          <w:p>
            <w:pPr>
              <w:pStyle w:val="BodyText"/>
            </w:pPr>
            <w:r>
              <w:t xml:space="preserve">Combo: 5 (31%)</w:t>
            </w:r>
          </w:p>
        </w:tc>
        <w:tc>
          <w:tcPr/>
          <w:p>
            <w:pPr>
              <w:pStyle w:val="Compact"/>
            </w:pPr>
            <w:r>
              <w:t xml:space="preserve">COL, FOS, TGC</w:t>
            </w:r>
          </w:p>
        </w:tc>
        <w:tc>
          <w:tcPr/>
          <w:p>
            <w:pPr>
              <w:pStyle w:val="Compact"/>
            </w:pPr>
            <w:r>
              <w:t xml:space="preserve">N/A</w:t>
            </w:r>
          </w:p>
        </w:tc>
        <w:tc>
          <w:tcPr/>
          <w:p>
            <w:pPr>
              <w:pStyle w:val="BodyText"/>
            </w:pPr>
            <w:r>
              <w:t xml:space="preserve">Clinical cure</w:t>
            </w:r>
          </w:p>
          <w:p>
            <w:pPr>
              <w:pStyle w:val="BodyText"/>
            </w:pPr>
            <w:r>
              <w:t xml:space="preserve">Mono: 82%</w:t>
            </w:r>
          </w:p>
          <w:p>
            <w:pPr>
              <w:pStyle w:val="BodyText"/>
            </w:pPr>
            <w:r>
              <w:t xml:space="preserve">Combo: 80%</w:t>
            </w:r>
          </w:p>
          <w:p>
            <w:pPr>
              <w:pStyle w:val="BodyText"/>
            </w:pPr>
            <w:r>
              <w:t xml:space="preserve">P = N/A</w:t>
            </w:r>
          </w:p>
        </w:tc>
      </w:tr>
      <w:tr>
        <w:tc>
          <w:tcPr/>
          <w:p>
            <w:pPr>
              <w:pStyle w:val="Compact"/>
            </w:pPr>
            <w:r>
              <w:t xml:space="preserve">De la Fuente, 2023</w:t>
            </w:r>
            <w:r>
              <w:t xml:space="preserve"> </w:t>
            </w:r>
            <w:r>
              <w:t xml:space="preserve">[58]</w:t>
            </w:r>
          </w:p>
        </w:tc>
        <w:tc>
          <w:tcPr/>
          <w:p>
            <w:pPr>
              <w:pStyle w:val="Compact"/>
            </w:pPr>
            <w:r>
              <w:t xml:space="preserve">Case series</w:t>
            </w:r>
          </w:p>
        </w:tc>
        <w:tc>
          <w:tcPr/>
          <w:p>
            <w:pPr>
              <w:pStyle w:val="Compact"/>
            </w:pPr>
            <w:r>
              <w:t xml:space="preserve">HAP, VAP</w:t>
            </w:r>
          </w:p>
        </w:tc>
        <w:tc>
          <w:tcPr/>
          <w:p>
            <w:pPr>
              <w:pStyle w:val="Compact"/>
            </w:pPr>
            <w:r>
              <w:rPr>
                <w:i/>
                <w:iCs/>
              </w:rPr>
              <w:t xml:space="preserve">Pa</w:t>
            </w:r>
            <w:r>
              <w:t xml:space="preserve">,</w:t>
            </w:r>
            <w:r>
              <w:t xml:space="preserve"> </w:t>
            </w:r>
            <w:r>
              <w:rPr>
                <w:i/>
                <w:iCs/>
              </w:rPr>
              <w:t xml:space="preserve">Burkholderia cepacia</w:t>
            </w:r>
            <w:r>
              <w:t xml:space="preserve">,</w:t>
            </w:r>
            <w:r>
              <w:t xml:space="preserve"> </w:t>
            </w:r>
            <w:r>
              <w:rPr>
                <w:i/>
                <w:iCs/>
              </w:rPr>
              <w:t xml:space="preserve">KpI</w:t>
            </w:r>
            <w:r>
              <w:t xml:space="preserve">,SMAL</w:t>
            </w:r>
          </w:p>
        </w:tc>
        <w:tc>
          <w:tcPr/>
          <w:p>
            <w:pPr>
              <w:pStyle w:val="BodyText"/>
            </w:pPr>
            <w:r>
              <w:t xml:space="preserve">13</w:t>
            </w:r>
          </w:p>
          <w:p>
            <w:pPr>
              <w:pStyle w:val="BodyText"/>
            </w:pPr>
            <w:r>
              <w:t xml:space="preserve">Mono: 6 (46%)</w:t>
            </w:r>
          </w:p>
          <w:p>
            <w:pPr>
              <w:pStyle w:val="BodyText"/>
            </w:pPr>
            <w:r>
              <w:t xml:space="preserve">Combo: 7 (54%)</w:t>
            </w:r>
          </w:p>
        </w:tc>
        <w:tc>
          <w:tcPr/>
          <w:p>
            <w:pPr>
              <w:pStyle w:val="Compact"/>
            </w:pPr>
            <w:r>
              <w:t xml:space="preserve">COL, CIP, LEV, CAZ, MER</w:t>
            </w:r>
          </w:p>
        </w:tc>
        <w:tc>
          <w:tcPr/>
          <w:p>
            <w:pPr>
              <w:pStyle w:val="BodyText"/>
            </w:pPr>
            <w:r>
              <w:t xml:space="preserve">Cure</w:t>
            </w:r>
          </w:p>
          <w:p>
            <w:pPr>
              <w:pStyle w:val="BodyText"/>
            </w:pPr>
            <w:r>
              <w:t xml:space="preserve">Mono: 13/13 (100%)</w:t>
            </w:r>
          </w:p>
          <w:p>
            <w:pPr>
              <w:pStyle w:val="BodyText"/>
            </w:pPr>
            <w:r>
              <w:t xml:space="preserve">Combo: 6/7 (86%)</w:t>
            </w:r>
          </w:p>
        </w:tc>
        <w:tc>
          <w:tcPr/>
          <w:p>
            <w:pPr>
              <w:pStyle w:val="BodyText"/>
            </w:pPr>
            <w:r>
              <w:t xml:space="preserve">Clinical cure</w:t>
            </w:r>
          </w:p>
          <w:p>
            <w:pPr>
              <w:pStyle w:val="BodyText"/>
            </w:pPr>
            <w:r>
              <w:t xml:space="preserve">Mono: 92%</w:t>
            </w:r>
          </w:p>
          <w:p>
            <w:pPr>
              <w:pStyle w:val="BodyText"/>
            </w:pPr>
            <w:r>
              <w:t xml:space="preserve">Combo: 86%</w:t>
            </w:r>
          </w:p>
          <w:p>
            <w:pPr>
              <w:pStyle w:val="BodyText"/>
            </w:pPr>
            <w:r>
              <w:t xml:space="preserve">P = N/A</w:t>
            </w:r>
          </w:p>
          <w:p>
            <w:pPr>
              <w:pStyle w:val="BodyText"/>
            </w:pPr>
            <w:r>
              <w:t xml:space="preserve">28-day mortality</w:t>
            </w:r>
          </w:p>
          <w:p>
            <w:pPr>
              <w:pStyle w:val="BodyText"/>
            </w:pPr>
            <w:r>
              <w:t xml:space="preserve">Mono: 8%</w:t>
            </w:r>
          </w:p>
          <w:p>
            <w:pPr>
              <w:pStyle w:val="BodyText"/>
            </w:pPr>
            <w:r>
              <w:t xml:space="preserve">Combo: 28%</w:t>
            </w:r>
          </w:p>
          <w:p>
            <w:pPr>
              <w:pStyle w:val="BodyText"/>
            </w:pPr>
            <w:r>
              <w:t xml:space="preserve">P = N/A</w:t>
            </w:r>
          </w:p>
        </w:tc>
      </w:tr>
      <w:tr>
        <w:tc>
          <w:tcPr/>
          <w:p>
            <w:pPr>
              <w:pStyle w:val="Compact"/>
            </w:pPr>
            <w:r>
              <w:t xml:space="preserve">Meschiari, 2021</w:t>
            </w:r>
            <w:r>
              <w:t xml:space="preserve"> </w:t>
            </w:r>
            <w:r>
              <w:t xml:space="preserve">[59]</w:t>
            </w:r>
          </w:p>
        </w:tc>
        <w:tc>
          <w:tcPr/>
          <w:p>
            <w:pPr>
              <w:pStyle w:val="Compact"/>
            </w:pPr>
            <w:r>
              <w:t xml:space="preserve">Case series</w:t>
            </w:r>
          </w:p>
        </w:tc>
        <w:tc>
          <w:tcPr/>
          <w:p>
            <w:pPr>
              <w:pStyle w:val="Compact"/>
            </w:pPr>
            <w:r>
              <w:t xml:space="preserve">VAP, HAP, cIAI, EVD-menigitis, BSI</w:t>
            </w:r>
          </w:p>
        </w:tc>
        <w:tc>
          <w:tcPr/>
          <w:p>
            <w:pPr>
              <w:pStyle w:val="Compact"/>
            </w:pPr>
            <w:r>
              <w:rPr>
                <w:i/>
                <w:iCs/>
              </w:rPr>
              <w:t xml:space="preserve">Pa</w:t>
            </w:r>
          </w:p>
        </w:tc>
        <w:tc>
          <w:tcPr/>
          <w:p>
            <w:pPr>
              <w:pStyle w:val="BodyText"/>
            </w:pPr>
            <w:r>
              <w:t xml:space="preserve">17</w:t>
            </w:r>
          </w:p>
          <w:p>
            <w:pPr>
              <w:pStyle w:val="BodyText"/>
            </w:pPr>
            <w:r>
              <w:t xml:space="preserve">Mono: 3 (18%)</w:t>
            </w:r>
          </w:p>
          <w:p>
            <w:pPr>
              <w:pStyle w:val="BodyText"/>
            </w:pPr>
            <w:r>
              <w:t xml:space="preserve">Combo: 14 (82%)</w:t>
            </w:r>
          </w:p>
        </w:tc>
        <w:tc>
          <w:tcPr/>
          <w:p>
            <w:pPr>
              <w:pStyle w:val="Compact"/>
            </w:pPr>
            <w:r>
              <w:t xml:space="preserve">Aerosolized COL, FOS, CAZ-AVI, AMK</w:t>
            </w:r>
          </w:p>
        </w:tc>
        <w:tc>
          <w:tcPr/>
          <w:p>
            <w:pPr>
              <w:pStyle w:val="BodyText"/>
            </w:pPr>
            <w:r>
              <w:t xml:space="preserve">Failure</w:t>
            </w:r>
          </w:p>
          <w:p>
            <w:pPr>
              <w:pStyle w:val="BodyText"/>
            </w:pPr>
            <w:r>
              <w:t xml:space="preserve">Mono: 2/3 (66%)</w:t>
            </w:r>
          </w:p>
          <w:p>
            <w:pPr>
              <w:pStyle w:val="BodyText"/>
            </w:pPr>
            <w:r>
              <w:t xml:space="preserve">Combo: 2/14 (14%)</w:t>
            </w:r>
          </w:p>
        </w:tc>
        <w:tc>
          <w:tcPr/>
          <w:p>
            <w:pPr>
              <w:pStyle w:val="BodyText"/>
            </w:pPr>
            <w:r>
              <w:t xml:space="preserve">Clinical failure day 7</w:t>
            </w:r>
          </w:p>
          <w:p>
            <w:pPr>
              <w:pStyle w:val="BodyText"/>
            </w:pPr>
            <w:r>
              <w:t xml:space="preserve">Mono: 28%</w:t>
            </w:r>
          </w:p>
          <w:p>
            <w:pPr>
              <w:pStyle w:val="BodyText"/>
            </w:pPr>
            <w:r>
              <w:t xml:space="preserve">Combo: 0%</w:t>
            </w:r>
          </w:p>
          <w:p>
            <w:pPr>
              <w:pStyle w:val="BodyText"/>
            </w:pPr>
            <w:r>
              <w:t xml:space="preserve">P = N/A</w:t>
            </w:r>
          </w:p>
        </w:tc>
      </w:tr>
      <w:tr>
        <w:tc>
          <w:tcPr/>
          <w:p>
            <w:pPr>
              <w:pStyle w:val="Compact"/>
            </w:pPr>
            <w:r>
              <w:t xml:space="preserve">Fendian, 2023</w:t>
            </w:r>
            <w:r>
              <w:t xml:space="preserve"> </w:t>
            </w:r>
            <w:r>
              <w:t xml:space="preserve">[60]</w:t>
            </w:r>
          </w:p>
        </w:tc>
        <w:tc>
          <w:tcPr/>
          <w:p>
            <w:pPr>
              <w:pStyle w:val="Compact"/>
            </w:pPr>
            <w:r>
              <w:t xml:space="preserve">Case series</w:t>
            </w:r>
          </w:p>
        </w:tc>
        <w:tc>
          <w:tcPr/>
          <w:p>
            <w:pPr>
              <w:pStyle w:val="Compact"/>
            </w:pPr>
            <w:r>
              <w:t xml:space="preserve">VAP, BSI</w:t>
            </w:r>
          </w:p>
        </w:tc>
        <w:tc>
          <w:tcPr/>
          <w:p>
            <w:pPr>
              <w:pStyle w:val="Compact"/>
            </w:pPr>
            <w:r>
              <w:t xml:space="preserve">CRAB,</w:t>
            </w:r>
            <w:r>
              <w:t xml:space="preserve"> </w:t>
            </w:r>
            <w:r>
              <w:rPr>
                <w:i/>
                <w:iCs/>
              </w:rPr>
              <w:t xml:space="preserve">Pa</w:t>
            </w:r>
            <w:r>
              <w:t xml:space="preserve">,</w:t>
            </w:r>
            <w:r>
              <w:t xml:space="preserve"> </w:t>
            </w:r>
            <w:r>
              <w:rPr>
                <w:i/>
                <w:iCs/>
              </w:rPr>
              <w:t xml:space="preserve">Achromobacter xylooxidans</w:t>
            </w:r>
          </w:p>
        </w:tc>
        <w:tc>
          <w:tcPr/>
          <w:p>
            <w:pPr>
              <w:pStyle w:val="BodyText"/>
            </w:pPr>
            <w:r>
              <w:t xml:space="preserve">10</w:t>
            </w:r>
          </w:p>
          <w:p>
            <w:pPr>
              <w:pStyle w:val="BodyText"/>
            </w:pPr>
            <w:r>
              <w:t xml:space="preserve">Mono: 3 (33%)</w:t>
            </w:r>
          </w:p>
          <w:p>
            <w:pPr>
              <w:pStyle w:val="BodyText"/>
            </w:pPr>
            <w:r>
              <w:t xml:space="preserve">Combo: 7 (67%)</w:t>
            </w:r>
          </w:p>
        </w:tc>
        <w:tc>
          <w:tcPr/>
          <w:p>
            <w:pPr>
              <w:pStyle w:val="Compact"/>
            </w:pPr>
            <w:r>
              <w:t xml:space="preserve">COL, TGC, LEV, CAZ-AVI, CEP</w:t>
            </w:r>
          </w:p>
        </w:tc>
        <w:tc>
          <w:tcPr/>
          <w:p>
            <w:pPr>
              <w:pStyle w:val="BodyText"/>
            </w:pPr>
            <w:r>
              <w:t xml:space="preserve">Microbiological resistance</w:t>
            </w:r>
          </w:p>
          <w:p>
            <w:pPr>
              <w:pStyle w:val="BodyText"/>
            </w:pPr>
            <w:r>
              <w:t xml:space="preserve">Mono: 1/3 (33%)</w:t>
            </w:r>
          </w:p>
          <w:p>
            <w:pPr>
              <w:pStyle w:val="BodyText"/>
            </w:pPr>
            <w:r>
              <w:t xml:space="preserve">Combo: 1/7 (14%)</w:t>
            </w:r>
          </w:p>
        </w:tc>
        <w:tc>
          <w:tcPr/>
          <w:p>
            <w:pPr>
              <w:pStyle w:val="BodyText"/>
            </w:pPr>
            <w:r>
              <w:t xml:space="preserve">Clinical failure day 7</w:t>
            </w:r>
          </w:p>
          <w:p>
            <w:pPr>
              <w:pStyle w:val="BodyText"/>
            </w:pPr>
            <w:r>
              <w:t xml:space="preserve">Mono: 0%</w:t>
            </w:r>
          </w:p>
          <w:p>
            <w:pPr>
              <w:pStyle w:val="BodyText"/>
            </w:pPr>
            <w:r>
              <w:t xml:space="preserve">Combo: 14%</w:t>
            </w:r>
          </w:p>
          <w:p>
            <w:pPr>
              <w:pStyle w:val="BodyText"/>
            </w:pPr>
            <w:r>
              <w:t xml:space="preserve">P = N/A</w:t>
            </w:r>
          </w:p>
          <w:p>
            <w:pPr>
              <w:pStyle w:val="BodyText"/>
            </w:pPr>
            <w:r>
              <w:t xml:space="preserve">90-day mortality</w:t>
            </w:r>
          </w:p>
          <w:p>
            <w:pPr>
              <w:pStyle w:val="BodyText"/>
            </w:pPr>
            <w:r>
              <w:t xml:space="preserve">Mono: 33%</w:t>
            </w:r>
          </w:p>
          <w:p>
            <w:pPr>
              <w:pStyle w:val="BodyText"/>
            </w:pPr>
            <w:r>
              <w:t xml:space="preserve">Combo: 50%</w:t>
            </w:r>
          </w:p>
          <w:p>
            <w:pPr>
              <w:pStyle w:val="BodyText"/>
            </w:pPr>
            <w:r>
              <w:t xml:space="preserve">P = N/A</w:t>
            </w:r>
          </w:p>
        </w:tc>
      </w:tr>
      <w:tr>
        <w:tc>
          <w:tcPr/>
          <w:p>
            <w:pPr>
              <w:pStyle w:val="Compact"/>
            </w:pPr>
            <w:r>
              <w:t xml:space="preserve">Campogiani, 2023</w:t>
            </w:r>
            <w:r>
              <w:t xml:space="preserve"> </w:t>
            </w:r>
            <w:r>
              <w:t xml:space="preserve">[61]</w:t>
            </w:r>
          </w:p>
        </w:tc>
        <w:tc>
          <w:tcPr/>
          <w:p>
            <w:pPr>
              <w:pStyle w:val="Compact"/>
            </w:pPr>
            <w:r>
              <w:t xml:space="preserve">Case series</w:t>
            </w:r>
          </w:p>
        </w:tc>
        <w:tc>
          <w:tcPr/>
          <w:p>
            <w:pPr>
              <w:pStyle w:val="Compact"/>
            </w:pPr>
            <w:r>
              <w:t xml:space="preserve">BSI, VAP, cUTI, IAI</w:t>
            </w:r>
          </w:p>
        </w:tc>
        <w:tc>
          <w:tcPr/>
          <w:p>
            <w:pPr>
              <w:pStyle w:val="Compact"/>
            </w:pPr>
            <w:r>
              <w:t xml:space="preserve">CRAB</w:t>
            </w:r>
          </w:p>
        </w:tc>
        <w:tc>
          <w:tcPr/>
          <w:p>
            <w:pPr>
              <w:pStyle w:val="BodyText"/>
            </w:pPr>
            <w:r>
              <w:t xml:space="preserve">11</w:t>
            </w:r>
          </w:p>
          <w:p>
            <w:pPr>
              <w:pStyle w:val="BodyText"/>
            </w:pPr>
            <w:r>
              <w:t xml:space="preserve">Mono: 3/11 (27%)</w:t>
            </w:r>
          </w:p>
          <w:p>
            <w:pPr>
              <w:pStyle w:val="BodyText"/>
            </w:pPr>
            <w:r>
              <w:t xml:space="preserve">Combo: 8/11 (73%)</w:t>
            </w:r>
          </w:p>
        </w:tc>
        <w:tc>
          <w:tcPr/>
          <w:p>
            <w:pPr>
              <w:pStyle w:val="Compact"/>
            </w:pPr>
            <w:r>
              <w:t xml:space="preserve">COL, TGC</w:t>
            </w:r>
          </w:p>
        </w:tc>
        <w:tc>
          <w:tcPr/>
          <w:p>
            <w:pPr>
              <w:pStyle w:val="BodyText"/>
            </w:pPr>
            <w:r>
              <w:t xml:space="preserve">Breakthrough infections</w:t>
            </w:r>
          </w:p>
          <w:p>
            <w:pPr>
              <w:pStyle w:val="BodyText"/>
            </w:pPr>
            <w:r>
              <w:t xml:space="preserve">Mono: 0/3 (0%)</w:t>
            </w:r>
          </w:p>
          <w:p>
            <w:pPr>
              <w:pStyle w:val="BodyText"/>
            </w:pPr>
            <w:r>
              <w:t xml:space="preserve">Combo: 1/8 (12.5%)</w:t>
            </w:r>
          </w:p>
          <w:p>
            <w:pPr>
              <w:pStyle w:val="BodyText"/>
            </w:pPr>
            <w:r>
              <w:t xml:space="preserve">P = N/A</w:t>
            </w:r>
          </w:p>
          <w:p>
            <w:pPr>
              <w:pStyle w:val="BodyText"/>
            </w:pPr>
            <w:r>
              <w:t xml:space="preserve">Microbiological relapse:</w:t>
            </w:r>
          </w:p>
          <w:p>
            <w:pPr>
              <w:pStyle w:val="BodyText"/>
            </w:pPr>
            <w:r>
              <w:t xml:space="preserve">Mono: 0/3 (0%)</w:t>
            </w:r>
          </w:p>
          <w:p>
            <w:pPr>
              <w:pStyle w:val="BodyText"/>
            </w:pPr>
            <w:r>
              <w:t xml:space="preserve">Combo: 0/8 (0%)</w:t>
            </w:r>
          </w:p>
          <w:p>
            <w:pPr>
              <w:pStyle w:val="BodyText"/>
            </w:pPr>
            <w:r>
              <w:t xml:space="preserve">P = N/A</w:t>
            </w:r>
          </w:p>
        </w:tc>
        <w:tc>
          <w:tcPr/>
          <w:p>
            <w:pPr>
              <w:pStyle w:val="BodyText"/>
            </w:pPr>
            <w:r>
              <w:t xml:space="preserve">Early clinical improvement</w:t>
            </w:r>
          </w:p>
          <w:p>
            <w:pPr>
              <w:pStyle w:val="BodyText"/>
            </w:pPr>
            <w:r>
              <w:t xml:space="preserve">Mono: 2/3 (66.67%)</w:t>
            </w:r>
          </w:p>
          <w:p>
            <w:pPr>
              <w:pStyle w:val="BodyText"/>
            </w:pPr>
            <w:r>
              <w:t xml:space="preserve">Combo: 6/8 (75%)</w:t>
            </w:r>
          </w:p>
          <w:p>
            <w:pPr>
              <w:pStyle w:val="BodyText"/>
            </w:pPr>
            <w:r>
              <w:t xml:space="preserve">P = N/A</w:t>
            </w:r>
          </w:p>
          <w:p>
            <w:pPr>
              <w:pStyle w:val="BodyText"/>
            </w:pPr>
            <w:r>
              <w:t xml:space="preserve">Clinical cure</w:t>
            </w:r>
          </w:p>
          <w:p>
            <w:pPr>
              <w:pStyle w:val="BodyText"/>
            </w:pPr>
            <w:r>
              <w:t xml:space="preserve">Mono: 2/3 (66.67%)</w:t>
            </w:r>
          </w:p>
          <w:p>
            <w:pPr>
              <w:pStyle w:val="BodyText"/>
            </w:pPr>
            <w:r>
              <w:t xml:space="preserve">Combo 6/8 (75%)</w:t>
            </w:r>
          </w:p>
          <w:p>
            <w:pPr>
              <w:pStyle w:val="BodyText"/>
            </w:pPr>
            <w:r>
              <w:t xml:space="preserve">P = N/A</w:t>
            </w:r>
          </w:p>
          <w:p>
            <w:pPr>
              <w:pStyle w:val="BodyText"/>
            </w:pPr>
            <w:r>
              <w:t xml:space="preserve">Overall 30-day mortality</w:t>
            </w:r>
          </w:p>
          <w:p>
            <w:pPr>
              <w:pStyle w:val="BodyText"/>
            </w:pPr>
            <w:r>
              <w:t xml:space="preserve">Mono: 1/3 (33.3%)</w:t>
            </w:r>
          </w:p>
          <w:p>
            <w:pPr>
              <w:pStyle w:val="BodyText"/>
            </w:pPr>
            <w:r>
              <w:t xml:space="preserve">Combo: 2/8 (25%)</w:t>
            </w:r>
          </w:p>
          <w:p>
            <w:pPr>
              <w:pStyle w:val="BodyText"/>
            </w:pPr>
            <w:r>
              <w:t xml:space="preserve">P = N/A</w:t>
            </w:r>
          </w:p>
        </w:tc>
      </w:tr>
      <w:tr>
        <w:tc>
          <w:tcPr/>
          <w:p>
            <w:pPr>
              <w:pStyle w:val="Compact"/>
            </w:pPr>
            <w:r>
              <w:t xml:space="preserve">Persuad, 2024</w:t>
            </w:r>
            <w:r>
              <w:t xml:space="preserve"> </w:t>
            </w:r>
            <w:r>
              <w:t xml:space="preserve">[62]</w:t>
            </w:r>
          </w:p>
        </w:tc>
        <w:tc>
          <w:tcPr/>
          <w:p>
            <w:pPr>
              <w:pStyle w:val="Compact"/>
            </w:pPr>
            <w:r>
              <w:t xml:space="preserve">Case series</w:t>
            </w:r>
          </w:p>
        </w:tc>
        <w:tc>
          <w:tcPr/>
          <w:p>
            <w:pPr>
              <w:pStyle w:val="Compact"/>
            </w:pPr>
            <w:r>
              <w:t xml:space="preserve">HAP, VAP</w:t>
            </w:r>
          </w:p>
        </w:tc>
        <w:tc>
          <w:tcPr/>
          <w:p>
            <w:pPr>
              <w:pStyle w:val="Compact"/>
            </w:pPr>
            <w:r>
              <w:rPr>
                <w:i/>
                <w:iCs/>
              </w:rPr>
              <w:t xml:space="preserve">Pa</w:t>
            </w:r>
            <w:r>
              <w:t xml:space="preserve">, E</w:t>
            </w:r>
          </w:p>
        </w:tc>
        <w:tc>
          <w:tcPr/>
          <w:p>
            <w:pPr>
              <w:pStyle w:val="BodyText"/>
            </w:pPr>
            <w:r>
              <w:t xml:space="preserve">15</w:t>
            </w:r>
          </w:p>
          <w:p>
            <w:pPr>
              <w:pStyle w:val="BodyText"/>
            </w:pPr>
            <w:r>
              <w:t xml:space="preserve">Mono: 3/15 (20%)</w:t>
            </w:r>
          </w:p>
          <w:p>
            <w:pPr>
              <w:pStyle w:val="BodyText"/>
            </w:pPr>
            <w:r>
              <w:t xml:space="preserve">Combo: 12/15 (80%)</w:t>
            </w:r>
          </w:p>
        </w:tc>
        <w:tc>
          <w:tcPr/>
          <w:p>
            <w:pPr>
              <w:pStyle w:val="Compact"/>
            </w:pPr>
            <w:r>
              <w:t xml:space="preserve">COL, CAZ-AVI, AMK, POL</w:t>
            </w:r>
          </w:p>
        </w:tc>
        <w:tc>
          <w:tcPr/>
          <w:p>
            <w:pPr>
              <w:pStyle w:val="BodyText"/>
            </w:pPr>
            <w:r>
              <w:t xml:space="preserve">Cure</w:t>
            </w:r>
          </w:p>
          <w:p>
            <w:pPr>
              <w:pStyle w:val="BodyText"/>
            </w:pPr>
            <w:r>
              <w:t xml:space="preserve">Mono: 2/3 (66.6%)</w:t>
            </w:r>
          </w:p>
          <w:p>
            <w:pPr>
              <w:pStyle w:val="BodyText"/>
            </w:pPr>
            <w:r>
              <w:t xml:space="preserve">Combo: 7/12 (58%)</w:t>
            </w:r>
          </w:p>
          <w:p>
            <w:pPr>
              <w:pStyle w:val="BodyText"/>
            </w:pPr>
            <w:r>
              <w:t xml:space="preserve">P = N/A</w:t>
            </w:r>
          </w:p>
          <w:p>
            <w:pPr>
              <w:pStyle w:val="BodyText"/>
            </w:pPr>
            <w:r>
              <w:t xml:space="preserve">Resistance:</w:t>
            </w:r>
          </w:p>
          <w:p>
            <w:pPr>
              <w:pStyle w:val="BodyText"/>
            </w:pPr>
            <w:r>
              <w:t xml:space="preserve">Mono: 0/3 (0%)</w:t>
            </w:r>
          </w:p>
          <w:p>
            <w:pPr>
              <w:pStyle w:val="BodyText"/>
            </w:pPr>
            <w:r>
              <w:t xml:space="preserve">Combo: 1/12 (8%)</w:t>
            </w:r>
          </w:p>
          <w:p>
            <w:pPr>
              <w:pStyle w:val="BodyText"/>
            </w:pPr>
            <w:r>
              <w:t xml:space="preserve">P = N/A</w:t>
            </w:r>
          </w:p>
        </w:tc>
        <w:tc>
          <w:tcPr/>
          <w:p>
            <w:pPr>
              <w:pStyle w:val="BodyText"/>
            </w:pPr>
            <w:r>
              <w:t xml:space="preserve">30-day mortality</w:t>
            </w:r>
          </w:p>
          <w:p>
            <w:pPr>
              <w:pStyle w:val="BodyText"/>
            </w:pPr>
            <w:r>
              <w:t xml:space="preserve">Mono: 1/3 (33%)</w:t>
            </w:r>
          </w:p>
          <w:p>
            <w:pPr>
              <w:pStyle w:val="BodyText"/>
            </w:pPr>
            <w:r>
              <w:t xml:space="preserve">Combo: 3/12 (25%)</w:t>
            </w:r>
          </w:p>
          <w:p>
            <w:pPr>
              <w:pStyle w:val="BodyText"/>
            </w:pPr>
            <w:r>
              <w:t xml:space="preserve">P = N/A</w:t>
            </w:r>
          </w:p>
        </w:tc>
      </w:tr>
      <w:tr>
        <w:tc>
          <w:tcPr/>
          <w:p>
            <w:pPr>
              <w:pStyle w:val="Compact"/>
            </w:pPr>
            <w:r>
              <w:t xml:space="preserve">Travi, 2024</w:t>
            </w:r>
            <w:r>
              <w:t xml:space="preserve"> </w:t>
            </w:r>
            <w:r>
              <w:t xml:space="preserve">[63]</w:t>
            </w:r>
          </w:p>
        </w:tc>
        <w:tc>
          <w:tcPr/>
          <w:p>
            <w:pPr>
              <w:pStyle w:val="Compact"/>
            </w:pPr>
            <w:r>
              <w:t xml:space="preserve">Case series</w:t>
            </w:r>
          </w:p>
        </w:tc>
        <w:tc>
          <w:tcPr/>
          <w:p>
            <w:pPr>
              <w:pStyle w:val="Compact"/>
            </w:pPr>
            <w:r>
              <w:t xml:space="preserve">VAP, BSI, BJI</w:t>
            </w:r>
          </w:p>
        </w:tc>
        <w:tc>
          <w:tcPr/>
          <w:p>
            <w:pPr>
              <w:pStyle w:val="Compact"/>
            </w:pPr>
            <w:r>
              <w:t xml:space="preserve">CRAB (100% NDM)</w:t>
            </w:r>
          </w:p>
        </w:tc>
        <w:tc>
          <w:tcPr/>
          <w:p>
            <w:pPr>
              <w:pStyle w:val="BodyText"/>
            </w:pPr>
            <w:r>
              <w:t xml:space="preserve">12</w:t>
            </w:r>
          </w:p>
          <w:p>
            <w:pPr>
              <w:pStyle w:val="BodyText"/>
            </w:pPr>
            <w:r>
              <w:t xml:space="preserve">Mono: 2/12 (17%)</w:t>
            </w:r>
          </w:p>
          <w:p>
            <w:pPr>
              <w:pStyle w:val="BodyText"/>
            </w:pPr>
            <w:r>
              <w:t xml:space="preserve">Combo: 10/12 (83%)</w:t>
            </w:r>
          </w:p>
        </w:tc>
        <w:tc>
          <w:tcPr/>
          <w:p>
            <w:pPr>
              <w:pStyle w:val="Compact"/>
            </w:pPr>
            <w:r>
              <w:t xml:space="preserve">COL</w:t>
            </w:r>
          </w:p>
        </w:tc>
        <w:tc>
          <w:tcPr/>
          <w:p>
            <w:pPr>
              <w:pStyle w:val="Compact"/>
            </w:pPr>
            <w:r>
              <w:t xml:space="preserve">N/A</w:t>
            </w:r>
          </w:p>
        </w:tc>
        <w:tc>
          <w:tcPr/>
          <w:p>
            <w:pPr>
              <w:pStyle w:val="BodyText"/>
            </w:pPr>
            <w:r>
              <w:t xml:space="preserve">Clinical cure day-7:</w:t>
            </w:r>
          </w:p>
          <w:p>
            <w:pPr>
              <w:pStyle w:val="BodyText"/>
            </w:pPr>
            <w:r>
              <w:t xml:space="preserve">Mono: 1/2 (50%)</w:t>
            </w:r>
          </w:p>
          <w:p>
            <w:pPr>
              <w:pStyle w:val="BodyText"/>
            </w:pPr>
            <w:r>
              <w:t xml:space="preserve">Combo: 9/10 (90%)</w:t>
            </w:r>
          </w:p>
          <w:p>
            <w:pPr>
              <w:pStyle w:val="BodyText"/>
            </w:pPr>
            <w:r>
              <w:t xml:space="preserve">P = N/A</w:t>
            </w:r>
          </w:p>
        </w:tc>
      </w:tr>
    </w:tbl>
    <w:p>
      <w:pPr>
        <w:sectPr>
          <w:pgSz w:h="11906" w:w="16838" w:orient="landscape"/>
        </w:sectPr>
      </w:pPr>
    </w:p>
    <w:p>
      <w:pPr>
        <w:sectPr>
          <w:pgSz w:h="11906" w:w="16838" w:orient="landscape"/>
        </w:sectPr>
      </w:pPr>
    </w:p>
    <w:bookmarkEnd w:id="120"/>
    <w:bookmarkStart w:id="273" w:name="exploratory-meta-analysis"/>
    <w:p>
      <w:pPr>
        <w:pStyle w:val="Heading1"/>
      </w:pPr>
      <w:r>
        <w:t xml:space="preserve">Exploratory Meta-analysis</w:t>
      </w:r>
    </w:p>
    <w:bookmarkStart w:id="121" w:name="materials-and-methods"/>
    <w:p>
      <w:pPr>
        <w:pStyle w:val="Heading2"/>
      </w:pPr>
      <w:r>
        <w:t xml:space="preserve">Materials and methods</w:t>
      </w:r>
    </w:p>
    <w:p>
      <w:pPr>
        <w:pStyle w:val="FirstParagraph"/>
      </w:pPr>
      <w:r>
        <w:t xml:space="preserve">Randomized controlled trials (RCTs) and observational cohort studies enrolling at least 25 patients were included. Case series, case reports, and studies with fewer than 25 total participants were excluded from the analysis. Details regarding the search strategy, screening and data extraction process are provided in the main manuscript.</w:t>
      </w:r>
    </w:p>
    <w:bookmarkEnd w:id="121"/>
    <w:bookmarkStart w:id="122" w:name="quality-of-evidence"/>
    <w:p>
      <w:pPr>
        <w:pStyle w:val="Heading2"/>
      </w:pPr>
      <w:r>
        <w:t xml:space="preserve">Quality of evidence</w:t>
      </w:r>
    </w:p>
    <w:p>
      <w:pPr>
        <w:pStyle w:val="FirstParagraph"/>
      </w:pPr>
      <w:r>
        <w:t xml:space="preserve">Quality assessment was performed using the Cochrane risk-of-bias tool for RCTs and the Newcastle-Ottawa Scale for observational cohort studies.</w:t>
      </w:r>
    </w:p>
    <w:p>
      <w:pPr>
        <w:pStyle w:val="TableCaption"/>
      </w:pPr>
      <w:r>
        <w:rPr>
          <w:b/>
          <w:bCs/>
        </w:rPr>
        <w:t xml:space="preserve">Table S1</w:t>
      </w:r>
      <w:r>
        <w:t xml:space="preserve">: Robins-2 assessment of risk of bias– Clinical trial, Bassetti et al 2020</w:t>
      </w:r>
      <w:r>
        <w:t xml:space="preserve"> </w:t>
      </w:r>
      <w:r>
        <w:t xml:space="preserve">[33]</w:t>
      </w:r>
      <w:r>
        <w:t xml:space="preserve">. Note that risk of Bias is assessed focusing on the comparison between cefiderocol monotherapy and combination therapy and not the primary endpoint of the study.</w:t>
      </w:r>
    </w:p>
    <w:tbl>
      <w:tblPr>
        <w:tblStyle w:val="Table"/>
        <w:tblW w:type="auto" w:w="0"/>
        <w:tblLook w:firstRow="1" w:lastRow="0" w:firstColumn="0" w:lastColumn="0" w:noHBand="0" w:noVBand="0" w:val="0020"/>
        <w:tblCaption w:val="Table S1: Robins-2 assessment of risk of bias– Clinical trial, Bassetti et al 2020 [33]. Note that risk of Bias is assessed focusing on the comparison between cefiderocol monotherapy and combination therapy and not the primary endpoint of the study."/>
      </w:tblPr>
      <w:tblGrid>
        <w:gridCol w:w="3960"/>
        <w:gridCol w:w="3960"/>
      </w:tblGrid>
      <w:tr>
        <w:trPr>
          <w:tblHeader w:val="on"/>
        </w:trPr>
        <w:tc>
          <w:tcPr/>
          <w:p>
            <w:pPr>
              <w:pStyle w:val="Compact"/>
            </w:pPr>
            <w:r>
              <w:t xml:space="preserve">Criteria</w:t>
            </w:r>
          </w:p>
        </w:tc>
        <w:tc>
          <w:tcPr/>
          <w:p>
            <w:pPr>
              <w:pStyle w:val="Compact"/>
            </w:pPr>
            <w:r>
              <w:rPr>
                <w:b/>
                <w:bCs/>
              </w:rPr>
              <w:t xml:space="preserve">Evaluation</w:t>
            </w:r>
          </w:p>
        </w:tc>
      </w:tr>
      <w:tr>
        <w:tc>
          <w:tcPr/>
          <w:p>
            <w:pPr>
              <w:pStyle w:val="Compact"/>
            </w:pPr>
            <w:r>
              <w:t xml:space="preserve">Randomisation process</w:t>
            </w:r>
          </w:p>
        </w:tc>
        <w:tc>
          <w:tcPr/>
          <w:p>
            <w:pPr>
              <w:pStyle w:val="Compact"/>
            </w:pPr>
            <w:r>
              <w:t xml:space="preserve">- High risk</w:t>
            </w:r>
          </w:p>
        </w:tc>
      </w:tr>
      <w:tr>
        <w:tc>
          <w:tcPr/>
          <w:p>
            <w:pPr>
              <w:pStyle w:val="Compact"/>
            </w:pPr>
            <w:r>
              <w:t xml:space="preserve">Deviations from Intended interventions Signaling</w:t>
            </w:r>
          </w:p>
        </w:tc>
        <w:tc>
          <w:tcPr/>
          <w:p>
            <w:pPr>
              <w:pStyle w:val="Compact"/>
            </w:pPr>
            <w:r>
              <w:t xml:space="preserve">- High risk</w:t>
            </w:r>
          </w:p>
        </w:tc>
      </w:tr>
      <w:tr>
        <w:tc>
          <w:tcPr/>
          <w:p>
            <w:pPr>
              <w:pStyle w:val="Compact"/>
            </w:pPr>
            <w:r>
              <w:t xml:space="preserve">Missing outcomes</w:t>
            </w:r>
          </w:p>
        </w:tc>
        <w:tc>
          <w:tcPr/>
          <w:p>
            <w:pPr>
              <w:pStyle w:val="Compact"/>
            </w:pPr>
            <w:r>
              <w:t xml:space="preserve">- Low risk</w:t>
            </w:r>
          </w:p>
        </w:tc>
      </w:tr>
      <w:tr>
        <w:tc>
          <w:tcPr/>
          <w:p>
            <w:pPr>
              <w:pStyle w:val="Compact"/>
            </w:pPr>
            <w:r>
              <w:t xml:space="preserve">Measurement of outcome</w:t>
            </w:r>
          </w:p>
        </w:tc>
        <w:tc>
          <w:tcPr/>
          <w:p>
            <w:pPr>
              <w:pStyle w:val="Compact"/>
            </w:pPr>
            <w:r>
              <w:t xml:space="preserve">- Low risk</w:t>
            </w:r>
          </w:p>
        </w:tc>
      </w:tr>
      <w:tr>
        <w:tc>
          <w:tcPr/>
          <w:p>
            <w:pPr>
              <w:pStyle w:val="Compact"/>
            </w:pPr>
            <w:r>
              <w:t xml:space="preserve">Selection of reported results</w:t>
            </w:r>
          </w:p>
        </w:tc>
        <w:tc>
          <w:tcPr/>
          <w:p>
            <w:pPr>
              <w:pStyle w:val="Compact"/>
            </w:pPr>
            <w:r>
              <w:t xml:space="preserve">- Some concernes</w:t>
            </w:r>
          </w:p>
        </w:tc>
      </w:tr>
      <w:tr>
        <w:tc>
          <w:tcPr/>
          <w:p>
            <w:pPr>
              <w:pStyle w:val="Compact"/>
            </w:pPr>
            <w:r>
              <w:rPr>
                <w:b/>
                <w:bCs/>
              </w:rPr>
              <w:t xml:space="preserve">Overall</w:t>
            </w:r>
          </w:p>
        </w:tc>
        <w:tc>
          <w:tcPr/>
          <w:p>
            <w:pPr>
              <w:pStyle w:val="Compact"/>
            </w:pPr>
            <w:r>
              <w:t xml:space="preserve">- Some concernes</w:t>
            </w:r>
          </w:p>
        </w:tc>
      </w:tr>
    </w:tbl>
    <w:p>
      <w:pPr>
        <w:pStyle w:val="BodyText"/>
      </w:pPr>
      <w:r>
        <w:t xml:space="preserve"> </w:t>
      </w:r>
    </w:p>
    <w:p>
      <w:pPr>
        <w:pStyle w:val="TableCaption"/>
      </w:pPr>
      <w:r>
        <w:rPr>
          <w:b/>
          <w:bCs/>
        </w:rPr>
        <w:t xml:space="preserve">Table S2</w:t>
      </w:r>
      <w:r>
        <w:t xml:space="preserve">: Risk of bias: low 6-7 stars, moderate 4-5 stars, high 1-3 stars. Note that risk of Bias is assessed focusing on the comparison between cefiderocol monotherapy and combination therapy that, in most of the cases, is not the primary outcome of interest of the studies.</w:t>
      </w:r>
    </w:p>
    <w:tbl>
      <w:tblPr>
        <w:tblStyle w:val="Table"/>
        <w:tblW w:type="pct" w:w="4981"/>
        <w:tblLayout w:type="fixed"/>
        <w:tblLook w:firstRow="1" w:lastRow="0" w:firstColumn="0" w:lastColumn="0" w:noHBand="0" w:noVBand="0" w:val="0020"/>
        <w:tblCaption w:val="Table S2: Risk of bias: low 6-7 stars, moderate 4-5 stars, high 1-3 stars. Note that risk of Bias is assessed focusing on the comparison between cefiderocol monotherapy and combination therapy that, in most of the cases, is not the primary outcome of interest of the studies."/>
      </w:tblPr>
      <w:tblGrid>
        <w:gridCol w:w="1192"/>
        <w:gridCol w:w="3822"/>
        <w:gridCol w:w="2874"/>
      </w:tblGrid>
      <w:tr>
        <w:trPr>
          <w:tblHeader w:val="on"/>
        </w:trPr>
        <w:tc>
          <w:tcPr/>
          <w:p>
            <w:pPr>
              <w:pStyle w:val="Compact"/>
            </w:pPr>
            <w:r>
              <w:rPr>
                <w:b/>
                <w:bCs/>
              </w:rPr>
              <w:t xml:space="preserve">Criteria</w:t>
            </w:r>
          </w:p>
        </w:tc>
        <w:tc>
          <w:tcPr/>
          <w:p>
            <w:pPr>
              <w:pStyle w:val="BodyText"/>
            </w:pPr>
            <w:r>
              <w:rPr>
                <w:b/>
                <w:bCs/>
              </w:rPr>
              <w:t xml:space="preserve">Acceptable</w:t>
            </w:r>
          </w:p>
          <w:p>
            <w:pPr>
              <w:pStyle w:val="BodyText"/>
            </w:pPr>
            <w:r>
              <w:rPr>
                <w:b/>
                <w:bCs/>
              </w:rPr>
              <w:t xml:space="preserve">(star awarded)</w:t>
            </w:r>
          </w:p>
        </w:tc>
        <w:tc>
          <w:tcPr/>
          <w:p>
            <w:pPr>
              <w:pStyle w:val="BodyText"/>
            </w:pPr>
            <w:r>
              <w:rPr>
                <w:b/>
                <w:bCs/>
              </w:rPr>
              <w:t xml:space="preserve">Unacceptable</w:t>
            </w:r>
          </w:p>
          <w:p>
            <w:pPr>
              <w:pStyle w:val="BodyText"/>
            </w:pPr>
            <w:r>
              <w:rPr>
                <w:b/>
                <w:bCs/>
              </w:rPr>
              <w:t xml:space="preserve">(star not awarded)</w:t>
            </w:r>
          </w:p>
        </w:tc>
      </w:tr>
      <w:tr>
        <w:tc>
          <w:tcPr/>
          <w:p>
            <w:pPr>
              <w:pStyle w:val="Compact"/>
            </w:pPr>
            <w:r>
              <w:t xml:space="preserve">Representativeness of exposed cohort</w:t>
            </w:r>
          </w:p>
        </w:tc>
        <w:tc>
          <w:tcPr/>
          <w:p>
            <w:pPr>
              <w:pStyle w:val="Compact"/>
            </w:pPr>
            <w:r>
              <w:t xml:space="preserve">Truly representative OR somewhat representative</w:t>
            </w:r>
          </w:p>
        </w:tc>
        <w:tc>
          <w:tcPr/>
          <w:p>
            <w:pPr>
              <w:pStyle w:val="Compact"/>
            </w:pPr>
            <w:r>
              <w:t xml:space="preserve">No description</w:t>
            </w:r>
          </w:p>
        </w:tc>
      </w:tr>
      <w:tr>
        <w:tc>
          <w:tcPr/>
          <w:p>
            <w:pPr>
              <w:pStyle w:val="Compact"/>
            </w:pPr>
            <w:r>
              <w:t xml:space="preserve">Selection of non-exposed cohort</w:t>
            </w:r>
          </w:p>
        </w:tc>
        <w:tc>
          <w:tcPr/>
          <w:p>
            <w:pPr>
              <w:pStyle w:val="Compact"/>
            </w:pPr>
            <w:r>
              <w:t xml:space="preserve">Drawn from the same community as the exposed cohort</w:t>
            </w:r>
          </w:p>
        </w:tc>
        <w:tc>
          <w:tcPr/>
          <w:p>
            <w:pPr>
              <w:pStyle w:val="Compact"/>
            </w:pPr>
            <w:r>
              <w:t xml:space="preserve">Drawn from a different source OR no description of the derivation of the non-exposed cohort</w:t>
            </w:r>
          </w:p>
        </w:tc>
      </w:tr>
      <w:tr>
        <w:tc>
          <w:tcPr/>
          <w:p>
            <w:pPr>
              <w:pStyle w:val="Compact"/>
            </w:pPr>
            <w:r>
              <w:t xml:space="preserve">Ascertainment of exposure</w:t>
            </w:r>
          </w:p>
        </w:tc>
        <w:tc>
          <w:tcPr/>
          <w:p>
            <w:pPr>
              <w:pStyle w:val="Compact"/>
            </w:pPr>
            <w:r>
              <w:t xml:space="preserve">Secure records or directly measured</w:t>
            </w:r>
          </w:p>
        </w:tc>
        <w:tc>
          <w:tcPr/>
          <w:p>
            <w:pPr>
              <w:pStyle w:val="Compact"/>
            </w:pPr>
            <w:r>
              <w:t xml:space="preserve">Self-report OR unclear</w:t>
            </w:r>
          </w:p>
        </w:tc>
      </w:tr>
      <w:tr>
        <w:tc>
          <w:tcPr/>
          <w:p>
            <w:pPr>
              <w:pStyle w:val="Compact"/>
            </w:pPr>
            <w:r>
              <w:t xml:space="preserve">Comparability</w:t>
            </w:r>
          </w:p>
        </w:tc>
        <w:tc>
          <w:tcPr/>
          <w:p>
            <w:pPr>
              <w:pStyle w:val="Compact"/>
              <w:numPr>
                <w:ilvl w:val="0"/>
                <w:numId w:val="1001"/>
              </w:numPr>
            </w:pPr>
            <w:r>
              <w:t xml:space="preserve">Adjusted for age, sex, comorbidities.</w:t>
            </w:r>
          </w:p>
          <w:p>
            <w:pPr>
              <w:pStyle w:val="Compact"/>
              <w:numPr>
                <w:ilvl w:val="0"/>
                <w:numId w:val="1001"/>
              </w:numPr>
            </w:pPr>
            <w:r>
              <w:t xml:space="preserve">Adjusted for known colonization or source control, or previous antibiotic therapy or time from diagnosis to antibiotic</w:t>
            </w:r>
          </w:p>
        </w:tc>
        <w:tc>
          <w:tcPr/>
          <w:p>
            <w:pPr>
              <w:pStyle w:val="Compact"/>
            </w:pPr>
            <w:r>
              <w:t xml:space="preserve">No adjustment</w:t>
            </w:r>
          </w:p>
        </w:tc>
      </w:tr>
      <w:tr>
        <w:tc>
          <w:tcPr/>
          <w:p>
            <w:pPr>
              <w:pStyle w:val="Compact"/>
            </w:pPr>
            <w:r>
              <w:t xml:space="preserve">Outcome of interest</w:t>
            </w:r>
          </w:p>
        </w:tc>
        <w:tc>
          <w:tcPr/>
          <w:p>
            <w:pPr>
              <w:pStyle w:val="Compact"/>
            </w:pPr>
            <w:r>
              <w:t xml:space="preserve">Secure records or directly measured</w:t>
            </w:r>
          </w:p>
        </w:tc>
        <w:tc>
          <w:tcPr/>
          <w:p>
            <w:pPr>
              <w:pStyle w:val="Compact"/>
            </w:pPr>
            <w:r>
              <w:t xml:space="preserve">Self-report OR unclear</w:t>
            </w:r>
          </w:p>
        </w:tc>
      </w:tr>
      <w:tr>
        <w:tc>
          <w:tcPr/>
          <w:p>
            <w:pPr>
              <w:pStyle w:val="Compact"/>
            </w:pPr>
            <w:r>
              <w:t xml:space="preserve">Adequacy of follow-up</w:t>
            </w:r>
          </w:p>
        </w:tc>
        <w:tc>
          <w:tcPr/>
          <w:p>
            <w:pPr>
              <w:pStyle w:val="Compact"/>
            </w:pPr>
            <w:r>
              <w:t xml:space="preserve">Adjusted for missing data or follow-up &gt; 14 days.</w:t>
            </w:r>
          </w:p>
        </w:tc>
        <w:tc>
          <w:tcPr/>
          <w:p>
            <w:pPr>
              <w:pStyle w:val="Compact"/>
            </w:pPr>
            <w:r>
              <w:t xml:space="preserve">No statement regarding missing data. No follow-up after end of therapy</w:t>
            </w:r>
          </w:p>
        </w:tc>
      </w:tr>
    </w:tbl>
    <w:bookmarkEnd w:id="122"/>
    <w:bookmarkStart w:id="123" w:name="analysis"/>
    <w:p>
      <w:pPr>
        <w:pStyle w:val="Heading2"/>
      </w:pPr>
      <w:r>
        <w:t xml:space="preserve">Analysis</w:t>
      </w:r>
    </w:p>
    <w:p>
      <w:pPr>
        <w:pStyle w:val="FirstParagraph"/>
      </w:pPr>
      <w:r>
        <w:t xml:space="preserve">A meta-analysis was conducted using random-effects models with the restricted maximum-likelihood (REML) estimator to account for between-study variability. The analysed outcomes were 30-day all-cause mortality, clinical and microbiological cure in patients treated with cefiderocol combination therapy versus monotherapy. Effect sizes were calculated as odds ratios (ORs) with 95% confidence intervals (CIs). When available, adjusted effect sizes were pooled using the inverse variance method. In the absence of adjusted estimates, crude odds ratios were calculated and included in the analysis.</w:t>
      </w:r>
    </w:p>
    <w:p>
      <w:pPr>
        <w:pStyle w:val="BodyText"/>
      </w:pPr>
      <w:r>
        <w:t xml:space="preserve">A 95% prediction interval was also displayed to estimate the range in which the true effect of a new study is expected to lie. Heterogeneity across studies was assessed using the Chi-squared test (with a p-value &lt; 0.1 indicating substantial heterogeneity) and the I² statistic (with values &gt; 50% considered indicative of moderate to high heterogeneity).</w:t>
      </w:r>
    </w:p>
    <w:p>
      <w:pPr>
        <w:pStyle w:val="BodyText"/>
      </w:pPr>
      <w:r>
        <w:t xml:space="preserve">A subgroup analysis was performed based on the type of infection, distinguishing between CRAB infections only and mixed MDR infections. To assess whether treatment effects differed significantly between subgroups, a Q-test for subgroup differences was performed. With two subgroups, this test is based on one degree of freedom. A p-value &lt; 0.05 was considered indicative of a significant difference in effect estimates.</w:t>
      </w:r>
    </w:p>
    <w:p>
      <w:pPr>
        <w:pStyle w:val="BodyText"/>
      </w:pPr>
      <w:r>
        <w:t xml:space="preserve">Potential publication bias was evaluated through contour-enhanced funnel plots, incorporating significance contours at</w:t>
      </w:r>
      <w:r>
        <w:t xml:space="preserve"> </w:t>
      </w:r>
      <w:r>
        <w:rPr>
          <w:i/>
          <w:iCs/>
        </w:rPr>
        <w:t xml:space="preserve">p</w:t>
      </w:r>
      <w:r>
        <w:t xml:space="preserve"> </w:t>
      </w:r>
      <w:r>
        <w:t xml:space="preserve">&lt; 0.1,</w:t>
      </w:r>
      <w:r>
        <w:t xml:space="preserve"> </w:t>
      </w:r>
      <w:r>
        <w:rPr>
          <w:i/>
          <w:iCs/>
        </w:rPr>
        <w:t xml:space="preserve">p</w:t>
      </w:r>
      <w:r>
        <w:t xml:space="preserve"> </w:t>
      </w:r>
      <w:r>
        <w:t xml:space="preserve">&lt; 0.05, and</w:t>
      </w:r>
      <w:r>
        <w:t xml:space="preserve"> </w:t>
      </w:r>
      <w:r>
        <w:rPr>
          <w:i/>
          <w:iCs/>
        </w:rPr>
        <w:t xml:space="preserve">p</w:t>
      </w:r>
      <w:r>
        <w:t xml:space="preserve"> </w:t>
      </w:r>
      <w:r>
        <w:t xml:space="preserve">&lt; 0.01, as shown in the plot legends.Egger’s test for funnel plot asymmetry was not performed, as none of the pooled analyses included 10 or more studies. For the same reason, the trim and fill method was not applied.</w:t>
      </w:r>
    </w:p>
    <w:p>
      <w:pPr>
        <w:pStyle w:val="BodyText"/>
      </w:pPr>
      <w:r>
        <w:t xml:space="preserve">Influence analysis was conducted to evaluate the robustness of the results. Baujat plots were used to identify studies with the greatest contribution to heterogeneity and effect size, and leave-one-out analyses were performed to assess the influence of individual studies on the overall pooled estimate (results not shown, available on github).</w:t>
      </w:r>
    </w:p>
    <w:p>
      <w:pPr>
        <w:pStyle w:val="BodyText"/>
      </w:pPr>
      <w:r>
        <w:t xml:space="preserve">All analyses were conducted using R software (version 4.4.3). The meta and dmetar packages were primarily used for meta-analysis calculations and sensitivity analysis.</w:t>
      </w:r>
    </w:p>
    <w:bookmarkEnd w:id="123"/>
    <w:bookmarkStart w:id="125" w:name="data-availability"/>
    <w:p>
      <w:pPr>
        <w:pStyle w:val="Heading2"/>
      </w:pPr>
      <w:r>
        <w:rPr>
          <w:b/>
          <w:bCs/>
        </w:rPr>
        <w:t xml:space="preserve">Data availability</w:t>
      </w:r>
    </w:p>
    <w:p>
      <w:pPr>
        <w:pStyle w:val="FirstParagraph"/>
      </w:pPr>
      <w:r>
        <w:t xml:space="preserve">Data and analysis are available at:</w:t>
      </w:r>
      <w:r>
        <w:t xml:space="preserve"> </w:t>
      </w:r>
      <w:hyperlink r:id="rId124">
        <w:r>
          <w:rPr>
            <w:rStyle w:val="Hyperlink"/>
          </w:rPr>
          <w:t xml:space="preserve">https://github.com/mat194/Cefiderocol-Meta-analysis</w:t>
        </w:r>
      </w:hyperlink>
    </w:p>
    <w:bookmarkEnd w:id="125"/>
    <w:bookmarkStart w:id="272" w:name="results"/>
    <w:p>
      <w:pPr>
        <w:pStyle w:val="Heading2"/>
      </w:pPr>
      <w:r>
        <w:t xml:space="preserve">Results</w:t>
      </w:r>
    </w:p>
    <w:bookmarkStart w:id="132" w:name="Xf4090dcf0ad441dc2acad3e4b47a0f4e48cc647"/>
    <w:p>
      <w:pPr>
        <w:pStyle w:val="Heading3"/>
      </w:pPr>
      <w:r>
        <w:rPr>
          <w:b/>
          <w:bCs/>
        </w:rPr>
        <w:t xml:space="preserve">Does cefiderocol combination therapy improve 30 days mortality compared to monotherapy?</w:t>
      </w:r>
    </w:p>
    <w:p>
      <w:pPr>
        <w:pStyle w:val="FirstParagraph"/>
      </w:pPr>
      <w:r>
        <w:drawing>
          <wp:inline>
            <wp:extent cx="5334000" cy="2591721"/>
            <wp:effectExtent b="0" l="0" r="0" t="0"/>
            <wp:docPr descr="" title="" id="127" name="Picture"/>
            <a:graphic>
              <a:graphicData uri="http://schemas.openxmlformats.org/drawingml/2006/picture">
                <pic:pic>
                  <pic:nvPicPr>
                    <pic:cNvPr descr="images/clipboard-384120512.png" id="128" name="Picture"/>
                    <pic:cNvPicPr>
                      <a:picLocks noChangeArrowheads="1" noChangeAspect="1"/>
                    </pic:cNvPicPr>
                  </pic:nvPicPr>
                  <pic:blipFill>
                    <a:blip r:embed="rId126"/>
                    <a:stretch>
                      <a:fillRect/>
                    </a:stretch>
                  </pic:blipFill>
                  <pic:spPr bwMode="auto">
                    <a:xfrm>
                      <a:off x="0" y="0"/>
                      <a:ext cx="5334000" cy="2591721"/>
                    </a:xfrm>
                    <a:prstGeom prst="rect">
                      <a:avLst/>
                    </a:prstGeom>
                    <a:noFill/>
                    <a:ln w="9525">
                      <a:noFill/>
                      <a:headEnd/>
                      <a:tailEnd/>
                    </a:ln>
                  </pic:spPr>
                </pic:pic>
              </a:graphicData>
            </a:graphic>
          </wp:inline>
        </w:drawing>
      </w:r>
    </w:p>
    <w:p>
      <w:pPr>
        <w:pStyle w:val="BodyText"/>
      </w:pPr>
      <w:r>
        <w:t xml:space="preserve">A total of nine retrospective studies published between 2022 and 2024 were included in the meta-analysis, comprising both monocentric and multicentric designs from Italy (n = 6), the USA (n = 1), France (n = 1), and an international collaboration (n = 1). Only one study</w:t>
      </w:r>
      <w:r>
        <w:t xml:space="preserve"> </w:t>
      </w:r>
      <w:r>
        <w:t xml:space="preserve">[41]</w:t>
      </w:r>
      <w:r>
        <w:t xml:space="preserve"> </w:t>
      </w:r>
      <w:r>
        <w:t xml:space="preserve">provided an adjusted effect estimate using a propensity score inverse probability weighting method (aOR 1.11, 95% CI 0.63–1.96). The remaining studies relied on univariate analyses. CRAB was the most frequently targeted pathogen, although several studies also included broader MDR organisms.</w:t>
      </w:r>
    </w:p>
    <w:p>
      <w:pPr>
        <w:pStyle w:val="BodyText"/>
      </w:pPr>
      <w:r>
        <w:t xml:space="preserve">The test for subgroup differences was not statistically significant, indicating no strong evidence of differential treatment effect between the subgroups.</w:t>
      </w:r>
    </w:p>
    <w:p>
      <w:pPr>
        <w:pStyle w:val="BodyText"/>
      </w:pPr>
      <w:r>
        <w:t xml:space="preserve">The influence analysis indicated that no single study disproportionately affected the overall pooled estimate or heterogeneity. The Baujat plot showed that onely</w:t>
      </w:r>
      <w:r>
        <w:t xml:space="preserve"> </w:t>
      </w:r>
      <w:r>
        <w:rPr>
          <w:i/>
          <w:iCs/>
        </w:rPr>
        <w:t xml:space="preserve">Falcone, 2022</w:t>
      </w:r>
      <w:r>
        <w:t xml:space="preserve"> </w:t>
      </w:r>
      <w:r>
        <w:t xml:space="preserve">[37]</w:t>
      </w:r>
      <w:r>
        <w:t xml:space="preserve"> </w:t>
      </w:r>
      <w:r>
        <w:t xml:space="preserve">contributed most to heterogeneity, while</w:t>
      </w:r>
      <w:r>
        <w:t xml:space="preserve"> </w:t>
      </w:r>
      <w:r>
        <w:rPr>
          <w:i/>
          <w:iCs/>
        </w:rPr>
        <w:t xml:space="preserve">Piccica, 202</w:t>
      </w:r>
      <w:r>
        <w:t xml:space="preserve">3</w:t>
      </w:r>
      <w:r>
        <w:t xml:space="preserve"> </w:t>
      </w:r>
      <w:r>
        <w:t xml:space="preserve">[41]</w:t>
      </w:r>
      <w:r>
        <w:t xml:space="preserve"> </w:t>
      </w:r>
      <w:r>
        <w:t xml:space="preserve">had the greatest influence on the pooled result. However, leave-one-out sensitivity analysis confirmed the stability of the overall effect estimate, with no major change in heterogeneity (I² remained 0% in all iterations).</w:t>
      </w:r>
    </w:p>
    <w:p>
      <w:pPr>
        <w:pStyle w:val="BodyText"/>
      </w:pPr>
      <w:r>
        <w:drawing>
          <wp:inline>
            <wp:extent cx="3626915" cy="3626915"/>
            <wp:effectExtent b="0" l="0" r="0" t="0"/>
            <wp:docPr descr="" title="" id="130" name="Picture"/>
            <a:graphic>
              <a:graphicData uri="http://schemas.openxmlformats.org/drawingml/2006/picture">
                <pic:pic>
                  <pic:nvPicPr>
                    <pic:cNvPr descr="images/clipboard-4124015486.png" id="131" name="Picture"/>
                    <pic:cNvPicPr>
                      <a:picLocks noChangeArrowheads="1" noChangeAspect="1"/>
                    </pic:cNvPicPr>
                  </pic:nvPicPr>
                  <pic:blipFill>
                    <a:blip r:embed="rId129"/>
                    <a:stretch>
                      <a:fillRect/>
                    </a:stretch>
                  </pic:blipFill>
                  <pic:spPr bwMode="auto">
                    <a:xfrm>
                      <a:off x="0" y="0"/>
                      <a:ext cx="3626915" cy="3626915"/>
                    </a:xfrm>
                    <a:prstGeom prst="rect">
                      <a:avLst/>
                    </a:prstGeom>
                    <a:noFill/>
                    <a:ln w="9525">
                      <a:noFill/>
                      <a:headEnd/>
                      <a:tailEnd/>
                    </a:ln>
                  </pic:spPr>
                </pic:pic>
              </a:graphicData>
            </a:graphic>
          </wp:inline>
        </w:drawing>
      </w:r>
    </w:p>
    <w:p>
      <w:pPr>
        <w:pStyle w:val="BodyText"/>
      </w:pPr>
      <w:r>
        <w:t xml:space="preserve">The contour-enhanced funnel plot does not reveal clear evidence of publication bias. The distribution of studies appears relatively symmetrical around the central effect estimate, and most points fall within non-significant regions, suggesting that any observed asymmetry is unlikely to be due to selective reporting of statistically significant results.</w:t>
      </w:r>
    </w:p>
    <w:bookmarkEnd w:id="132"/>
    <w:bookmarkStart w:id="139" w:name="Xd9205a48bc7bf680abc6aae630bb62ddec1823b"/>
    <w:p>
      <w:pPr>
        <w:pStyle w:val="Heading3"/>
      </w:pPr>
      <w:r>
        <w:rPr>
          <w:b/>
          <w:bCs/>
        </w:rPr>
        <w:t xml:space="preserve">Does cefiderocol combination therapy improve clinical cure compared to monotherapy?</w:t>
      </w:r>
    </w:p>
    <w:p>
      <w:pPr>
        <w:pStyle w:val="FirstParagraph"/>
      </w:pPr>
      <w:r>
        <w:drawing>
          <wp:inline>
            <wp:extent cx="5334000" cy="2591721"/>
            <wp:effectExtent b="0" l="0" r="0" t="0"/>
            <wp:docPr descr="" title="" id="134" name="Picture"/>
            <a:graphic>
              <a:graphicData uri="http://schemas.openxmlformats.org/drawingml/2006/picture">
                <pic:pic>
                  <pic:nvPicPr>
                    <pic:cNvPr descr="images/clipboard-4070756505.png" id="135" name="Picture"/>
                    <pic:cNvPicPr>
                      <a:picLocks noChangeArrowheads="1" noChangeAspect="1"/>
                    </pic:cNvPicPr>
                  </pic:nvPicPr>
                  <pic:blipFill>
                    <a:blip r:embed="rId133"/>
                    <a:stretch>
                      <a:fillRect/>
                    </a:stretch>
                  </pic:blipFill>
                  <pic:spPr bwMode="auto">
                    <a:xfrm>
                      <a:off x="0" y="0"/>
                      <a:ext cx="5334000" cy="2591721"/>
                    </a:xfrm>
                    <a:prstGeom prst="rect">
                      <a:avLst/>
                    </a:prstGeom>
                    <a:noFill/>
                    <a:ln w="9525">
                      <a:noFill/>
                      <a:headEnd/>
                      <a:tailEnd/>
                    </a:ln>
                  </pic:spPr>
                </pic:pic>
              </a:graphicData>
            </a:graphic>
          </wp:inline>
        </w:drawing>
      </w:r>
    </w:p>
    <w:p>
      <w:pPr>
        <w:pStyle w:val="BodyText"/>
      </w:pPr>
      <w:r>
        <w:t xml:space="preserve">None of the included studies reported adjusted effect estimates; all results were derived from univariate analyses. The analysis includes one randomized clinical trial, two prospective cohort studies, and six retrospective observational studies.</w:t>
      </w:r>
    </w:p>
    <w:p>
      <w:pPr>
        <w:pStyle w:val="BodyText"/>
      </w:pPr>
      <w:r>
        <w:t xml:space="preserve">The influence analysis revealed that no single study had a disproportionate impact on the pooled effect estimate, although a few studies contributed more to heterogeneity or had a slightly higher influence. According to the Baujat plot,</w:t>
      </w:r>
      <w:r>
        <w:t xml:space="preserve"> </w:t>
      </w:r>
      <w:r>
        <w:rPr>
          <w:i/>
          <w:iCs/>
        </w:rPr>
        <w:t xml:space="preserve">Dalfino, 2023</w:t>
      </w:r>
      <w:r>
        <w:t xml:space="preserve"> </w:t>
      </w:r>
      <w:r>
        <w:t xml:space="preserve">[34]</w:t>
      </w:r>
      <w:r>
        <w:t xml:space="preserve"> </w:t>
      </w:r>
      <w:r>
        <w:t xml:space="preserve">showed the highest contribution to heterogeneity, while</w:t>
      </w:r>
      <w:r>
        <w:t xml:space="preserve"> </w:t>
      </w:r>
      <w:r>
        <w:rPr>
          <w:i/>
          <w:iCs/>
        </w:rPr>
        <w:t xml:space="preserve">Giannella, 2023</w:t>
      </w:r>
      <w:r>
        <w:t xml:space="preserve"> </w:t>
      </w:r>
      <w:r>
        <w:t xml:space="preserve">[44]</w:t>
      </w:r>
      <w:r>
        <w:t xml:space="preserve"> </w:t>
      </w:r>
      <w:r>
        <w:t xml:space="preserve">had the greatest influence on the pooled result.</w:t>
      </w:r>
    </w:p>
    <w:p>
      <w:pPr>
        <w:pStyle w:val="BodyText"/>
      </w:pPr>
      <w:r>
        <w:t xml:space="preserve">The test for subgroup differences was not statistically significant, suggesting no clear evidence of a differential treatment effect between the two infection categories.</w:t>
      </w:r>
    </w:p>
    <w:p>
      <w:pPr>
        <w:pStyle w:val="BodyText"/>
      </w:pPr>
      <w:r>
        <w:t xml:space="preserve">Leave-one-out analysis confirmed the robustness of the meta-analytic findings. Omitting individual studies led to minimal shifts in the pooled odds ratio, and none of the exclusions resulted in a statistically significant change. Heterogeneity remained low to moderate (I² range: 0% to 43%) throughout, indicating consistent findings across studies.</w:t>
      </w:r>
    </w:p>
    <w:p>
      <w:pPr>
        <w:pStyle w:val="BodyText"/>
      </w:pPr>
      <w:r>
        <w:drawing>
          <wp:inline>
            <wp:extent cx="3626915" cy="3626915"/>
            <wp:effectExtent b="0" l="0" r="0" t="0"/>
            <wp:docPr descr="" title="" id="137" name="Picture"/>
            <a:graphic>
              <a:graphicData uri="http://schemas.openxmlformats.org/drawingml/2006/picture">
                <pic:pic>
                  <pic:nvPicPr>
                    <pic:cNvPr descr="images/clipboard-3145531308.png" id="138" name="Picture"/>
                    <pic:cNvPicPr>
                      <a:picLocks noChangeArrowheads="1" noChangeAspect="1"/>
                    </pic:cNvPicPr>
                  </pic:nvPicPr>
                  <pic:blipFill>
                    <a:blip r:embed="rId136"/>
                    <a:stretch>
                      <a:fillRect/>
                    </a:stretch>
                  </pic:blipFill>
                  <pic:spPr bwMode="auto">
                    <a:xfrm>
                      <a:off x="0" y="0"/>
                      <a:ext cx="3626915" cy="3626915"/>
                    </a:xfrm>
                    <a:prstGeom prst="rect">
                      <a:avLst/>
                    </a:prstGeom>
                    <a:noFill/>
                    <a:ln w="9525">
                      <a:noFill/>
                      <a:headEnd/>
                      <a:tailEnd/>
                    </a:ln>
                  </pic:spPr>
                </pic:pic>
              </a:graphicData>
            </a:graphic>
          </wp:inline>
        </w:drawing>
      </w:r>
    </w:p>
    <w:bookmarkEnd w:id="139"/>
    <w:bookmarkStart w:id="146" w:name="Xa44a715e142bdcdea9b38f37cd3ab06a261499e"/>
    <w:p>
      <w:pPr>
        <w:pStyle w:val="Heading3"/>
      </w:pPr>
      <w:r>
        <w:rPr>
          <w:b/>
          <w:bCs/>
        </w:rPr>
        <w:t xml:space="preserve">Does cefiderocol combination therapy improve microbiological cure compared to monotherapy?</w:t>
      </w:r>
    </w:p>
    <w:p>
      <w:pPr>
        <w:pStyle w:val="FirstParagraph"/>
      </w:pPr>
      <w:r>
        <w:drawing>
          <wp:inline>
            <wp:extent cx="5334000" cy="2591721"/>
            <wp:effectExtent b="0" l="0" r="0" t="0"/>
            <wp:docPr descr="" title="" id="141" name="Picture"/>
            <a:graphic>
              <a:graphicData uri="http://schemas.openxmlformats.org/drawingml/2006/picture">
                <pic:pic>
                  <pic:nvPicPr>
                    <pic:cNvPr descr="images/clipboard-135960318.png" id="142" name="Picture"/>
                    <pic:cNvPicPr>
                      <a:picLocks noChangeArrowheads="1" noChangeAspect="1"/>
                    </pic:cNvPicPr>
                  </pic:nvPicPr>
                  <pic:blipFill>
                    <a:blip r:embed="rId140"/>
                    <a:stretch>
                      <a:fillRect/>
                    </a:stretch>
                  </pic:blipFill>
                  <pic:spPr bwMode="auto">
                    <a:xfrm>
                      <a:off x="0" y="0"/>
                      <a:ext cx="5334000" cy="2591721"/>
                    </a:xfrm>
                    <a:prstGeom prst="rect">
                      <a:avLst/>
                    </a:prstGeom>
                    <a:noFill/>
                    <a:ln w="9525">
                      <a:noFill/>
                      <a:headEnd/>
                      <a:tailEnd/>
                    </a:ln>
                  </pic:spPr>
                </pic:pic>
              </a:graphicData>
            </a:graphic>
          </wp:inline>
        </w:drawing>
      </w:r>
    </w:p>
    <w:p>
      <w:pPr>
        <w:pStyle w:val="BodyText"/>
      </w:pPr>
      <w:r>
        <w:t xml:space="preserve">None of the included studies reported adjusted effect estimates; all outcomes were based on univariate comparisons. The analysis includes one randomized clinical trial, and four retrospective observational studies.</w:t>
      </w:r>
    </w:p>
    <w:p>
      <w:pPr>
        <w:pStyle w:val="BodyText"/>
      </w:pPr>
      <w:r>
        <w:t xml:space="preserve">The influence analysis showed that the overall pooled estimate was robust, with no single study exerting a disproportionate influence on the meta-analytic result. The Baujat plot identified</w:t>
      </w:r>
      <w:r>
        <w:t xml:space="preserve"> </w:t>
      </w:r>
      <w:r>
        <w:rPr>
          <w:i/>
          <w:iCs/>
        </w:rPr>
        <w:t xml:space="preserve">Mazzitelli, 2023</w:t>
      </w:r>
      <w:r>
        <w:t xml:space="preserve"> </w:t>
      </w:r>
      <w:r>
        <w:t xml:space="preserve">as the most influential study on the pooled effect size, followed by</w:t>
      </w:r>
      <w:r>
        <w:t xml:space="preserve"> </w:t>
      </w:r>
      <w:r>
        <w:rPr>
          <w:i/>
          <w:iCs/>
        </w:rPr>
        <w:t xml:space="preserve">El Ghali, 2024</w:t>
      </w:r>
      <w:r>
        <w:t xml:space="preserve"> </w:t>
      </w:r>
      <w:r>
        <w:t xml:space="preserve">[48]</w:t>
      </w:r>
      <w:r>
        <w:t xml:space="preserve"> </w:t>
      </w:r>
      <w:r>
        <w:t xml:space="preserve">and</w:t>
      </w:r>
      <w:r>
        <w:t xml:space="preserve"> </w:t>
      </w:r>
      <w:r>
        <w:rPr>
          <w:i/>
          <w:iCs/>
        </w:rPr>
        <w:t xml:space="preserve">Palermo, 2023</w:t>
      </w:r>
      <w:r>
        <w:t xml:space="preserve"> </w:t>
      </w:r>
      <w:r>
        <w:t xml:space="preserve">[42]</w:t>
      </w:r>
      <w:r>
        <w:t xml:space="preserve">. However, the contribution of all studies to overall heterogeneity remained minimal.</w:t>
      </w:r>
    </w:p>
    <w:p>
      <w:pPr>
        <w:pStyle w:val="BodyText"/>
      </w:pPr>
      <w:r>
        <w:t xml:space="preserve">The test for subgroup differences yielded a statistically significant result, suggesting a potential difference in treatment effect between the CRAB and mixed infection groups. However, this result must be interpreted with caution. As noted in the Cochrane Handbook for Systematic Reviews of Interventions, statistical tests for subgroup differences can yield spurious significance when the number of studies is small, and power to detect true differences is generally low. With only two and three studies in the respective subgroups, the observed significance may reflect random variation rather than a true differential effect.</w:t>
      </w:r>
    </w:p>
    <w:p>
      <w:pPr>
        <w:pStyle w:val="BodyText"/>
      </w:pPr>
      <w:r>
        <w:t xml:space="preserve">Leave-one-out sensitivity analysis confirmed the stability of the results. Omitting any single study did not lead to significant shifts in the pooled odds ratio. Heterogeneity remained low (I² = 0%) throughout all iterations, reinforcing the consistency of findings.</w:t>
      </w:r>
    </w:p>
    <w:p>
      <w:pPr>
        <w:pStyle w:val="BodyText"/>
      </w:pPr>
      <w:r>
        <w:drawing>
          <wp:inline>
            <wp:extent cx="3283248" cy="3626915"/>
            <wp:effectExtent b="0" l="0" r="0" t="0"/>
            <wp:docPr descr="" title="" id="144" name="Picture"/>
            <a:graphic>
              <a:graphicData uri="http://schemas.openxmlformats.org/drawingml/2006/picture">
                <pic:pic>
                  <pic:nvPicPr>
                    <pic:cNvPr descr="images/clipboard-3107019296.png" id="145" name="Picture"/>
                    <pic:cNvPicPr>
                      <a:picLocks noChangeArrowheads="1" noChangeAspect="1"/>
                    </pic:cNvPicPr>
                  </pic:nvPicPr>
                  <pic:blipFill>
                    <a:blip r:embed="rId143"/>
                    <a:stretch>
                      <a:fillRect/>
                    </a:stretch>
                  </pic:blipFill>
                  <pic:spPr bwMode="auto">
                    <a:xfrm>
                      <a:off x="0" y="0"/>
                      <a:ext cx="3283248" cy="3626915"/>
                    </a:xfrm>
                    <a:prstGeom prst="rect">
                      <a:avLst/>
                    </a:prstGeom>
                    <a:noFill/>
                    <a:ln w="9525">
                      <a:noFill/>
                      <a:headEnd/>
                      <a:tailEnd/>
                    </a:ln>
                  </pic:spPr>
                </pic:pic>
              </a:graphicData>
            </a:graphic>
          </wp:inline>
        </w:drawing>
      </w:r>
    </w:p>
    <w:bookmarkEnd w:id="146"/>
    <w:bookmarkStart w:id="271" w:name="references"/>
    <w:p>
      <w:pPr>
        <w:pStyle w:val="Heading3"/>
      </w:pPr>
      <w:r>
        <w:t xml:space="preserve">References</w:t>
      </w:r>
    </w:p>
    <w:bookmarkStart w:id="270" w:name="refs"/>
    <w:bookmarkStart w:id="148" w:name="ref-tsuji2016"/>
    <w:p>
      <w:pPr>
        <w:pStyle w:val="Bibliography"/>
      </w:pPr>
      <w:r>
        <w:t xml:space="preserve">[1]</w:t>
      </w:r>
      <w:r>
        <w:t xml:space="preserve"> </w:t>
      </w:r>
      <w:r>
        <w:t xml:space="preserve">	</w:t>
      </w:r>
      <w:r>
        <w:t xml:space="preserve">Abdul-Mutakabbir JC, Nguyen L, Stamper K, Maassen P, Lev K, Morrisette T, et al. 1295. Activity of SPR206, a polymyxin b derivative, compared to colistin alone and in combination against multidrug-resistant pseudomonas aeruginosa strains. Open Forum Infectious Diseases 2020;7:S662–3.</w:t>
      </w:r>
      <w:r>
        <w:t xml:space="preserve"> </w:t>
      </w:r>
      <w:hyperlink r:id="rId147">
        <w:r>
          <w:rPr>
            <w:rStyle w:val="Hyperlink"/>
          </w:rPr>
          <w:t xml:space="preserve">https://doi.org/10.1093/ofid/ofaa439.1478</w:t>
        </w:r>
      </w:hyperlink>
      <w:r>
        <w:t xml:space="preserve">.</w:t>
      </w:r>
    </w:p>
    <w:bookmarkEnd w:id="148"/>
    <w:bookmarkStart w:id="150" w:name="ref-palombo2023"/>
    <w:p>
      <w:pPr>
        <w:pStyle w:val="Bibliography"/>
      </w:pPr>
      <w:r>
        <w:t xml:space="preserve">[2]</w:t>
      </w:r>
      <w:r>
        <w:t xml:space="preserve"> </w:t>
      </w:r>
      <w:r>
        <w:t xml:space="preserve">	</w:t>
      </w:r>
      <w:r>
        <w:t xml:space="preserve">Palombo M, Bovo F, Amadesi S, Gaibani P. Synergistic Activity of Cefiderocol in Combination with Piperacillin-Tazobactam, Fosfomycin, Ampicillin-Sulbactam, Imipenem-Relebactam and Ceftazidime-Avibactam against Carbapenem-Resistant Gram-Negative Bacteria. Antibiotics 2023;12:858.</w:t>
      </w:r>
      <w:r>
        <w:t xml:space="preserve"> </w:t>
      </w:r>
      <w:hyperlink r:id="rId149">
        <w:r>
          <w:rPr>
            <w:rStyle w:val="Hyperlink"/>
          </w:rPr>
          <w:t xml:space="preserve">https://doi.org/10.3390/antibiotics12050858</w:t>
        </w:r>
      </w:hyperlink>
      <w:r>
        <w:t xml:space="preserve">.</w:t>
      </w:r>
    </w:p>
    <w:bookmarkEnd w:id="150"/>
    <w:bookmarkStart w:id="152" w:name="ref-kohira2020"/>
    <w:p>
      <w:pPr>
        <w:pStyle w:val="Bibliography"/>
      </w:pPr>
      <w:r>
        <w:t xml:space="preserve">[3]</w:t>
      </w:r>
      <w:r>
        <w:t xml:space="preserve"> </w:t>
      </w:r>
      <w:r>
        <w:t xml:space="preserve">	</w:t>
      </w:r>
      <w:r>
        <w:t xml:space="preserve">Kohira N, Hackel MA, Ishioka Y, Kuroiwa M, Sahm DF, Sato T, et al. Reduced susceptibility mechanism to cefiderocol, a siderophore cephalosporin, among clinical isolates from a global surveillance programme (SIDERO-WT-2014). Journal of Global Antimicrobial Resistance 2020;22:738–41.</w:t>
      </w:r>
      <w:r>
        <w:t xml:space="preserve"> </w:t>
      </w:r>
      <w:hyperlink r:id="rId151">
        <w:r>
          <w:rPr>
            <w:rStyle w:val="Hyperlink"/>
          </w:rPr>
          <w:t xml:space="preserve">https://doi.org/10.1016/j.jgar.2020.07.009</w:t>
        </w:r>
      </w:hyperlink>
      <w:r>
        <w:t xml:space="preserve">.</w:t>
      </w:r>
    </w:p>
    <w:bookmarkEnd w:id="152"/>
    <w:bookmarkStart w:id="154" w:name="ref-leterrier2024"/>
    <w:p>
      <w:pPr>
        <w:pStyle w:val="Bibliography"/>
      </w:pPr>
      <w:r>
        <w:t xml:space="preserve">[4]</w:t>
      </w:r>
      <w:r>
        <w:t xml:space="preserve"> </w:t>
      </w:r>
      <w:r>
        <w:t xml:space="preserve">	</w:t>
      </w:r>
      <w:r>
        <w:t xml:space="preserve">Le Terrier C, Freire S, Nordmann P, Poirel L. Multidrug-resistant Gram-negative clinical isolates with reduced susceptibility/resistance to cefiderocol: which are the best present and future therapeutic alternatives? European Journal of Clinical Microbiology &amp; Infectious Diseases 2024;43:339–54.</w:t>
      </w:r>
      <w:r>
        <w:t xml:space="preserve"> </w:t>
      </w:r>
      <w:hyperlink r:id="rId153">
        <w:r>
          <w:rPr>
            <w:rStyle w:val="Hyperlink"/>
          </w:rPr>
          <w:t xml:space="preserve">https://doi.org/10.1007/s10096-023-04732-4</w:t>
        </w:r>
      </w:hyperlink>
      <w:r>
        <w:t xml:space="preserve">.</w:t>
      </w:r>
    </w:p>
    <w:bookmarkEnd w:id="154"/>
    <w:bookmarkStart w:id="156" w:name="ref-xu2025"/>
    <w:p>
      <w:pPr>
        <w:pStyle w:val="Bibliography"/>
      </w:pPr>
      <w:r>
        <w:t xml:space="preserve">[5]</w:t>
      </w:r>
      <w:r>
        <w:t xml:space="preserve"> </w:t>
      </w:r>
      <w:r>
        <w:t xml:space="preserve">	</w:t>
      </w:r>
      <w:r>
        <w:t xml:space="preserve">Xu C, Li X, Zhang G, Li C, You J, Zhang C, et al. Zidebactam restores cefiderocol sensitivity in resistant bacteria. Journal of Infection 2025;90:106417.</w:t>
      </w:r>
      <w:r>
        <w:t xml:space="preserve"> </w:t>
      </w:r>
      <w:hyperlink r:id="rId155">
        <w:r>
          <w:rPr>
            <w:rStyle w:val="Hyperlink"/>
          </w:rPr>
          <w:t xml:space="preserve">https://doi.org/10.1016/j.jinf.2025.106417</w:t>
        </w:r>
      </w:hyperlink>
      <w:r>
        <w:t xml:space="preserve">.</w:t>
      </w:r>
    </w:p>
    <w:bookmarkEnd w:id="156"/>
    <w:bookmarkStart w:id="158" w:name="ref-hara2025"/>
    <w:p>
      <w:pPr>
        <w:pStyle w:val="Bibliography"/>
      </w:pPr>
      <w:r>
        <w:t xml:space="preserve">[6]</w:t>
      </w:r>
      <w:r>
        <w:t xml:space="preserve"> </w:t>
      </w:r>
      <w:r>
        <w:t xml:space="preserve">	</w:t>
      </w:r>
      <w:r>
        <w:t xml:space="preserve">Hara T, Ishibashi N, Miyagawa D, Onishi M, Lomovskaya O, Yamano Y. 514. The impact of xeruborbactam on in vitro activity of cefiderocol against a panel of acinetobacter baumannii enriched in isolates with reduced cefiderocol susceptibility. Open Forum Infectious Diseases 2025;12:ofae631.166.</w:t>
      </w:r>
      <w:r>
        <w:t xml:space="preserve"> </w:t>
      </w:r>
      <w:hyperlink r:id="rId157">
        <w:r>
          <w:rPr>
            <w:rStyle w:val="Hyperlink"/>
          </w:rPr>
          <w:t xml:space="preserve">https://doi.org/10.1093/ofid/ofae631.166</w:t>
        </w:r>
      </w:hyperlink>
      <w:r>
        <w:t xml:space="preserve">.</w:t>
      </w:r>
    </w:p>
    <w:bookmarkEnd w:id="158"/>
    <w:bookmarkStart w:id="160" w:name="ref-hara2025a"/>
    <w:p>
      <w:pPr>
        <w:pStyle w:val="Bibliography"/>
      </w:pPr>
      <w:r>
        <w:t xml:space="preserve">[7]</w:t>
      </w:r>
      <w:r>
        <w:t xml:space="preserve"> </w:t>
      </w:r>
      <w:r>
        <w:t xml:space="preserve">	</w:t>
      </w:r>
      <w:r>
        <w:t xml:space="preserve">Hara T, Ishibashi N, Miyagawa D, Onishi M, Lomovskaya O, Yamano Y. P-1110. The Impact of Xeruborbactam on in vitro Activity of Cefiderocol against a Panel of Enterobacterales Enriched with Isolates with Reduced Cefiderocol Susceptibility. Open Forum Infectious Diseases 2025;12:ofae631.1298.</w:t>
      </w:r>
      <w:r>
        <w:t xml:space="preserve"> </w:t>
      </w:r>
      <w:hyperlink r:id="rId159">
        <w:r>
          <w:rPr>
            <w:rStyle w:val="Hyperlink"/>
          </w:rPr>
          <w:t xml:space="preserve">https://doi.org/10.1093/ofid/ofae631.1298</w:t>
        </w:r>
      </w:hyperlink>
      <w:r>
        <w:t xml:space="preserve">.</w:t>
      </w:r>
    </w:p>
    <w:bookmarkEnd w:id="160"/>
    <w:bookmarkStart w:id="162" w:name="ref-yamano2019"/>
    <w:p>
      <w:pPr>
        <w:pStyle w:val="Bibliography"/>
      </w:pPr>
      <w:r>
        <w:t xml:space="preserve">[8]</w:t>
      </w:r>
      <w:r>
        <w:t xml:space="preserve"> </w:t>
      </w:r>
      <w:r>
        <w:t xml:space="preserve">	</w:t>
      </w:r>
      <w:r>
        <w:t xml:space="preserve">Yamano Y, Tsuji M, Echols R. 723. Synergistic effect of cefiderocol combined with other antibiotics against cefiderocol high MIC isolates from the multi-national SIDERO-WT studies. Open Forum Infectious Diseases 2019;6:S325.</w:t>
      </w:r>
      <w:r>
        <w:t xml:space="preserve"> </w:t>
      </w:r>
      <w:hyperlink r:id="rId161">
        <w:r>
          <w:rPr>
            <w:rStyle w:val="Hyperlink"/>
          </w:rPr>
          <w:t xml:space="preserve">https://doi.org/10.1093/ofid/ofz360.791</w:t>
        </w:r>
      </w:hyperlink>
      <w:r>
        <w:t xml:space="preserve">.</w:t>
      </w:r>
    </w:p>
    <w:bookmarkEnd w:id="162"/>
    <w:bookmarkStart w:id="164" w:name="ref-lewis2024"/>
    <w:p>
      <w:pPr>
        <w:pStyle w:val="Bibliography"/>
      </w:pPr>
      <w:r>
        <w:t xml:space="preserve">[9]</w:t>
      </w:r>
      <w:r>
        <w:t xml:space="preserve"> </w:t>
      </w:r>
      <w:r>
        <w:t xml:space="preserve">	</w:t>
      </w:r>
      <w:r>
        <w:t xml:space="preserve">Lewis RE, Palombo M, Diani E, Secci B, Gibellini D, Gaibani P. Synergistic Activity of Cefiderocol in Combination with Avibactam, Sulbactam or Tazobactam against Carbapenem-Resistant Gram-Negative Bacteria. Cells 2024;13:1315.</w:t>
      </w:r>
      <w:r>
        <w:t xml:space="preserve"> </w:t>
      </w:r>
      <w:hyperlink r:id="rId163">
        <w:r>
          <w:rPr>
            <w:rStyle w:val="Hyperlink"/>
          </w:rPr>
          <w:t xml:space="preserve">https://doi.org/10.3390/cells13161315</w:t>
        </w:r>
      </w:hyperlink>
      <w:r>
        <w:t xml:space="preserve">.</w:t>
      </w:r>
    </w:p>
    <w:bookmarkEnd w:id="164"/>
    <w:bookmarkStart w:id="166" w:name="ref-giordano2024"/>
    <w:p>
      <w:pPr>
        <w:pStyle w:val="Bibliography"/>
      </w:pPr>
      <w:r>
        <w:t xml:space="preserve">[10]</w:t>
      </w:r>
      <w:r>
        <w:t xml:space="preserve"> </w:t>
      </w:r>
      <w:r>
        <w:t xml:space="preserve">	</w:t>
      </w:r>
      <w:r>
        <w:t xml:space="preserve">Giordano C, Barnini S. Glycine restores the sensitivity to antibiotics in multidrug-resistant bacteria. Microbiology Spectrum 2024;12:e00164–24.</w:t>
      </w:r>
      <w:r>
        <w:t xml:space="preserve"> </w:t>
      </w:r>
      <w:hyperlink r:id="rId165">
        <w:r>
          <w:rPr>
            <w:rStyle w:val="Hyperlink"/>
          </w:rPr>
          <w:t xml:space="preserve">https://doi.org/10.1128/spectrum.00164-24</w:t>
        </w:r>
      </w:hyperlink>
      <w:r>
        <w:t xml:space="preserve">.</w:t>
      </w:r>
    </w:p>
    <w:bookmarkEnd w:id="166"/>
    <w:bookmarkStart w:id="167" w:name="ref-abdul-mutakabbir2020"/>
    <w:p>
      <w:pPr>
        <w:pStyle w:val="Bibliography"/>
      </w:pPr>
      <w:r>
        <w:t xml:space="preserve">[11]</w:t>
      </w:r>
      <w:r>
        <w:t xml:space="preserve"> </w:t>
      </w:r>
      <w:r>
        <w:t xml:space="preserve">	</w:t>
      </w:r>
      <w:r>
        <w:t xml:space="preserve">Abdul-Mutakabbir JC, Nguyen L, Stamper K, Maassen P, Lev K, Morrisette T, et al. 1295. Activity of SPR206, a polymyxin b derivative, compared to colistin alone and in combination against multidrug-resistant pseudomonas aeruginosa strains. Open Forum Infectious Diseases 2020;7:S662–3.</w:t>
      </w:r>
      <w:r>
        <w:t xml:space="preserve"> </w:t>
      </w:r>
      <w:hyperlink r:id="rId147">
        <w:r>
          <w:rPr>
            <w:rStyle w:val="Hyperlink"/>
          </w:rPr>
          <w:t xml:space="preserve">https://doi.org/10.1093/ofid/ofaa439.1478</w:t>
        </w:r>
      </w:hyperlink>
      <w:r>
        <w:t xml:space="preserve">.</w:t>
      </w:r>
    </w:p>
    <w:bookmarkEnd w:id="167"/>
    <w:bookmarkStart w:id="169" w:name="ref-ni2022"/>
    <w:p>
      <w:pPr>
        <w:pStyle w:val="Bibliography"/>
      </w:pPr>
      <w:r>
        <w:t xml:space="preserve">[12]</w:t>
      </w:r>
      <w:r>
        <w:t xml:space="preserve"> </w:t>
      </w:r>
      <w:r>
        <w:t xml:space="preserve">	</w:t>
      </w:r>
      <w:r>
        <w:t xml:space="preserve">Ni W, Wang Y, Ma X, He Y, Zhao J, Guan J, et al. In vitro and in vivo efficacy of cefiderocol plus tigecycline, colistin, or meropenem against carbapenem-resistant Acinetobacter baumannii. European Journal of Clinical Microbiology &amp; Infectious Diseases 2022;41:1451–7.</w:t>
      </w:r>
      <w:r>
        <w:t xml:space="preserve"> </w:t>
      </w:r>
      <w:hyperlink r:id="rId168">
        <w:r>
          <w:rPr>
            <w:rStyle w:val="Hyperlink"/>
          </w:rPr>
          <w:t xml:space="preserve">https://doi.org/10.1007/s10096-022-04503-7</w:t>
        </w:r>
      </w:hyperlink>
      <w:r>
        <w:t xml:space="preserve">.</w:t>
      </w:r>
    </w:p>
    <w:bookmarkEnd w:id="169"/>
    <w:bookmarkStart w:id="171" w:name="ref-yin2025"/>
    <w:p>
      <w:pPr>
        <w:pStyle w:val="Bibliography"/>
      </w:pPr>
      <w:r>
        <w:t xml:space="preserve">[13]</w:t>
      </w:r>
      <w:r>
        <w:t xml:space="preserve"> </w:t>
      </w:r>
      <w:r>
        <w:t xml:space="preserve">	</w:t>
      </w:r>
      <w:r>
        <w:t xml:space="preserve">Yin Y, Xu N, Wang X. Activity of cefiderocol in combination with tetracycline analogues against carbapenem-resistant Acinetobacter baumannii. The Journal of Antibiotics 2025;78:190–6.</w:t>
      </w:r>
      <w:r>
        <w:t xml:space="preserve"> </w:t>
      </w:r>
      <w:hyperlink r:id="rId170">
        <w:r>
          <w:rPr>
            <w:rStyle w:val="Hyperlink"/>
          </w:rPr>
          <w:t xml:space="preserve">https://doi.org/10.1038/s41429-024-00801-8</w:t>
        </w:r>
      </w:hyperlink>
      <w:r>
        <w:t xml:space="preserve">.</w:t>
      </w:r>
    </w:p>
    <w:bookmarkEnd w:id="171"/>
    <w:bookmarkStart w:id="172" w:name="ref-stolfa2021"/>
    <w:p>
      <w:pPr>
        <w:pStyle w:val="Bibliography"/>
      </w:pPr>
      <w:r>
        <w:t xml:space="preserve">[14]</w:t>
      </w:r>
      <w:r>
        <w:t xml:space="preserve"> </w:t>
      </w:r>
      <w:r>
        <w:t xml:space="preserve">	</w:t>
      </w:r>
      <w:r>
        <w:t xml:space="preserve">Stolfa S, Romanelli F, Ronga L, Bavaro DF, Stufano M, Dalfino L, et al. In vitro activity of cefiderocol in combination with colistin, fosfomycin and tigecycline against</w:t>
      </w:r>
      <w:r>
        <w:t xml:space="preserve"> </w:t>
      </w:r>
      <w:r>
        <w:rPr>
          <w:i/>
          <w:iCs/>
        </w:rPr>
        <w:t xml:space="preserve">acinetobacter baumannii</w:t>
      </w:r>
      <w:r>
        <w:t xml:space="preserve">. Abstracts of the 31st european congress of clinical microbiology &amp; infectious diseases (ECCMID), Online: 2021.</w:t>
      </w:r>
    </w:p>
    <w:bookmarkEnd w:id="172"/>
    <w:bookmarkStart w:id="174" w:name="ref-yamano2020"/>
    <w:p>
      <w:pPr>
        <w:pStyle w:val="Bibliography"/>
      </w:pPr>
      <w:r>
        <w:t xml:space="preserve">[15]</w:t>
      </w:r>
      <w:r>
        <w:t xml:space="preserve"> </w:t>
      </w:r>
      <w:r>
        <w:t xml:space="preserve">	</w:t>
      </w:r>
      <w:r>
        <w:t xml:space="preserve">Yamano Y, Takemura M, Anan N, Nakamura R, Echols R. 1626. Synergistic effect of cefiderocol with other antibiotics against PER-producing acinetobacter baumannii isolates from the multinational SIDERO-WT studies. Open Forum Infectious Diseases 2020;7:S805.</w:t>
      </w:r>
      <w:r>
        <w:t xml:space="preserve"> </w:t>
      </w:r>
      <w:hyperlink r:id="rId173">
        <w:r>
          <w:rPr>
            <w:rStyle w:val="Hyperlink"/>
          </w:rPr>
          <w:t xml:space="preserve">https://doi.org/10.1093/ofid/ofaa439.1806</w:t>
        </w:r>
      </w:hyperlink>
      <w:r>
        <w:t xml:space="preserve">.</w:t>
      </w:r>
    </w:p>
    <w:bookmarkEnd w:id="174"/>
    <w:bookmarkStart w:id="176" w:name="ref-bianco2022"/>
    <w:p>
      <w:pPr>
        <w:pStyle w:val="Bibliography"/>
      </w:pPr>
      <w:r>
        <w:t xml:space="preserve">[16]</w:t>
      </w:r>
      <w:r>
        <w:t xml:space="preserve"> </w:t>
      </w:r>
      <w:r>
        <w:t xml:space="preserve">	</w:t>
      </w:r>
      <w:r>
        <w:t xml:space="preserve">Bianco G, Gaibani P, Comini S, Boattini M, Banche G, Costa C, et al. Synergistic Effect of Clinically Available Beta-Lactamase Inhibitors Combined with Cefiderocol against Carbapenemase-Producing Gram-Negative Organisms. Antibiotics (Basel, Switzerland) 2022;11:1681.</w:t>
      </w:r>
      <w:r>
        <w:t xml:space="preserve"> </w:t>
      </w:r>
      <w:hyperlink r:id="rId175">
        <w:r>
          <w:rPr>
            <w:rStyle w:val="Hyperlink"/>
          </w:rPr>
          <w:t xml:space="preserve">https://doi.org/10.3390/antibiotics11121681</w:t>
        </w:r>
      </w:hyperlink>
      <w:r>
        <w:t xml:space="preserve">.</w:t>
      </w:r>
    </w:p>
    <w:bookmarkEnd w:id="176"/>
    <w:bookmarkStart w:id="178" w:name="ref-gopikrishnan2023"/>
    <w:p>
      <w:pPr>
        <w:pStyle w:val="Bibliography"/>
      </w:pPr>
      <w:r>
        <w:t xml:space="preserve">[17]</w:t>
      </w:r>
      <w:r>
        <w:t xml:space="preserve"> </w:t>
      </w:r>
      <w:r>
        <w:t xml:space="preserve">	</w:t>
      </w:r>
      <w:r>
        <w:t xml:space="preserve">Gopikrishnan M, Ramireddy S, Varghese RP, Bakathavatchalam YD, D TK, Manesh A, et al. Determination of potential combination of non</w:t>
      </w:r>
      <w:r>
        <w:t xml:space="preserve">-</w:t>
      </w:r>
      <w:r>
        <w:t xml:space="preserve">β</w:t>
      </w:r>
      <w:r>
        <w:t xml:space="preserve">-</w:t>
      </w:r>
      <w:r>
        <w:t xml:space="preserve">lactam, β</w:t>
      </w:r>
      <w:r>
        <w:t xml:space="preserve">-</w:t>
      </w:r>
      <w:r>
        <w:t xml:space="preserve">lactam, and β</w:t>
      </w:r>
      <w:r>
        <w:t xml:space="preserve">-</w:t>
      </w:r>
      <w:r>
        <w:t xml:space="preserve">lactamase inhibitors/β</w:t>
      </w:r>
      <w:r>
        <w:t xml:space="preserve">-</w:t>
      </w:r>
      <w:r>
        <w:t xml:space="preserve">lactam enhancer against class D oxacillinases producing Acinetobacter baumannii : Evidence from in</w:t>
      </w:r>
      <w:r>
        <w:t xml:space="preserve">-</w:t>
      </w:r>
      <w:r>
        <w:t xml:space="preserve">vitro , molecular docking and dynamics simulation. Journal of Cellular Biochemistry 2023;124:974–88.</w:t>
      </w:r>
      <w:r>
        <w:t xml:space="preserve"> </w:t>
      </w:r>
      <w:hyperlink r:id="rId177">
        <w:r>
          <w:rPr>
            <w:rStyle w:val="Hyperlink"/>
          </w:rPr>
          <w:t xml:space="preserve">https://doi.org/10.1002/jcb.30424</w:t>
        </w:r>
      </w:hyperlink>
      <w:r>
        <w:t xml:space="preserve">.</w:t>
      </w:r>
    </w:p>
    <w:bookmarkEnd w:id="178"/>
    <w:bookmarkStart w:id="180" w:name="ref-huband2023"/>
    <w:p>
      <w:pPr>
        <w:pStyle w:val="Bibliography"/>
      </w:pPr>
      <w:r>
        <w:t xml:space="preserve">[18]</w:t>
      </w:r>
      <w:r>
        <w:t xml:space="preserve"> </w:t>
      </w:r>
      <w:r>
        <w:t xml:space="preserve">	</w:t>
      </w:r>
      <w:r>
        <w:t xml:space="preserve">Huband MD, Mendes RE, Morgan GM, Huynh H, Castanheira M. 2517. Activity of sulbactam-durlobactam, antibacterial combinations, and comparators against a challenge set of 66 acinetobacter baumannii-calcoaceticus species complex isolates. Open Forum Infectious Diseases 2023;10:ofad500.2135.</w:t>
      </w:r>
      <w:r>
        <w:t xml:space="preserve"> </w:t>
      </w:r>
      <w:hyperlink r:id="rId179">
        <w:r>
          <w:rPr>
            <w:rStyle w:val="Hyperlink"/>
          </w:rPr>
          <w:t xml:space="preserve">https://doi.org/10.1093/ofid/ofad500.2135</w:t>
        </w:r>
      </w:hyperlink>
      <w:r>
        <w:t xml:space="preserve">.</w:t>
      </w:r>
    </w:p>
    <w:bookmarkEnd w:id="180"/>
    <w:bookmarkStart w:id="182" w:name="ref-kobic2022"/>
    <w:p>
      <w:pPr>
        <w:pStyle w:val="Bibliography"/>
      </w:pPr>
      <w:r>
        <w:t xml:space="preserve">[19]</w:t>
      </w:r>
      <w:r>
        <w:t xml:space="preserve"> </w:t>
      </w:r>
      <w:r>
        <w:t xml:space="preserve">	</w:t>
      </w:r>
      <w:r>
        <w:t xml:space="preserve">Kobic E, Abouelhassan Y, Singaravelu K, Nicolau DP. Pharmacokinetic Analysis and In Vitro Synergy Evaluation of Cefiderocol, Sulbactam, and Tigecycline in an Extensively Drug-Resistant Acinetobacter baumannii Pneumonia Patient Receiving Continuous Venovenous Hemodiafiltration. Open Forum Infectious Diseases 2022;9:ofac484.</w:t>
      </w:r>
      <w:r>
        <w:t xml:space="preserve"> </w:t>
      </w:r>
      <w:hyperlink r:id="rId181">
        <w:r>
          <w:rPr>
            <w:rStyle w:val="Hyperlink"/>
          </w:rPr>
          <w:t xml:space="preserve">https://doi.org/10.1093/ofid/ofac484</w:t>
        </w:r>
      </w:hyperlink>
      <w:r>
        <w:t xml:space="preserve">.</w:t>
      </w:r>
    </w:p>
    <w:bookmarkEnd w:id="182"/>
    <w:bookmarkStart w:id="184" w:name="ref-wong2024"/>
    <w:p>
      <w:pPr>
        <w:pStyle w:val="Bibliography"/>
      </w:pPr>
      <w:r>
        <w:t xml:space="preserve">[20]</w:t>
      </w:r>
      <w:r>
        <w:t xml:space="preserve"> </w:t>
      </w:r>
      <w:r>
        <w:t xml:space="preserve">	</w:t>
      </w:r>
      <w:r>
        <w:t xml:space="preserve">Wong O, Mezcord V, Lopez C, Traglia GM, Pasteran F, Tuttobene MR, et al. Hetero-antagonism of avibactam and sulbactam with cefiderocol in carbapenem-resistant</w:t>
      </w:r>
      <w:r>
        <w:t xml:space="preserve"> </w:t>
      </w:r>
      <w:r>
        <w:rPr>
          <w:i/>
          <w:iCs/>
        </w:rPr>
        <w:t xml:space="preserve">Acinetobacter</w:t>
      </w:r>
      <w:r>
        <w:t xml:space="preserve"> </w:t>
      </w:r>
      <w:r>
        <w:t xml:space="preserve">spp. Microbiology Spectrum 2024;12:e00930–24.</w:t>
      </w:r>
      <w:r>
        <w:t xml:space="preserve"> </w:t>
      </w:r>
      <w:hyperlink r:id="rId183">
        <w:r>
          <w:rPr>
            <w:rStyle w:val="Hyperlink"/>
          </w:rPr>
          <w:t xml:space="preserve">https://doi.org/10.1128/spectrum.00930-24</w:t>
        </w:r>
      </w:hyperlink>
      <w:r>
        <w:t xml:space="preserve">.</w:t>
      </w:r>
    </w:p>
    <w:bookmarkEnd w:id="184"/>
    <w:bookmarkStart w:id="186" w:name="ref-you2025"/>
    <w:p>
      <w:pPr>
        <w:pStyle w:val="Bibliography"/>
      </w:pPr>
      <w:r>
        <w:t xml:space="preserve">[21]</w:t>
      </w:r>
      <w:r>
        <w:t xml:space="preserve"> </w:t>
      </w:r>
      <w:r>
        <w:t xml:space="preserve">	</w:t>
      </w:r>
      <w:r>
        <w:t xml:space="preserve">You K, Binte Mohamed Yazid N, Chong LM, Hooi L, Wang P, Zhuang I, et al. Flash optimization of drug combinations for Acinetobacter baumannii with IDentif.AI-AMR. Npj Antimicrobials and Resistance 2025;3:12.</w:t>
      </w:r>
      <w:r>
        <w:t xml:space="preserve"> </w:t>
      </w:r>
      <w:hyperlink r:id="rId185">
        <w:r>
          <w:rPr>
            <w:rStyle w:val="Hyperlink"/>
          </w:rPr>
          <w:t xml:space="preserve">https://doi.org/10.1038/s44259-025-00079-2</w:t>
        </w:r>
      </w:hyperlink>
      <w:r>
        <w:t xml:space="preserve">.</w:t>
      </w:r>
    </w:p>
    <w:bookmarkEnd w:id="186"/>
    <w:bookmarkStart w:id="188" w:name="ref-göpel2024"/>
    <w:p>
      <w:pPr>
        <w:pStyle w:val="Bibliography"/>
      </w:pPr>
      <w:r>
        <w:t xml:space="preserve">[22]</w:t>
      </w:r>
      <w:r>
        <w:t xml:space="preserve"> </w:t>
      </w:r>
      <w:r>
        <w:t xml:space="preserve">	</w:t>
      </w:r>
      <w:r>
        <w:t xml:space="preserve">Göpel L, Tran Nguyen MT, Tran Thanh T, Hauswaldt S, Nur Canbulat Ö, Rupp J, et al. Delaying cefiderocol resistance development in NDM-producing enterobacter cloacae complex by combining cefiderocol with aztreonam in vitro. bioRxiv 2024.</w:t>
      </w:r>
      <w:r>
        <w:t xml:space="preserve"> </w:t>
      </w:r>
      <w:hyperlink r:id="rId187">
        <w:r>
          <w:rPr>
            <w:rStyle w:val="Hyperlink"/>
          </w:rPr>
          <w:t xml:space="preserve">https://doi.org/10.1101/2024.02.13.579981</w:t>
        </w:r>
      </w:hyperlink>
      <w:r>
        <w:t xml:space="preserve">.</w:t>
      </w:r>
    </w:p>
    <w:bookmarkEnd w:id="188"/>
    <w:bookmarkStart w:id="190" w:name="ref-bianco2022a"/>
    <w:p>
      <w:pPr>
        <w:pStyle w:val="Bibliography"/>
      </w:pPr>
      <w:r>
        <w:t xml:space="preserve">[23]</w:t>
      </w:r>
      <w:r>
        <w:t xml:space="preserve"> </w:t>
      </w:r>
      <w:r>
        <w:t xml:space="preserve">	</w:t>
      </w:r>
      <w:r>
        <w:t xml:space="preserve">Bianco G, Boattini M, Comini S, Casale R, Iannaccone M, Cavallo R, et al. Occurrence of multi-carbapenemases producers among carbapenemase-producing Enterobacterales and in vitro activity of combinations including cefiderocol, ceftazidime-avibactam, meropenem-vaborbactam, and aztreonam in the COVID-19 era. European Journal of Clinical Microbiology &amp; Infectious Diseases 2022;41:573–80.</w:t>
      </w:r>
      <w:r>
        <w:t xml:space="preserve"> </w:t>
      </w:r>
      <w:hyperlink r:id="rId189">
        <w:r>
          <w:rPr>
            <w:rStyle w:val="Hyperlink"/>
          </w:rPr>
          <w:t xml:space="preserve">https://doi.org/10.1007/s10096-022-04408-5</w:t>
        </w:r>
      </w:hyperlink>
      <w:r>
        <w:t xml:space="preserve">.</w:t>
      </w:r>
    </w:p>
    <w:bookmarkEnd w:id="190"/>
    <w:bookmarkStart w:id="192" w:name="ref-boattini2023"/>
    <w:p>
      <w:pPr>
        <w:pStyle w:val="Bibliography"/>
      </w:pPr>
      <w:r>
        <w:t xml:space="preserve">[24]</w:t>
      </w:r>
      <w:r>
        <w:t xml:space="preserve"> </w:t>
      </w:r>
      <w:r>
        <w:t xml:space="preserve">	</w:t>
      </w:r>
      <w:r>
        <w:t xml:space="preserve">Boattini M, Comini S, Bianco G, Iannaccone M, Casale R, Cavallo R, et al. Activity of cefiderocol and synergy of novel β-lactam-β-lactamase inhibitor-based combinations against metallo-β-lactamase-producing gram-negative bacilli: insights from a two-year study (2019-2020). Journal of Chemotherapy (Florence, Italy) 2023;35:198–204.</w:t>
      </w:r>
      <w:r>
        <w:t xml:space="preserve"> </w:t>
      </w:r>
      <w:hyperlink r:id="rId191">
        <w:r>
          <w:rPr>
            <w:rStyle w:val="Hyperlink"/>
          </w:rPr>
          <w:t xml:space="preserve">https://doi.org/10.1080/1120009X.2022.2090615</w:t>
        </w:r>
      </w:hyperlink>
      <w:r>
        <w:t xml:space="preserve">.</w:t>
      </w:r>
    </w:p>
    <w:bookmarkEnd w:id="192"/>
    <w:bookmarkStart w:id="194" w:name="ref-moon2023"/>
    <w:p>
      <w:pPr>
        <w:pStyle w:val="Bibliography"/>
      </w:pPr>
      <w:r>
        <w:t xml:space="preserve">[25]</w:t>
      </w:r>
      <w:r>
        <w:t xml:space="preserve"> </w:t>
      </w:r>
      <w:r>
        <w:t xml:space="preserve">	</w:t>
      </w:r>
      <w:r>
        <w:t xml:space="preserve">Moon SH, Huang E. Cefiderocol Resistance in Klebsiella pneumoniae Is Linked to SHV Extended-Spectrum β-Lactamase Activities and Functional Loss of the Outer Membrane Porin OmpK35. Microbiology Spectrum 2023;11:e03496–22.</w:t>
      </w:r>
      <w:r>
        <w:t xml:space="preserve"> </w:t>
      </w:r>
      <w:hyperlink r:id="rId193">
        <w:r>
          <w:rPr>
            <w:rStyle w:val="Hyperlink"/>
          </w:rPr>
          <w:t xml:space="preserve">https://doi.org/10.1128/spectrum.03496-22</w:t>
        </w:r>
      </w:hyperlink>
      <w:r>
        <w:t xml:space="preserve">.</w:t>
      </w:r>
    </w:p>
    <w:bookmarkEnd w:id="194"/>
    <w:bookmarkStart w:id="196" w:name="ref-daoud2023"/>
    <w:p>
      <w:pPr>
        <w:pStyle w:val="Bibliography"/>
      </w:pPr>
      <w:r>
        <w:t xml:space="preserve">[26]</w:t>
      </w:r>
      <w:r>
        <w:t xml:space="preserve"> </w:t>
      </w:r>
      <w:r>
        <w:t xml:space="preserve">	</w:t>
      </w:r>
      <w:r>
        <w:t xml:space="preserve">Daoud L, Al-Marzooq F, Ghazawi A, Anes F, Collyns T. High efficacy and enhanced synergistic activity of the novel siderophore-cephalosporin cefiderocol against multidrug-resistant and extensively drug-resistant Klebsiella pneumoniae from inpatients attending a single hospital in the United Arab Emirates. Journal of Infection and Public Health 2023;16:33–44.</w:t>
      </w:r>
      <w:r>
        <w:t xml:space="preserve"> </w:t>
      </w:r>
      <w:hyperlink r:id="rId195">
        <w:r>
          <w:rPr>
            <w:rStyle w:val="Hyperlink"/>
          </w:rPr>
          <w:t xml:space="preserve">https://doi.org/10.1016/j.jiph.2023.11.003</w:t>
        </w:r>
      </w:hyperlink>
      <w:r>
        <w:t xml:space="preserve">.</w:t>
      </w:r>
    </w:p>
    <w:bookmarkEnd w:id="196"/>
    <w:bookmarkStart w:id="198" w:name="ref-granata2025"/>
    <w:p>
      <w:pPr>
        <w:pStyle w:val="Bibliography"/>
      </w:pPr>
      <w:r>
        <w:t xml:space="preserve">[27]</w:t>
      </w:r>
      <w:r>
        <w:t xml:space="preserve"> </w:t>
      </w:r>
      <w:r>
        <w:t xml:space="preserve">	</w:t>
      </w:r>
      <w:r>
        <w:t xml:space="preserve">Granata G, Venditti C, Rotondo C, Dimartino V, D’Arezzo S, Gallo A, et al. Combating Metallo-β-Lactamase-Producing Pseudomonas aeruginosa: The Fractional Inhibitory Concentration Index as a Tool to Evaluate Antibiotic Synergy. Antibiotics 2025;14:210.</w:t>
      </w:r>
      <w:r>
        <w:t xml:space="preserve"> </w:t>
      </w:r>
      <w:hyperlink r:id="rId197">
        <w:r>
          <w:rPr>
            <w:rStyle w:val="Hyperlink"/>
          </w:rPr>
          <w:t xml:space="preserve">https://doi.org/10.3390/antibiotics14020210</w:t>
        </w:r>
      </w:hyperlink>
      <w:r>
        <w:t xml:space="preserve">.</w:t>
      </w:r>
    </w:p>
    <w:bookmarkEnd w:id="198"/>
    <w:bookmarkStart w:id="200" w:name="ref-ferretti2024"/>
    <w:p>
      <w:pPr>
        <w:pStyle w:val="Bibliography"/>
      </w:pPr>
      <w:r>
        <w:t xml:space="preserve">[28]</w:t>
      </w:r>
      <w:r>
        <w:t xml:space="preserve"> </w:t>
      </w:r>
      <w:r>
        <w:t xml:space="preserve">	</w:t>
      </w:r>
      <w:r>
        <w:t xml:space="preserve">Ferretti C, Poma NV, Bernardo M, Rindi L, Cesta N, Tavanti A, et al. Evaluation of antibiofilm activity of cefiderocol alone and in combination with imipenem against Pseudomonas aeruginosa. Journal of Global Antimicrobial Resistance 2024;37:53–61.</w:t>
      </w:r>
      <w:r>
        <w:t xml:space="preserve"> </w:t>
      </w:r>
      <w:hyperlink r:id="rId199">
        <w:r>
          <w:rPr>
            <w:rStyle w:val="Hyperlink"/>
          </w:rPr>
          <w:t xml:space="preserve">https://doi.org/10.1016/j.jgar.2024.01.021</w:t>
        </w:r>
      </w:hyperlink>
      <w:r>
        <w:t xml:space="preserve">.</w:t>
      </w:r>
    </w:p>
    <w:bookmarkEnd w:id="200"/>
    <w:bookmarkStart w:id="201" w:name="ref-elhaj2024"/>
    <w:p>
      <w:pPr>
        <w:pStyle w:val="Bibliography"/>
      </w:pPr>
      <w:r>
        <w:t xml:space="preserve">[29]</w:t>
      </w:r>
      <w:r>
        <w:t xml:space="preserve"> </w:t>
      </w:r>
      <w:r>
        <w:t xml:space="preserve">	</w:t>
      </w:r>
      <w:r>
        <w:t xml:space="preserve">El Haj C, Agustí E, Benavent E, Tubau Quintano MF, Càmara J, Rigo-Bonnin R, et al. Efficacy of cefiderocol alone and combined with colistin against biofilms by MDR/XDR</w:t>
      </w:r>
      <w:r>
        <w:t xml:space="preserve"> </w:t>
      </w:r>
      <w:r>
        <w:rPr>
          <w:i/>
          <w:iCs/>
        </w:rPr>
        <w:t xml:space="preserve">pseudomonas aeruginosa</w:t>
      </w:r>
      <w:r>
        <w:t xml:space="preserve">: A dynamic study. Abstracts of the 34th european congress of clinical microbiology &amp; infectious diseases (ECCMID), Barcelona, Spain: 2024.</w:t>
      </w:r>
    </w:p>
    <w:bookmarkEnd w:id="201"/>
    <w:bookmarkStart w:id="203" w:name="ref-schilling2024"/>
    <w:p>
      <w:pPr>
        <w:pStyle w:val="Bibliography"/>
      </w:pPr>
      <w:r>
        <w:t xml:space="preserve">[30]</w:t>
      </w:r>
      <w:r>
        <w:t xml:space="preserve"> </w:t>
      </w:r>
      <w:r>
        <w:t xml:space="preserve">	</w:t>
      </w:r>
      <w:r>
        <w:t xml:space="preserve">Schilling B, Hii M, Shanks HQ, Romanowski EG, Mandell JB, Shanks RMQ, et al. Efficacy of Cefiderocol Against Endophthalmitis Isolates. Antibiotics 2024;13:1236.</w:t>
      </w:r>
      <w:r>
        <w:t xml:space="preserve"> </w:t>
      </w:r>
      <w:hyperlink r:id="rId202">
        <w:r>
          <w:rPr>
            <w:rStyle w:val="Hyperlink"/>
          </w:rPr>
          <w:t xml:space="preserve">https://doi.org/10.3390/antibiotics13121236</w:t>
        </w:r>
      </w:hyperlink>
      <w:r>
        <w:t xml:space="preserve">.</w:t>
      </w:r>
    </w:p>
    <w:bookmarkEnd w:id="203"/>
    <w:bookmarkStart w:id="205" w:name="ref-wang2023"/>
    <w:p>
      <w:pPr>
        <w:pStyle w:val="Bibliography"/>
      </w:pPr>
      <w:r>
        <w:t xml:space="preserve">[31]</w:t>
      </w:r>
      <w:r>
        <w:t xml:space="preserve"> </w:t>
      </w:r>
      <w:r>
        <w:t xml:space="preserve">	</w:t>
      </w:r>
      <w:r>
        <w:t xml:space="preserve">Wang C, Xia Y, Wang R, Li J, Chan C-L, Kao RY-T, et al. Metallo-sideromycin as a dual functional complex for combating antimicrobial resistance. Nature Communications 2023;14:5311.</w:t>
      </w:r>
      <w:r>
        <w:t xml:space="preserve"> </w:t>
      </w:r>
      <w:hyperlink r:id="rId204">
        <w:r>
          <w:rPr>
            <w:rStyle w:val="Hyperlink"/>
          </w:rPr>
          <w:t xml:space="preserve">https://doi.org/10.1038/s41467-023-40828-3</w:t>
        </w:r>
      </w:hyperlink>
      <w:r>
        <w:t xml:space="preserve">.</w:t>
      </w:r>
    </w:p>
    <w:bookmarkEnd w:id="205"/>
    <w:bookmarkStart w:id="207" w:name="ref-biagi2020"/>
    <w:p>
      <w:pPr>
        <w:pStyle w:val="Bibliography"/>
      </w:pPr>
      <w:r>
        <w:t xml:space="preserve">[32]</w:t>
      </w:r>
      <w:r>
        <w:t xml:space="preserve"> </w:t>
      </w:r>
      <w:r>
        <w:t xml:space="preserve">	</w:t>
      </w:r>
      <w:r>
        <w:t xml:space="preserve">Biagi M, Vialichka A, Jurkovic M, Wu T, Shajee A, Lee M, et al. Activity of cefiderocol alone and in combination with levofloxacin, minocycline, polymyxin b, or trimethoprim-sulfamethoxazole against multidrug-resistant stenotrophomonas maltophilia. Antimicrobial Agents and Chemotherapy 2020;64:10.1128/aac.00559–20.</w:t>
      </w:r>
      <w:r>
        <w:t xml:space="preserve"> </w:t>
      </w:r>
      <w:hyperlink r:id="rId206">
        <w:r>
          <w:rPr>
            <w:rStyle w:val="Hyperlink"/>
          </w:rPr>
          <w:t xml:space="preserve">https://doi.org/10.1128/aac.00559-20</w:t>
        </w:r>
      </w:hyperlink>
      <w:r>
        <w:t xml:space="preserve">.</w:t>
      </w:r>
    </w:p>
    <w:bookmarkEnd w:id="207"/>
    <w:bookmarkStart w:id="209" w:name="ref-bassetti2021"/>
    <w:p>
      <w:pPr>
        <w:pStyle w:val="Bibliography"/>
      </w:pPr>
      <w:r>
        <w:t xml:space="preserve">[33]</w:t>
      </w:r>
      <w:r>
        <w:t xml:space="preserve"> </w:t>
      </w:r>
      <w:r>
        <w:t xml:space="preserve">	</w:t>
      </w:r>
      <w:r>
        <w:t xml:space="preserve">Bassetti M, Echols R, Matsunaga Y, Ariyasu M, Doi Y, Ferrer R, et al. Efficacy and safety of cefiderocol or best available therapy for the treatment of serious infections caused by carbapenem-resistant Gram-negative bacteria (CREDIBLE-CR): a randomised, open-label, multicentre, pathogen-focused, descriptive, phase 3 trial. The Lancet Infectious Diseases 2021;21:226–40.</w:t>
      </w:r>
      <w:r>
        <w:t xml:space="preserve"> </w:t>
      </w:r>
      <w:hyperlink r:id="rId208">
        <w:r>
          <w:rPr>
            <w:rStyle w:val="Hyperlink"/>
          </w:rPr>
          <w:t xml:space="preserve">https://doi.org/10.1016/S1473-3099(20)30796-9</w:t>
        </w:r>
      </w:hyperlink>
      <w:r>
        <w:t xml:space="preserve">.</w:t>
      </w:r>
    </w:p>
    <w:bookmarkEnd w:id="209"/>
    <w:bookmarkStart w:id="211" w:name="ref-dalfino2023"/>
    <w:p>
      <w:pPr>
        <w:pStyle w:val="Bibliography"/>
      </w:pPr>
      <w:r>
        <w:t xml:space="preserve">[34]</w:t>
      </w:r>
      <w:r>
        <w:t xml:space="preserve"> </w:t>
      </w:r>
      <w:r>
        <w:t xml:space="preserve">	</w:t>
      </w:r>
      <w:r>
        <w:t xml:space="preserve">Dalfino L, Stufano M, Bavaro DF, Diella L, Belati A, Stolfa S, et al. Effectiveness of First-Line Therapy with Old and Novel Antibiotics in Ventilator-Associated Pneumonia Caused by Carbapenem-Resistant Acinetobacter baumannii: A Real Life, Prospective, Observational, Single-Center Study. Antibiotics 2023;12:1048.</w:t>
      </w:r>
      <w:r>
        <w:t xml:space="preserve"> </w:t>
      </w:r>
      <w:hyperlink r:id="rId210">
        <w:r>
          <w:rPr>
            <w:rStyle w:val="Hyperlink"/>
          </w:rPr>
          <w:t xml:space="preserve">https://doi.org/10.3390/antibiotics12061048</w:t>
        </w:r>
      </w:hyperlink>
      <w:r>
        <w:t xml:space="preserve">.</w:t>
      </w:r>
    </w:p>
    <w:bookmarkEnd w:id="211"/>
    <w:bookmarkStart w:id="213" w:name="ref-buonomo2024"/>
    <w:p>
      <w:pPr>
        <w:pStyle w:val="Bibliography"/>
      </w:pPr>
      <w:r>
        <w:t xml:space="preserve">[35]</w:t>
      </w:r>
      <w:r>
        <w:t xml:space="preserve"> </w:t>
      </w:r>
      <w:r>
        <w:t xml:space="preserve">	</w:t>
      </w:r>
      <w:r>
        <w:t xml:space="preserve">Buonomo AR, Scotto R, Esposito N, Viceconte G, Schiano Moriello N, Zumbo G, et al. Treatment of Carbapenem-Resistant Acinetobacter baumannii in Real Life (T-ACI): A Prospective Single-Center Observational Study. Antibiotics 2024;13:1007.</w:t>
      </w:r>
      <w:r>
        <w:t xml:space="preserve"> </w:t>
      </w:r>
      <w:hyperlink r:id="rId212">
        <w:r>
          <w:rPr>
            <w:rStyle w:val="Hyperlink"/>
          </w:rPr>
          <w:t xml:space="preserve">https://doi.org/10.3390/antibiotics13111007</w:t>
        </w:r>
      </w:hyperlink>
      <w:r>
        <w:t xml:space="preserve">.</w:t>
      </w:r>
    </w:p>
    <w:bookmarkEnd w:id="213"/>
    <w:bookmarkStart w:id="215" w:name="ref-giacobbe2024"/>
    <w:p>
      <w:pPr>
        <w:pStyle w:val="Bibliography"/>
      </w:pPr>
      <w:r>
        <w:t xml:space="preserve">[36]</w:t>
      </w:r>
      <w:r>
        <w:t xml:space="preserve"> </w:t>
      </w:r>
      <w:r>
        <w:t xml:space="preserve">	</w:t>
      </w:r>
      <w:r>
        <w:t xml:space="preserve">Giacobbe DR, Labate L, Russo Artimagnella C, Marelli C, Signori A, Di Pilato V, et al. Use of Cefiderocol in Adult Patients: Descriptive Analysis from a Prospective, Multicenter, Cohort Study. Infectious Diseases and Therapy 2024;13:1929–48.</w:t>
      </w:r>
      <w:r>
        <w:t xml:space="preserve"> </w:t>
      </w:r>
      <w:hyperlink r:id="rId214">
        <w:r>
          <w:rPr>
            <w:rStyle w:val="Hyperlink"/>
          </w:rPr>
          <w:t xml:space="preserve">https://doi.org/10.1007/s40121-024-01016-y</w:t>
        </w:r>
      </w:hyperlink>
      <w:r>
        <w:t xml:space="preserve">.</w:t>
      </w:r>
    </w:p>
    <w:bookmarkEnd w:id="215"/>
    <w:bookmarkStart w:id="217" w:name="ref-falcone2022"/>
    <w:p>
      <w:pPr>
        <w:pStyle w:val="Bibliography"/>
      </w:pPr>
      <w:r>
        <w:t xml:space="preserve">[37]</w:t>
      </w:r>
      <w:r>
        <w:t xml:space="preserve"> </w:t>
      </w:r>
      <w:r>
        <w:t xml:space="preserve">	</w:t>
      </w:r>
      <w:r>
        <w:t xml:space="preserve">Falcone M, Tiseo G, Leonildi A, Della Sala L, Vecchione A, Barnini S, et al. Cefiderocol- compared to colistin-based regimens for the treatment of severe infections caused by carbapenem-resistant acinetobacter baumannii. Antimicrobial Agents and Chemotherapy 2022;66:e02142–21.</w:t>
      </w:r>
      <w:r>
        <w:t xml:space="preserve"> </w:t>
      </w:r>
      <w:hyperlink r:id="rId216">
        <w:r>
          <w:rPr>
            <w:rStyle w:val="Hyperlink"/>
          </w:rPr>
          <w:t xml:space="preserve">https://doi.org/10.1128/aac.02142-21</w:t>
        </w:r>
      </w:hyperlink>
      <w:r>
        <w:t xml:space="preserve">.</w:t>
      </w:r>
    </w:p>
    <w:bookmarkEnd w:id="217"/>
    <w:bookmarkStart w:id="219" w:name="ref-mazzitelli2023"/>
    <w:p>
      <w:pPr>
        <w:pStyle w:val="Bibliography"/>
      </w:pPr>
      <w:r>
        <w:t xml:space="preserve">[38]</w:t>
      </w:r>
      <w:r>
        <w:t xml:space="preserve"> </w:t>
      </w:r>
      <w:r>
        <w:t xml:space="preserve">	</w:t>
      </w:r>
      <w:r>
        <w:t xml:space="preserve">Mazzitelli M, Gregori D, Sasset L, Trevenzoli M, Scaglione V, Lo Menzo S, et al. Cefiderocol-Based versus Colistin-Based Regimens for Severe Carbapenem-Resistant Acinetobacter baumannii Infections: A Propensity Score-Weighted, Retrospective Cohort Study during the First Two Years of the COVID-19 Pandemic. Microorganisms 2023;11:984.</w:t>
      </w:r>
      <w:r>
        <w:t xml:space="preserve"> </w:t>
      </w:r>
      <w:hyperlink r:id="rId218">
        <w:r>
          <w:rPr>
            <w:rStyle w:val="Hyperlink"/>
          </w:rPr>
          <w:t xml:space="preserve">https://doi.org/10.3390/microorganisms11040984</w:t>
        </w:r>
      </w:hyperlink>
      <w:r>
        <w:t xml:space="preserve">.</w:t>
      </w:r>
    </w:p>
    <w:bookmarkEnd w:id="219"/>
    <w:bookmarkStart w:id="221" w:name="ref-russo2023"/>
    <w:p>
      <w:pPr>
        <w:pStyle w:val="Bibliography"/>
      </w:pPr>
      <w:r>
        <w:t xml:space="preserve">[39]</w:t>
      </w:r>
      <w:r>
        <w:t xml:space="preserve"> </w:t>
      </w:r>
      <w:r>
        <w:t xml:space="preserve">	</w:t>
      </w:r>
      <w:r>
        <w:t xml:space="preserve">Russo A, Bruni A, Gullì S, Borrazzo C, Quirino A, Lionello R, et al. Efficacy of cefiderocol- vs colistin-containing regimen for treatment of bacteraemic ventilator-associated pneumonia caused by carbapenem-resistant acinetobacter baumannii in patients with COVID-19. International Journal of Antimicrobial Agents 2023;62:106825.</w:t>
      </w:r>
      <w:r>
        <w:t xml:space="preserve"> </w:t>
      </w:r>
      <w:hyperlink r:id="rId220">
        <w:r>
          <w:rPr>
            <w:rStyle w:val="Hyperlink"/>
          </w:rPr>
          <w:t xml:space="preserve">https://doi.org/10.1016/j.ijantimicag.2023.106825</w:t>
        </w:r>
      </w:hyperlink>
      <w:r>
        <w:t xml:space="preserve">.</w:t>
      </w:r>
    </w:p>
    <w:bookmarkEnd w:id="221"/>
    <w:bookmarkStart w:id="223" w:name="ref-bavaro2023"/>
    <w:p>
      <w:pPr>
        <w:pStyle w:val="Bibliography"/>
      </w:pPr>
      <w:r>
        <w:t xml:space="preserve">[40]</w:t>
      </w:r>
      <w:r>
        <w:t xml:space="preserve"> </w:t>
      </w:r>
      <w:r>
        <w:t xml:space="preserve">	</w:t>
      </w:r>
      <w:r>
        <w:t xml:space="preserve">Bavaro DF, Papagni R, Belati A, Diella L, De Luca A, Brindicci G, et al. Cefiderocol Versus Colistin for the Treatment of Carbapenem-Resistant Acinetobacter baumannii Complex Bloodstream Infections: A Retrospective, Propensity-Score Adjusted, Monocentric Cohort Study. Infectious Diseases and Therapy 2023;12:2147–63.</w:t>
      </w:r>
      <w:r>
        <w:t xml:space="preserve"> </w:t>
      </w:r>
      <w:hyperlink r:id="rId222">
        <w:r>
          <w:rPr>
            <w:rStyle w:val="Hyperlink"/>
          </w:rPr>
          <w:t xml:space="preserve">https://doi.org/10.1007/s40121-023-00854-6</w:t>
        </w:r>
      </w:hyperlink>
      <w:r>
        <w:t xml:space="preserve">.</w:t>
      </w:r>
    </w:p>
    <w:bookmarkEnd w:id="223"/>
    <w:bookmarkStart w:id="225" w:name="ref-piccica2023"/>
    <w:p>
      <w:pPr>
        <w:pStyle w:val="Bibliography"/>
      </w:pPr>
      <w:r>
        <w:t xml:space="preserve">[41]</w:t>
      </w:r>
      <w:r>
        <w:t xml:space="preserve"> </w:t>
      </w:r>
      <w:r>
        <w:t xml:space="preserve">	</w:t>
      </w:r>
      <w:r>
        <w:t xml:space="preserve">Piccica M, Spinicci M, Botta A, Bianco V, Lagi F, Graziani L, et al. Cefiderocol use for the treatment of infections by carbapenem-resistant gram-negative bacteria: An italian multicentre real-life experience. Journal of Antimicrobial Chemotherapy 2023;78:2752–61.</w:t>
      </w:r>
      <w:r>
        <w:t xml:space="preserve"> </w:t>
      </w:r>
      <w:hyperlink r:id="rId224">
        <w:r>
          <w:rPr>
            <w:rStyle w:val="Hyperlink"/>
          </w:rPr>
          <w:t xml:space="preserve">https://doi.org/10.1093/jac/dkad298</w:t>
        </w:r>
      </w:hyperlink>
      <w:r>
        <w:t xml:space="preserve">.</w:t>
      </w:r>
    </w:p>
    <w:bookmarkEnd w:id="225"/>
    <w:bookmarkStart w:id="227" w:name="ref-palermo2023"/>
    <w:p>
      <w:pPr>
        <w:pStyle w:val="Bibliography"/>
      </w:pPr>
      <w:r>
        <w:t xml:space="preserve">[42]</w:t>
      </w:r>
      <w:r>
        <w:t xml:space="preserve"> </w:t>
      </w:r>
      <w:r>
        <w:t xml:space="preserve">	</w:t>
      </w:r>
      <w:r>
        <w:t xml:space="preserve">Palermo G, Medaglia AA, Pipitò L, Rubino R, Costantini M, Accomando S, et al. Cefiderocol efficacy in a real-life setting: Single-centre retrospective study. Antibiotics 2023;12:746.</w:t>
      </w:r>
      <w:r>
        <w:t xml:space="preserve"> </w:t>
      </w:r>
      <w:hyperlink r:id="rId226">
        <w:r>
          <w:rPr>
            <w:rStyle w:val="Hyperlink"/>
          </w:rPr>
          <w:t xml:space="preserve">https://doi.org/10.3390/antibiotics12040746</w:t>
        </w:r>
      </w:hyperlink>
      <w:r>
        <w:t xml:space="preserve">.</w:t>
      </w:r>
    </w:p>
    <w:bookmarkEnd w:id="227"/>
    <w:bookmarkStart w:id="229" w:name="ref-calò2023"/>
    <w:p>
      <w:pPr>
        <w:pStyle w:val="Bibliography"/>
      </w:pPr>
      <w:r>
        <w:t xml:space="preserve">[43]</w:t>
      </w:r>
      <w:r>
        <w:t xml:space="preserve"> </w:t>
      </w:r>
      <w:r>
        <w:t xml:space="preserve">	</w:t>
      </w:r>
      <w:r>
        <w:t xml:space="preserve">Calò F, Onorato L, De Luca I, Macera M, Monari C, Durante-Mangoni E, et al. Outcome of patients with carbapenem-resistant acinetobacter baumannii infections treated with cefiderocol: A multicenter observational study. Journal of Infection and Public Health 2023;16:1485–91.</w:t>
      </w:r>
      <w:r>
        <w:t xml:space="preserve"> </w:t>
      </w:r>
      <w:hyperlink r:id="rId228">
        <w:r>
          <w:rPr>
            <w:rStyle w:val="Hyperlink"/>
          </w:rPr>
          <w:t xml:space="preserve">https://doi.org/10.1016/j.jiph.2023.06.009</w:t>
        </w:r>
      </w:hyperlink>
      <w:r>
        <w:t xml:space="preserve">.</w:t>
      </w:r>
    </w:p>
    <w:bookmarkEnd w:id="229"/>
    <w:bookmarkStart w:id="231" w:name="ref-giannella2023"/>
    <w:p>
      <w:pPr>
        <w:pStyle w:val="Bibliography"/>
      </w:pPr>
      <w:r>
        <w:t xml:space="preserve">[44]</w:t>
      </w:r>
      <w:r>
        <w:t xml:space="preserve"> </w:t>
      </w:r>
      <w:r>
        <w:t xml:space="preserve">	</w:t>
      </w:r>
      <w:r>
        <w:t xml:space="preserve">Giannella M, Verardi S, Karas A, Hadi HA, Dupont H, Soriano A, et al. Carbapenem-Resistant Acinetobacter spp Infection in Critically Ill Patients With Limited Treatment Options: A Descriptive Study of Cefiderocol Therapy During the COVID-19 Pandemic. Open Forum Infectious Diseases 2023;10.</w:t>
      </w:r>
      <w:r>
        <w:t xml:space="preserve"> </w:t>
      </w:r>
      <w:hyperlink r:id="rId230">
        <w:r>
          <w:rPr>
            <w:rStyle w:val="Hyperlink"/>
          </w:rPr>
          <w:t xml:space="preserve">https://doi.org/10.1093/ofid/ofad329</w:t>
        </w:r>
      </w:hyperlink>
      <w:r>
        <w:t xml:space="preserve">.</w:t>
      </w:r>
    </w:p>
    <w:bookmarkEnd w:id="231"/>
    <w:bookmarkStart w:id="233" w:name="ref-gavaghan2023"/>
    <w:p>
      <w:pPr>
        <w:pStyle w:val="Bibliography"/>
      </w:pPr>
      <w:r>
        <w:t xml:space="preserve">[45]</w:t>
      </w:r>
      <w:r>
        <w:t xml:space="preserve"> </w:t>
      </w:r>
      <w:r>
        <w:t xml:space="preserve">	</w:t>
      </w:r>
      <w:r>
        <w:t xml:space="preserve">Gavaghan V, Miller JL, Dela-Pena J. Case series of cefiderocol for salvage therapy in carbapenem-resistant Gram-negative infections. Infection 2023;51:475–82.</w:t>
      </w:r>
      <w:r>
        <w:t xml:space="preserve"> </w:t>
      </w:r>
      <w:hyperlink r:id="rId232">
        <w:r>
          <w:rPr>
            <w:rStyle w:val="Hyperlink"/>
          </w:rPr>
          <w:t xml:space="preserve">https://doi.org/10.1007/s15010-022-01933-5</w:t>
        </w:r>
      </w:hyperlink>
      <w:r>
        <w:t xml:space="preserve">.</w:t>
      </w:r>
    </w:p>
    <w:bookmarkEnd w:id="233"/>
    <w:bookmarkStart w:id="235" w:name="ref-frattari2024"/>
    <w:p>
      <w:pPr>
        <w:pStyle w:val="Bibliography"/>
      </w:pPr>
      <w:r>
        <w:t xml:space="preserve">[46]</w:t>
      </w:r>
      <w:r>
        <w:t xml:space="preserve"> </w:t>
      </w:r>
      <w:r>
        <w:t xml:space="preserve">	</w:t>
      </w:r>
      <w:r>
        <w:t xml:space="preserve">Frattari A, Polilli E, Timelli L, Spagnuolo F, Fazii P, Parruti G. Monitoring Immune Dysfunction in Critically Ill Patients with Carbapenem-Resistant Acinetobacter baumannii Sepsis Treated with Regimens Including Cefiderocol: A Pilot Study to Identify Accessible Biomarkers to Stratify Patients</w:t>
      </w:r>
      <w:r>
        <w:t xml:space="preserve">’</w:t>
      </w:r>
      <w:r>
        <w:t xml:space="preserve"> </w:t>
      </w:r>
      <w:r>
        <w:t xml:space="preserve">Prognosis. Antibiotics 2024;13:1001.</w:t>
      </w:r>
      <w:r>
        <w:t xml:space="preserve"> </w:t>
      </w:r>
      <w:hyperlink r:id="rId234">
        <w:r>
          <w:rPr>
            <w:rStyle w:val="Hyperlink"/>
          </w:rPr>
          <w:t xml:space="preserve">https://doi.org/10.3390/antibiotics13111001</w:t>
        </w:r>
      </w:hyperlink>
      <w:r>
        <w:t xml:space="preserve">.</w:t>
      </w:r>
    </w:p>
    <w:bookmarkEnd w:id="235"/>
    <w:bookmarkStart w:id="237" w:name="ref-oliva2024"/>
    <w:p>
      <w:pPr>
        <w:pStyle w:val="Bibliography"/>
      </w:pPr>
      <w:r>
        <w:t xml:space="preserve">[47]</w:t>
      </w:r>
      <w:r>
        <w:t xml:space="preserve"> </w:t>
      </w:r>
      <w:r>
        <w:t xml:space="preserve">	</w:t>
      </w:r>
      <w:r>
        <w:t xml:space="preserve">Oliva A, Liguori L, Covino S, Petrucci F, Cogliati-Dezza F, Curtolo A, et al. Clinical effectiveness of cefiderocol for the treatment of bloodstream infections due to carbapenem-resistant Acinetobacter baumannii during the COVID-19 era: a single center, observational study. European Journal of Clinical Microbiology &amp; Infectious Diseases 2024;43:1149–60.</w:t>
      </w:r>
      <w:r>
        <w:t xml:space="preserve"> </w:t>
      </w:r>
      <w:hyperlink r:id="rId236">
        <w:r>
          <w:rPr>
            <w:rStyle w:val="Hyperlink"/>
          </w:rPr>
          <w:t xml:space="preserve">https://doi.org/10.1007/s10096-024-04833-8</w:t>
        </w:r>
      </w:hyperlink>
      <w:r>
        <w:t xml:space="preserve">.</w:t>
      </w:r>
    </w:p>
    <w:bookmarkEnd w:id="237"/>
    <w:bookmarkStart w:id="239" w:name="ref-elghali2024"/>
    <w:p>
      <w:pPr>
        <w:pStyle w:val="Bibliography"/>
      </w:pPr>
      <w:r>
        <w:t xml:space="preserve">[48]</w:t>
      </w:r>
      <w:r>
        <w:t xml:space="preserve"> </w:t>
      </w:r>
      <w:r>
        <w:t xml:space="preserve">	</w:t>
      </w:r>
      <w:r>
        <w:t xml:space="preserve">El Ghali A, Kunz Coyne AJ, Lucas K, Tieman M, Xhemali X, Lau S, et al. Cefiderocol: early clinical experience for multi-drug resistant gram-negative infections. Microbiology Spectrum 2024;12:e03108–23.</w:t>
      </w:r>
      <w:r>
        <w:t xml:space="preserve"> </w:t>
      </w:r>
      <w:hyperlink r:id="rId238">
        <w:r>
          <w:rPr>
            <w:rStyle w:val="Hyperlink"/>
          </w:rPr>
          <w:t xml:space="preserve">https://doi.org/10.1128/spectrum.03108-23</w:t>
        </w:r>
      </w:hyperlink>
      <w:r>
        <w:t xml:space="preserve">.</w:t>
      </w:r>
    </w:p>
    <w:bookmarkEnd w:id="239"/>
    <w:bookmarkStart w:id="241" w:name="ref-clancy2024"/>
    <w:p>
      <w:pPr>
        <w:pStyle w:val="Bibliography"/>
      </w:pPr>
      <w:r>
        <w:t xml:space="preserve">[49]</w:t>
      </w:r>
      <w:r>
        <w:t xml:space="preserve"> </w:t>
      </w:r>
      <w:r>
        <w:t xml:space="preserve">	</w:t>
      </w:r>
      <w:r>
        <w:t xml:space="preserve">Clancy C, Cornely O, Marcella S, Nguyen S, Gozalo L, Cai B. Effectiveness and Safety of Cefiderocol in Clinical Practice for Treatment of Patients with Gram-Negative Bacterial Infections: US Interim Results of the PROVE Study. Infection and Drug Resistance 2024;Volume 17:4427–43.</w:t>
      </w:r>
      <w:r>
        <w:t xml:space="preserve"> </w:t>
      </w:r>
      <w:hyperlink r:id="rId240">
        <w:r>
          <w:rPr>
            <w:rStyle w:val="Hyperlink"/>
          </w:rPr>
          <w:t xml:space="preserve">https://doi.org/10.2147/IDR.S475462</w:t>
        </w:r>
      </w:hyperlink>
      <w:r>
        <w:t xml:space="preserve">.</w:t>
      </w:r>
    </w:p>
    <w:bookmarkEnd w:id="241"/>
    <w:bookmarkStart w:id="243" w:name="ref-russo2024"/>
    <w:p>
      <w:pPr>
        <w:pStyle w:val="Bibliography"/>
      </w:pPr>
      <w:r>
        <w:t xml:space="preserve">[50]</w:t>
      </w:r>
      <w:r>
        <w:t xml:space="preserve"> </w:t>
      </w:r>
      <w:r>
        <w:t xml:space="preserve">	</w:t>
      </w:r>
      <w:r>
        <w:t xml:space="preserve">Russo A, Gullì SP, D’Avino A, Borrazzo C, Carannante N, Dezza FC, et al. Intravenous fosfomycin for treatment of severe infections caused by carbapenem-resistant Acinetobacter baumannii: A multi-centre clinical experience. International Journal of Antimicrobial Agents 2024;64:107190.</w:t>
      </w:r>
      <w:r>
        <w:t xml:space="preserve"> </w:t>
      </w:r>
      <w:hyperlink r:id="rId242">
        <w:r>
          <w:rPr>
            <w:rStyle w:val="Hyperlink"/>
          </w:rPr>
          <w:t xml:space="preserve">https://doi.org/10.1016/j.ijantimicag.2024.107190</w:t>
        </w:r>
      </w:hyperlink>
      <w:r>
        <w:t xml:space="preserve">.</w:t>
      </w:r>
    </w:p>
    <w:bookmarkEnd w:id="243"/>
    <w:bookmarkStart w:id="245" w:name="ref-balandín2024"/>
    <w:p>
      <w:pPr>
        <w:pStyle w:val="Bibliography"/>
      </w:pPr>
      <w:r>
        <w:t xml:space="preserve">[51]</w:t>
      </w:r>
      <w:r>
        <w:t xml:space="preserve"> </w:t>
      </w:r>
      <w:r>
        <w:t xml:space="preserve">	</w:t>
      </w:r>
      <w:r>
        <w:t xml:space="preserve">Balandín B, Pintado V, Pérez-Pedrero MJ, Martínez-Sagasti F, Sancho-González M, Soriano-Cuesta C, et al. Multicentre study of cefiderocol for treatment of Gram-negative bacteria infections in critically ill patients. International Journal of Antimicrobial Agents 2024;63:107121.</w:t>
      </w:r>
      <w:r>
        <w:t xml:space="preserve"> </w:t>
      </w:r>
      <w:hyperlink r:id="rId244">
        <w:r>
          <w:rPr>
            <w:rStyle w:val="Hyperlink"/>
          </w:rPr>
          <w:t xml:space="preserve">https://doi.org/10.1016/j.ijantimicag.2024.107121</w:t>
        </w:r>
      </w:hyperlink>
      <w:r>
        <w:t xml:space="preserve">.</w:t>
      </w:r>
    </w:p>
    <w:bookmarkEnd w:id="245"/>
    <w:bookmarkStart w:id="247" w:name="ref-soueges2025"/>
    <w:p>
      <w:pPr>
        <w:pStyle w:val="Bibliography"/>
      </w:pPr>
      <w:r>
        <w:t xml:space="preserve">[52]</w:t>
      </w:r>
      <w:r>
        <w:t xml:space="preserve"> </w:t>
      </w:r>
      <w:r>
        <w:t xml:space="preserve">	</w:t>
      </w:r>
      <w:r>
        <w:t xml:space="preserve">Soueges S, Faure E, Parize P, Lanternier-Dessap F, Lecuyer H, Huynh A, et al. Real-world multicentre study of cefiderocol treatment of immunocompromised patients with infections caused by multidrug-resistant Gram-negative bacteria: CEFI-ID. Journal of Infection 2025;90:106376.</w:t>
      </w:r>
      <w:r>
        <w:t xml:space="preserve"> </w:t>
      </w:r>
      <w:hyperlink r:id="rId246">
        <w:r>
          <w:rPr>
            <w:rStyle w:val="Hyperlink"/>
          </w:rPr>
          <w:t xml:space="preserve">https://doi.org/10.1016/j.jinf.2024.106376</w:t>
        </w:r>
      </w:hyperlink>
      <w:r>
        <w:t xml:space="preserve">.</w:t>
      </w:r>
    </w:p>
    <w:bookmarkEnd w:id="247"/>
    <w:bookmarkStart w:id="249" w:name="ref-gatti2022"/>
    <w:p>
      <w:pPr>
        <w:pStyle w:val="Bibliography"/>
      </w:pPr>
      <w:r>
        <w:t xml:space="preserve">[53]</w:t>
      </w:r>
      <w:r>
        <w:t xml:space="preserve"> </w:t>
      </w:r>
      <w:r>
        <w:t xml:space="preserve">	</w:t>
      </w:r>
      <w:r>
        <w:t xml:space="preserve">Gatti M, Rinaldi M, Cojutti PG, Horna CS, Fornaro G, Viale P, et al. 618. Pharmacokinetic/pharmacodynamic analysis of combination therapy with continuous infusion (CI) fosfomycin plus extended-infusion (EI) or CI beta-lactams for treating documented carbapenem-resistant gram-negative bloodstream infections and/or hospital-acquired pneumonia: A case series. Open Forum Infectious Diseases 2022;9:ofac492.670.</w:t>
      </w:r>
      <w:r>
        <w:t xml:space="preserve"> </w:t>
      </w:r>
      <w:hyperlink r:id="rId248">
        <w:r>
          <w:rPr>
            <w:rStyle w:val="Hyperlink"/>
          </w:rPr>
          <w:t xml:space="preserve">https://doi.org/10.1093/ofid/ofac492.670</w:t>
        </w:r>
      </w:hyperlink>
      <w:r>
        <w:t xml:space="preserve">.</w:t>
      </w:r>
    </w:p>
    <w:bookmarkEnd w:id="249"/>
    <w:bookmarkStart w:id="251" w:name="ref-rando2021"/>
    <w:p>
      <w:pPr>
        <w:pStyle w:val="Bibliography"/>
      </w:pPr>
      <w:r>
        <w:t xml:space="preserve">[54]</w:t>
      </w:r>
      <w:r>
        <w:t xml:space="preserve"> </w:t>
      </w:r>
      <w:r>
        <w:t xml:space="preserve">	</w:t>
      </w:r>
      <w:r>
        <w:t xml:space="preserve">Rando E, Segala FV, Vargas J, Seguiti C, De Pascale G, Murri R, et al. Cefiderocol for severe carbapenem-resistant a. Baumannii pneumonia: Towards the comprehension of its place in therapy. Antibiotics 2021;11:3.</w:t>
      </w:r>
      <w:r>
        <w:t xml:space="preserve"> </w:t>
      </w:r>
      <w:hyperlink r:id="rId250">
        <w:r>
          <w:rPr>
            <w:rStyle w:val="Hyperlink"/>
          </w:rPr>
          <w:t xml:space="preserve">https://doi.org/10.3390/antibiotics11010003</w:t>
        </w:r>
      </w:hyperlink>
      <w:r>
        <w:t xml:space="preserve">.</w:t>
      </w:r>
    </w:p>
    <w:bookmarkEnd w:id="251"/>
    <w:bookmarkStart w:id="253" w:name="ref-corcione2022"/>
    <w:p>
      <w:pPr>
        <w:pStyle w:val="Bibliography"/>
      </w:pPr>
      <w:r>
        <w:t xml:space="preserve">[55]</w:t>
      </w:r>
      <w:r>
        <w:t xml:space="preserve"> </w:t>
      </w:r>
      <w:r>
        <w:t xml:space="preserve">	</w:t>
      </w:r>
      <w:r>
        <w:t xml:space="preserve">Corcione S, De Benedetto I, Pinna SM, Vita D, Lupia T, Montrucchio G, et al. Cefiderocol use in gram negative infections with limited therapeutic options: Is combination therapy the key? Journal of Infection and Public Health 2022;15:975–9.</w:t>
      </w:r>
      <w:r>
        <w:t xml:space="preserve"> </w:t>
      </w:r>
      <w:hyperlink r:id="rId252">
        <w:r>
          <w:rPr>
            <w:rStyle w:val="Hyperlink"/>
          </w:rPr>
          <w:t xml:space="preserve">https://doi.org/10.1016/j.jiph.2022.07.006</w:t>
        </w:r>
      </w:hyperlink>
      <w:r>
        <w:t xml:space="preserve">.</w:t>
      </w:r>
    </w:p>
    <w:bookmarkEnd w:id="253"/>
    <w:bookmarkStart w:id="255" w:name="ref-smoke2023"/>
    <w:p>
      <w:pPr>
        <w:pStyle w:val="Bibliography"/>
      </w:pPr>
      <w:r>
        <w:t xml:space="preserve">[56]</w:t>
      </w:r>
      <w:r>
        <w:t xml:space="preserve"> </w:t>
      </w:r>
      <w:r>
        <w:t xml:space="preserve">	</w:t>
      </w:r>
      <w:r>
        <w:t xml:space="preserve">Smoke SM, Brophy A, Reveron S, Iovleva A, Kline EG, Marano M, et al. Evolution and Transmission of Cefiderocol-Resistant</w:t>
      </w:r>
      <w:r>
        <w:t xml:space="preserve"> </w:t>
      </w:r>
      <w:r>
        <w:rPr>
          <w:i/>
          <w:iCs/>
        </w:rPr>
        <w:t xml:space="preserve">Acinetobacter baumannii</w:t>
      </w:r>
      <w:r>
        <w:t xml:space="preserve"> </w:t>
      </w:r>
      <w:r>
        <w:t xml:space="preserve">During an Outbreak in the Burn Intensive Care Unit. Clinical Infectious Diseases 2023;76:e1261–5.</w:t>
      </w:r>
      <w:r>
        <w:t xml:space="preserve"> </w:t>
      </w:r>
      <w:hyperlink r:id="rId254">
        <w:r>
          <w:rPr>
            <w:rStyle w:val="Hyperlink"/>
          </w:rPr>
          <w:t xml:space="preserve">https://doi.org/10.1093/cid/ciac647</w:t>
        </w:r>
      </w:hyperlink>
      <w:r>
        <w:t xml:space="preserve">.</w:t>
      </w:r>
    </w:p>
    <w:bookmarkEnd w:id="255"/>
    <w:bookmarkStart w:id="257" w:name="ref-wicky2023"/>
    <w:p>
      <w:pPr>
        <w:pStyle w:val="Bibliography"/>
      </w:pPr>
      <w:r>
        <w:t xml:space="preserve">[57]</w:t>
      </w:r>
      <w:r>
        <w:t xml:space="preserve"> </w:t>
      </w:r>
      <w:r>
        <w:t xml:space="preserve">	</w:t>
      </w:r>
      <w:r>
        <w:t xml:space="preserve">Wicky P-H, Poiraud J, Alves M, Patrier J, d’Humières C, Lê M, et al. Cefiderocol treatment for severe infections due to difficult-to-treat-resistant non-fermentative gram-negative bacilli in ICU patients: A case series and narrative literature review. Antibiotics 2023;12:991.</w:t>
      </w:r>
      <w:r>
        <w:t xml:space="preserve"> </w:t>
      </w:r>
      <w:hyperlink r:id="rId256">
        <w:r>
          <w:rPr>
            <w:rStyle w:val="Hyperlink"/>
          </w:rPr>
          <w:t xml:space="preserve">https://doi.org/10.3390/antibiotics12060991</w:t>
        </w:r>
      </w:hyperlink>
      <w:r>
        <w:t xml:space="preserve">.</w:t>
      </w:r>
    </w:p>
    <w:bookmarkEnd w:id="257"/>
    <w:bookmarkStart w:id="259" w:name="ref-delafuente2023"/>
    <w:p>
      <w:pPr>
        <w:pStyle w:val="Bibliography"/>
      </w:pPr>
      <w:r>
        <w:t xml:space="preserve">[58]</w:t>
      </w:r>
      <w:r>
        <w:t xml:space="preserve"> </w:t>
      </w:r>
      <w:r>
        <w:t xml:space="preserve">	</w:t>
      </w:r>
      <w:r>
        <w:t xml:space="preserve">Fuente C de la, Rodríguez M, Merino N, Carmona P, Machuca I, Córdoba-Fernández M, et al. Real-life use of cefiderocol for salvage therapy of severe infections due to carbapenem-resistant gram-negative bacteria. International Journal of Antimicrobial Agents 2023;62:106818.</w:t>
      </w:r>
      <w:r>
        <w:t xml:space="preserve"> </w:t>
      </w:r>
      <w:hyperlink r:id="rId258">
        <w:r>
          <w:rPr>
            <w:rStyle w:val="Hyperlink"/>
          </w:rPr>
          <w:t xml:space="preserve">https://doi.org/10.1016/j.ijantimicag.2023.106818</w:t>
        </w:r>
      </w:hyperlink>
      <w:r>
        <w:t xml:space="preserve">.</w:t>
      </w:r>
    </w:p>
    <w:bookmarkEnd w:id="259"/>
    <w:bookmarkStart w:id="261" w:name="ref-meschiari2021"/>
    <w:p>
      <w:pPr>
        <w:pStyle w:val="Bibliography"/>
      </w:pPr>
      <w:r>
        <w:t xml:space="preserve">[59]</w:t>
      </w:r>
      <w:r>
        <w:t xml:space="preserve"> </w:t>
      </w:r>
      <w:r>
        <w:t xml:space="preserve">	</w:t>
      </w:r>
      <w:r>
        <w:t xml:space="preserve">Meschiari M, Volpi S, Faltoni M, Dolci G, Orlando G, Franceschini E, et al. Real-life experience with compassionate use of cefiderocol for difficult-to-treat resistant Pseudomonas aeruginosa (DTR-P) infections. JAC-Antimicrobial Resistance 2021;3:dlab188.</w:t>
      </w:r>
      <w:r>
        <w:t xml:space="preserve"> </w:t>
      </w:r>
      <w:hyperlink r:id="rId260">
        <w:r>
          <w:rPr>
            <w:rStyle w:val="Hyperlink"/>
          </w:rPr>
          <w:t xml:space="preserve">https://doi.org/10.1093/jacamr/dlab188</w:t>
        </w:r>
      </w:hyperlink>
      <w:r>
        <w:t xml:space="preserve">.</w:t>
      </w:r>
    </w:p>
    <w:bookmarkEnd w:id="261"/>
    <w:bookmarkStart w:id="263" w:name="ref-fendian2023"/>
    <w:p>
      <w:pPr>
        <w:pStyle w:val="Bibliography"/>
      </w:pPr>
      <w:r>
        <w:t xml:space="preserve">[60]</w:t>
      </w:r>
      <w:r>
        <w:t xml:space="preserve"> </w:t>
      </w:r>
      <w:r>
        <w:t xml:space="preserve">	</w:t>
      </w:r>
      <w:r>
        <w:t xml:space="preserve">Fendian ÁM, Albanell-Fernández M, Tuset M, Pitart C, Castro P, Soy D, et al. Real-Life Data on the Effectiveness and Safety of Cefiderocol in Severely Infected Patients: A Case Series. Infectious Diseases and Therapy 2023;12:1205–16.</w:t>
      </w:r>
      <w:r>
        <w:t xml:space="preserve"> </w:t>
      </w:r>
      <w:hyperlink r:id="rId262">
        <w:r>
          <w:rPr>
            <w:rStyle w:val="Hyperlink"/>
          </w:rPr>
          <w:t xml:space="preserve">https://doi.org/10.1007/s40121-023-00776-3</w:t>
        </w:r>
      </w:hyperlink>
      <w:r>
        <w:t xml:space="preserve">.</w:t>
      </w:r>
    </w:p>
    <w:bookmarkEnd w:id="263"/>
    <w:bookmarkStart w:id="265" w:name="ref-campogiani2023"/>
    <w:p>
      <w:pPr>
        <w:pStyle w:val="Bibliography"/>
      </w:pPr>
      <w:r>
        <w:t xml:space="preserve">[61]</w:t>
      </w:r>
      <w:r>
        <w:t xml:space="preserve"> </w:t>
      </w:r>
      <w:r>
        <w:t xml:space="preserve">	</w:t>
      </w:r>
      <w:r>
        <w:t xml:space="preserve">Campogiani L, Crea AMA, Minardi ML, Ansaldo L, Coppola L, Compagno M, et al. Real-life Data on Cefiderocol Efficacy and Safety to Treat Multidrug-Resistant</w:t>
      </w:r>
      <w:r>
        <w:t xml:space="preserve"> </w:t>
      </w:r>
      <w:r>
        <w:rPr>
          <w:i/>
          <w:iCs/>
        </w:rPr>
        <w:t xml:space="preserve">Acinetobacter baumannii</w:t>
      </w:r>
      <w:r>
        <w:t xml:space="preserve"> </w:t>
      </w:r>
      <w:r>
        <w:t xml:space="preserve">Infections. Open Forum Infectious Diseases 2023;10:ofad627.</w:t>
      </w:r>
      <w:r>
        <w:t xml:space="preserve"> </w:t>
      </w:r>
      <w:hyperlink r:id="rId264">
        <w:r>
          <w:rPr>
            <w:rStyle w:val="Hyperlink"/>
          </w:rPr>
          <w:t xml:space="preserve">https://doi.org/10.1093/ofid/ofad627</w:t>
        </w:r>
      </w:hyperlink>
      <w:r>
        <w:t xml:space="preserve">.</w:t>
      </w:r>
    </w:p>
    <w:bookmarkEnd w:id="265"/>
    <w:bookmarkStart w:id="267" w:name="ref-persaud2024"/>
    <w:p>
      <w:pPr>
        <w:pStyle w:val="Bibliography"/>
      </w:pPr>
      <w:r>
        <w:t xml:space="preserve">[62]</w:t>
      </w:r>
      <w:r>
        <w:t xml:space="preserve"> </w:t>
      </w:r>
      <w:r>
        <w:t xml:space="preserve">	</w:t>
      </w:r>
      <w:r>
        <w:t xml:space="preserve">Persaud PN, Xhemali X, Neuhaus K, Budev M, Lum J. Cefiderocol utilization in lung transplant recipients at a single center. Transplant Infectious Disease 2024;26:e14319.</w:t>
      </w:r>
      <w:r>
        <w:t xml:space="preserve"> </w:t>
      </w:r>
      <w:hyperlink r:id="rId266">
        <w:r>
          <w:rPr>
            <w:rStyle w:val="Hyperlink"/>
          </w:rPr>
          <w:t xml:space="preserve">https://doi.org/10.1111/tid.14319</w:t>
        </w:r>
      </w:hyperlink>
      <w:r>
        <w:t xml:space="preserve">.</w:t>
      </w:r>
    </w:p>
    <w:bookmarkEnd w:id="267"/>
    <w:bookmarkStart w:id="269" w:name="ref-travi2024"/>
    <w:p>
      <w:pPr>
        <w:pStyle w:val="Bibliography"/>
      </w:pPr>
      <w:r>
        <w:t xml:space="preserve">[63]</w:t>
      </w:r>
      <w:r>
        <w:t xml:space="preserve"> </w:t>
      </w:r>
      <w:r>
        <w:t xml:space="preserve">	</w:t>
      </w:r>
      <w:r>
        <w:t xml:space="preserve">Travi G, Peracchi F, Merli M, Lo Re N, Matarazzo E, Tartaglione L, et al. Cefiderocol-Based Regimen for Acinetobacter NDM-1 Outbreak. Antibiotics 2024;13:770.</w:t>
      </w:r>
      <w:r>
        <w:t xml:space="preserve"> </w:t>
      </w:r>
      <w:hyperlink r:id="rId268">
        <w:r>
          <w:rPr>
            <w:rStyle w:val="Hyperlink"/>
          </w:rPr>
          <w:t xml:space="preserve">https://doi.org/10.3390/antibiotics13080770</w:t>
        </w:r>
      </w:hyperlink>
      <w:r>
        <w:t xml:space="preserve">.</w:t>
      </w:r>
    </w:p>
    <w:bookmarkEnd w:id="269"/>
    <w:bookmarkEnd w:id="270"/>
    <w:bookmarkEnd w:id="271"/>
    <w:bookmarkEnd w:id="272"/>
    <w:bookmarkEnd w:id="2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36" Target="media/rId136.png" /><Relationship Type="http://schemas.openxmlformats.org/officeDocument/2006/relationships/image" Id="rId126" Target="media/rId126.png" /><Relationship Type="http://schemas.openxmlformats.org/officeDocument/2006/relationships/image" Id="rId133" Target="media/rId133.png" /><Relationship Type="http://schemas.openxmlformats.org/officeDocument/2006/relationships/image" Id="rId129" Target="media/rId129.png" /><Relationship Type="http://schemas.openxmlformats.org/officeDocument/2006/relationships/image" Id="rId21" Target="media/rId21.png" /><Relationship Type="http://schemas.openxmlformats.org/officeDocument/2006/relationships/image" Id="rId47" Target="media/rId47.png" /><Relationship Type="http://schemas.openxmlformats.org/officeDocument/2006/relationships/image" Id="rId26" Target="media/rId26.png" /><Relationship Type="http://schemas.openxmlformats.org/officeDocument/2006/relationships/hyperlink" Id="rId177" Target="https://doi.org/10.1002/jcb.30424" TargetMode="External" /><Relationship Type="http://schemas.openxmlformats.org/officeDocument/2006/relationships/hyperlink" Id="rId189" Target="https://doi.org/10.1007/s10096-022-04408-5" TargetMode="External" /><Relationship Type="http://schemas.openxmlformats.org/officeDocument/2006/relationships/hyperlink" Id="rId168" Target="https://doi.org/10.1007/s10096-022-04503-7" TargetMode="External" /><Relationship Type="http://schemas.openxmlformats.org/officeDocument/2006/relationships/hyperlink" Id="rId153" Target="https://doi.org/10.1007/s10096-023-04732-4" TargetMode="External" /><Relationship Type="http://schemas.openxmlformats.org/officeDocument/2006/relationships/hyperlink" Id="rId236" Target="https://doi.org/10.1007/s10096-024-04833-8" TargetMode="External" /><Relationship Type="http://schemas.openxmlformats.org/officeDocument/2006/relationships/hyperlink" Id="rId232" Target="https://doi.org/10.1007/s15010-022-01933-5" TargetMode="External" /><Relationship Type="http://schemas.openxmlformats.org/officeDocument/2006/relationships/hyperlink" Id="rId262" Target="https://doi.org/10.1007/s40121-023-00776-3" TargetMode="External" /><Relationship Type="http://schemas.openxmlformats.org/officeDocument/2006/relationships/hyperlink" Id="rId222" Target="https://doi.org/10.1007/s40121-023-00854-6" TargetMode="External" /><Relationship Type="http://schemas.openxmlformats.org/officeDocument/2006/relationships/hyperlink" Id="rId214" Target="https://doi.org/10.1007/s40121-024-01016-y" TargetMode="External" /><Relationship Type="http://schemas.openxmlformats.org/officeDocument/2006/relationships/hyperlink" Id="rId208" Target="https://doi.org/10.1016/S1473-3099(20)30796-9" TargetMode="External" /><Relationship Type="http://schemas.openxmlformats.org/officeDocument/2006/relationships/hyperlink" Id="rId258" Target="https://doi.org/10.1016/j.ijantimicag.2023.106818" TargetMode="External" /><Relationship Type="http://schemas.openxmlformats.org/officeDocument/2006/relationships/hyperlink" Id="rId220" Target="https://doi.org/10.1016/j.ijantimicag.2023.106825" TargetMode="External" /><Relationship Type="http://schemas.openxmlformats.org/officeDocument/2006/relationships/hyperlink" Id="rId244" Target="https://doi.org/10.1016/j.ijantimicag.2024.107121" TargetMode="External" /><Relationship Type="http://schemas.openxmlformats.org/officeDocument/2006/relationships/hyperlink" Id="rId242" Target="https://doi.org/10.1016/j.ijantimicag.2024.107190" TargetMode="External" /><Relationship Type="http://schemas.openxmlformats.org/officeDocument/2006/relationships/hyperlink" Id="rId151" Target="https://doi.org/10.1016/j.jgar.2020.07.009" TargetMode="External" /><Relationship Type="http://schemas.openxmlformats.org/officeDocument/2006/relationships/hyperlink" Id="rId199" Target="https://doi.org/10.1016/j.jgar.2024.01.021" TargetMode="External" /><Relationship Type="http://schemas.openxmlformats.org/officeDocument/2006/relationships/hyperlink" Id="rId246" Target="https://doi.org/10.1016/j.jinf.2024.106376" TargetMode="External" /><Relationship Type="http://schemas.openxmlformats.org/officeDocument/2006/relationships/hyperlink" Id="rId155" Target="https://doi.org/10.1016/j.jinf.2025.106417" TargetMode="External" /><Relationship Type="http://schemas.openxmlformats.org/officeDocument/2006/relationships/hyperlink" Id="rId252" Target="https://doi.org/10.1016/j.jiph.2022.07.006" TargetMode="External" /><Relationship Type="http://schemas.openxmlformats.org/officeDocument/2006/relationships/hyperlink" Id="rId228" Target="https://doi.org/10.1016/j.jiph.2023.06.009" TargetMode="External" /><Relationship Type="http://schemas.openxmlformats.org/officeDocument/2006/relationships/hyperlink" Id="rId195" Target="https://doi.org/10.1016/j.jiph.2023.11.003" TargetMode="External" /><Relationship Type="http://schemas.openxmlformats.org/officeDocument/2006/relationships/hyperlink" Id="rId170" Target="https://doi.org/10.1038/s41429-024-00801-8" TargetMode="External" /><Relationship Type="http://schemas.openxmlformats.org/officeDocument/2006/relationships/hyperlink" Id="rId204" Target="https://doi.org/10.1038/s41467-023-40828-3" TargetMode="External" /><Relationship Type="http://schemas.openxmlformats.org/officeDocument/2006/relationships/hyperlink" Id="rId185" Target="https://doi.org/10.1038/s44259-025-00079-2" TargetMode="External" /><Relationship Type="http://schemas.openxmlformats.org/officeDocument/2006/relationships/hyperlink" Id="rId191" Target="https://doi.org/10.1080/1120009X.2022.2090615" TargetMode="External" /><Relationship Type="http://schemas.openxmlformats.org/officeDocument/2006/relationships/hyperlink" Id="rId254" Target="https://doi.org/10.1093/cid/ciac647" TargetMode="External" /><Relationship Type="http://schemas.openxmlformats.org/officeDocument/2006/relationships/hyperlink" Id="rId224" Target="https://doi.org/10.1093/jac/dkad298" TargetMode="External" /><Relationship Type="http://schemas.openxmlformats.org/officeDocument/2006/relationships/hyperlink" Id="rId260" Target="https://doi.org/10.1093/jacamr/dlab188" TargetMode="External" /><Relationship Type="http://schemas.openxmlformats.org/officeDocument/2006/relationships/hyperlink" Id="rId147" Target="https://doi.org/10.1093/ofid/ofaa439.1478" TargetMode="External" /><Relationship Type="http://schemas.openxmlformats.org/officeDocument/2006/relationships/hyperlink" Id="rId173" Target="https://doi.org/10.1093/ofid/ofaa439.1806" TargetMode="External" /><Relationship Type="http://schemas.openxmlformats.org/officeDocument/2006/relationships/hyperlink" Id="rId181" Target="https://doi.org/10.1093/ofid/ofac484" TargetMode="External" /><Relationship Type="http://schemas.openxmlformats.org/officeDocument/2006/relationships/hyperlink" Id="rId248" Target="https://doi.org/10.1093/ofid/ofac492.670" TargetMode="External" /><Relationship Type="http://schemas.openxmlformats.org/officeDocument/2006/relationships/hyperlink" Id="rId230" Target="https://doi.org/10.1093/ofid/ofad329" TargetMode="External" /><Relationship Type="http://schemas.openxmlformats.org/officeDocument/2006/relationships/hyperlink" Id="rId179" Target="https://doi.org/10.1093/ofid/ofad500.2135" TargetMode="External" /><Relationship Type="http://schemas.openxmlformats.org/officeDocument/2006/relationships/hyperlink" Id="rId264" Target="https://doi.org/10.1093/ofid/ofad627" TargetMode="External" /><Relationship Type="http://schemas.openxmlformats.org/officeDocument/2006/relationships/hyperlink" Id="rId159" Target="https://doi.org/10.1093/ofid/ofae631.1298" TargetMode="External" /><Relationship Type="http://schemas.openxmlformats.org/officeDocument/2006/relationships/hyperlink" Id="rId157" Target="https://doi.org/10.1093/ofid/ofae631.166" TargetMode="External" /><Relationship Type="http://schemas.openxmlformats.org/officeDocument/2006/relationships/hyperlink" Id="rId161" Target="https://doi.org/10.1093/ofid/ofz360.791" TargetMode="External" /><Relationship Type="http://schemas.openxmlformats.org/officeDocument/2006/relationships/hyperlink" Id="rId187" Target="https://doi.org/10.1101/2024.02.13.579981" TargetMode="External" /><Relationship Type="http://schemas.openxmlformats.org/officeDocument/2006/relationships/hyperlink" Id="rId266" Target="https://doi.org/10.1111/tid.14319" TargetMode="External" /><Relationship Type="http://schemas.openxmlformats.org/officeDocument/2006/relationships/hyperlink" Id="rId206" Target="https://doi.org/10.1128/aac.00559-20" TargetMode="External" /><Relationship Type="http://schemas.openxmlformats.org/officeDocument/2006/relationships/hyperlink" Id="rId216" Target="https://doi.org/10.1128/aac.02142-21" TargetMode="External" /><Relationship Type="http://schemas.openxmlformats.org/officeDocument/2006/relationships/hyperlink" Id="rId165" Target="https://doi.org/10.1128/spectrum.00164-24" TargetMode="External" /><Relationship Type="http://schemas.openxmlformats.org/officeDocument/2006/relationships/hyperlink" Id="rId183" Target="https://doi.org/10.1128/spectrum.00930-24" TargetMode="External" /><Relationship Type="http://schemas.openxmlformats.org/officeDocument/2006/relationships/hyperlink" Id="rId238" Target="https://doi.org/10.1128/spectrum.03108-23" TargetMode="External" /><Relationship Type="http://schemas.openxmlformats.org/officeDocument/2006/relationships/hyperlink" Id="rId193" Target="https://doi.org/10.1128/spectrum.03496-22" TargetMode="External" /><Relationship Type="http://schemas.openxmlformats.org/officeDocument/2006/relationships/hyperlink" Id="rId240" Target="https://doi.org/10.2147/IDR.S475462" TargetMode="External" /><Relationship Type="http://schemas.openxmlformats.org/officeDocument/2006/relationships/hyperlink" Id="rId250" Target="https://doi.org/10.3390/antibiotics11010003" TargetMode="External" /><Relationship Type="http://schemas.openxmlformats.org/officeDocument/2006/relationships/hyperlink" Id="rId175" Target="https://doi.org/10.3390/antibiotics11121681" TargetMode="External" /><Relationship Type="http://schemas.openxmlformats.org/officeDocument/2006/relationships/hyperlink" Id="rId226" Target="https://doi.org/10.3390/antibiotics12040746" TargetMode="External" /><Relationship Type="http://schemas.openxmlformats.org/officeDocument/2006/relationships/hyperlink" Id="rId149" Target="https://doi.org/10.3390/antibiotics12050858" TargetMode="External" /><Relationship Type="http://schemas.openxmlformats.org/officeDocument/2006/relationships/hyperlink" Id="rId256" Target="https://doi.org/10.3390/antibiotics12060991" TargetMode="External" /><Relationship Type="http://schemas.openxmlformats.org/officeDocument/2006/relationships/hyperlink" Id="rId210" Target="https://doi.org/10.3390/antibiotics12061048" TargetMode="External" /><Relationship Type="http://schemas.openxmlformats.org/officeDocument/2006/relationships/hyperlink" Id="rId268" Target="https://doi.org/10.3390/antibiotics13080770" TargetMode="External" /><Relationship Type="http://schemas.openxmlformats.org/officeDocument/2006/relationships/hyperlink" Id="rId234" Target="https://doi.org/10.3390/antibiotics13111001" TargetMode="External" /><Relationship Type="http://schemas.openxmlformats.org/officeDocument/2006/relationships/hyperlink" Id="rId212" Target="https://doi.org/10.3390/antibiotics13111007" TargetMode="External" /><Relationship Type="http://schemas.openxmlformats.org/officeDocument/2006/relationships/hyperlink" Id="rId202" Target="https://doi.org/10.3390/antibiotics13121236" TargetMode="External" /><Relationship Type="http://schemas.openxmlformats.org/officeDocument/2006/relationships/hyperlink" Id="rId197" Target="https://doi.org/10.3390/antibiotics14020210" TargetMode="External" /><Relationship Type="http://schemas.openxmlformats.org/officeDocument/2006/relationships/hyperlink" Id="rId163" Target="https://doi.org/10.3390/cells13161315" TargetMode="External" /><Relationship Type="http://schemas.openxmlformats.org/officeDocument/2006/relationships/hyperlink" Id="rId218" Target="https://doi.org/10.3390/microorganisms11040984" TargetMode="External" /><Relationship Type="http://schemas.openxmlformats.org/officeDocument/2006/relationships/hyperlink" Id="rId124" Target="https://github.com/mat194/Cefiderocol-Meta-analysis" TargetMode="External" /><Relationship Type="http://schemas.openxmlformats.org/officeDocument/2006/relationships/hyperlink" Id="rId20" Target="mailto:matteo.morra@univr.it" TargetMode="External" /></Relationships>
</file>

<file path=word/_rels/footnotes.xml.rels><?xml version="1.0" encoding="UTF-8"?><Relationships xmlns="http://schemas.openxmlformats.org/package/2006/relationships"><Relationship Type="http://schemas.openxmlformats.org/officeDocument/2006/relationships/hyperlink" Id="rId177" Target="https://doi.org/10.1002/jcb.30424" TargetMode="External" /><Relationship Type="http://schemas.openxmlformats.org/officeDocument/2006/relationships/hyperlink" Id="rId189" Target="https://doi.org/10.1007/s10096-022-04408-5" TargetMode="External" /><Relationship Type="http://schemas.openxmlformats.org/officeDocument/2006/relationships/hyperlink" Id="rId168" Target="https://doi.org/10.1007/s10096-022-04503-7" TargetMode="External" /><Relationship Type="http://schemas.openxmlformats.org/officeDocument/2006/relationships/hyperlink" Id="rId153" Target="https://doi.org/10.1007/s10096-023-04732-4" TargetMode="External" /><Relationship Type="http://schemas.openxmlformats.org/officeDocument/2006/relationships/hyperlink" Id="rId236" Target="https://doi.org/10.1007/s10096-024-04833-8" TargetMode="External" /><Relationship Type="http://schemas.openxmlformats.org/officeDocument/2006/relationships/hyperlink" Id="rId232" Target="https://doi.org/10.1007/s15010-022-01933-5" TargetMode="External" /><Relationship Type="http://schemas.openxmlformats.org/officeDocument/2006/relationships/hyperlink" Id="rId262" Target="https://doi.org/10.1007/s40121-023-00776-3" TargetMode="External" /><Relationship Type="http://schemas.openxmlformats.org/officeDocument/2006/relationships/hyperlink" Id="rId222" Target="https://doi.org/10.1007/s40121-023-00854-6" TargetMode="External" /><Relationship Type="http://schemas.openxmlformats.org/officeDocument/2006/relationships/hyperlink" Id="rId214" Target="https://doi.org/10.1007/s40121-024-01016-y" TargetMode="External" /><Relationship Type="http://schemas.openxmlformats.org/officeDocument/2006/relationships/hyperlink" Id="rId208" Target="https://doi.org/10.1016/S1473-3099(20)30796-9" TargetMode="External" /><Relationship Type="http://schemas.openxmlformats.org/officeDocument/2006/relationships/hyperlink" Id="rId258" Target="https://doi.org/10.1016/j.ijantimicag.2023.106818" TargetMode="External" /><Relationship Type="http://schemas.openxmlformats.org/officeDocument/2006/relationships/hyperlink" Id="rId220" Target="https://doi.org/10.1016/j.ijantimicag.2023.106825" TargetMode="External" /><Relationship Type="http://schemas.openxmlformats.org/officeDocument/2006/relationships/hyperlink" Id="rId244" Target="https://doi.org/10.1016/j.ijantimicag.2024.107121" TargetMode="External" /><Relationship Type="http://schemas.openxmlformats.org/officeDocument/2006/relationships/hyperlink" Id="rId242" Target="https://doi.org/10.1016/j.ijantimicag.2024.107190" TargetMode="External" /><Relationship Type="http://schemas.openxmlformats.org/officeDocument/2006/relationships/hyperlink" Id="rId151" Target="https://doi.org/10.1016/j.jgar.2020.07.009" TargetMode="External" /><Relationship Type="http://schemas.openxmlformats.org/officeDocument/2006/relationships/hyperlink" Id="rId199" Target="https://doi.org/10.1016/j.jgar.2024.01.021" TargetMode="External" /><Relationship Type="http://schemas.openxmlformats.org/officeDocument/2006/relationships/hyperlink" Id="rId246" Target="https://doi.org/10.1016/j.jinf.2024.106376" TargetMode="External" /><Relationship Type="http://schemas.openxmlformats.org/officeDocument/2006/relationships/hyperlink" Id="rId155" Target="https://doi.org/10.1016/j.jinf.2025.106417" TargetMode="External" /><Relationship Type="http://schemas.openxmlformats.org/officeDocument/2006/relationships/hyperlink" Id="rId252" Target="https://doi.org/10.1016/j.jiph.2022.07.006" TargetMode="External" /><Relationship Type="http://schemas.openxmlformats.org/officeDocument/2006/relationships/hyperlink" Id="rId228" Target="https://doi.org/10.1016/j.jiph.2023.06.009" TargetMode="External" /><Relationship Type="http://schemas.openxmlformats.org/officeDocument/2006/relationships/hyperlink" Id="rId195" Target="https://doi.org/10.1016/j.jiph.2023.11.003" TargetMode="External" /><Relationship Type="http://schemas.openxmlformats.org/officeDocument/2006/relationships/hyperlink" Id="rId170" Target="https://doi.org/10.1038/s41429-024-00801-8" TargetMode="External" /><Relationship Type="http://schemas.openxmlformats.org/officeDocument/2006/relationships/hyperlink" Id="rId204" Target="https://doi.org/10.1038/s41467-023-40828-3" TargetMode="External" /><Relationship Type="http://schemas.openxmlformats.org/officeDocument/2006/relationships/hyperlink" Id="rId185" Target="https://doi.org/10.1038/s44259-025-00079-2" TargetMode="External" /><Relationship Type="http://schemas.openxmlformats.org/officeDocument/2006/relationships/hyperlink" Id="rId191" Target="https://doi.org/10.1080/1120009X.2022.2090615" TargetMode="External" /><Relationship Type="http://schemas.openxmlformats.org/officeDocument/2006/relationships/hyperlink" Id="rId254" Target="https://doi.org/10.1093/cid/ciac647" TargetMode="External" /><Relationship Type="http://schemas.openxmlformats.org/officeDocument/2006/relationships/hyperlink" Id="rId224" Target="https://doi.org/10.1093/jac/dkad298" TargetMode="External" /><Relationship Type="http://schemas.openxmlformats.org/officeDocument/2006/relationships/hyperlink" Id="rId260" Target="https://doi.org/10.1093/jacamr/dlab188" TargetMode="External" /><Relationship Type="http://schemas.openxmlformats.org/officeDocument/2006/relationships/hyperlink" Id="rId147" Target="https://doi.org/10.1093/ofid/ofaa439.1478" TargetMode="External" /><Relationship Type="http://schemas.openxmlformats.org/officeDocument/2006/relationships/hyperlink" Id="rId173" Target="https://doi.org/10.1093/ofid/ofaa439.1806" TargetMode="External" /><Relationship Type="http://schemas.openxmlformats.org/officeDocument/2006/relationships/hyperlink" Id="rId181" Target="https://doi.org/10.1093/ofid/ofac484" TargetMode="External" /><Relationship Type="http://schemas.openxmlformats.org/officeDocument/2006/relationships/hyperlink" Id="rId248" Target="https://doi.org/10.1093/ofid/ofac492.670" TargetMode="External" /><Relationship Type="http://schemas.openxmlformats.org/officeDocument/2006/relationships/hyperlink" Id="rId230" Target="https://doi.org/10.1093/ofid/ofad329" TargetMode="External" /><Relationship Type="http://schemas.openxmlformats.org/officeDocument/2006/relationships/hyperlink" Id="rId179" Target="https://doi.org/10.1093/ofid/ofad500.2135" TargetMode="External" /><Relationship Type="http://schemas.openxmlformats.org/officeDocument/2006/relationships/hyperlink" Id="rId264" Target="https://doi.org/10.1093/ofid/ofad627" TargetMode="External" /><Relationship Type="http://schemas.openxmlformats.org/officeDocument/2006/relationships/hyperlink" Id="rId159" Target="https://doi.org/10.1093/ofid/ofae631.1298" TargetMode="External" /><Relationship Type="http://schemas.openxmlformats.org/officeDocument/2006/relationships/hyperlink" Id="rId157" Target="https://doi.org/10.1093/ofid/ofae631.166" TargetMode="External" /><Relationship Type="http://schemas.openxmlformats.org/officeDocument/2006/relationships/hyperlink" Id="rId161" Target="https://doi.org/10.1093/ofid/ofz360.791" TargetMode="External" /><Relationship Type="http://schemas.openxmlformats.org/officeDocument/2006/relationships/hyperlink" Id="rId187" Target="https://doi.org/10.1101/2024.02.13.579981" TargetMode="External" /><Relationship Type="http://schemas.openxmlformats.org/officeDocument/2006/relationships/hyperlink" Id="rId266" Target="https://doi.org/10.1111/tid.14319" TargetMode="External" /><Relationship Type="http://schemas.openxmlformats.org/officeDocument/2006/relationships/hyperlink" Id="rId206" Target="https://doi.org/10.1128/aac.00559-20" TargetMode="External" /><Relationship Type="http://schemas.openxmlformats.org/officeDocument/2006/relationships/hyperlink" Id="rId216" Target="https://doi.org/10.1128/aac.02142-21" TargetMode="External" /><Relationship Type="http://schemas.openxmlformats.org/officeDocument/2006/relationships/hyperlink" Id="rId165" Target="https://doi.org/10.1128/spectrum.00164-24" TargetMode="External" /><Relationship Type="http://schemas.openxmlformats.org/officeDocument/2006/relationships/hyperlink" Id="rId183" Target="https://doi.org/10.1128/spectrum.00930-24" TargetMode="External" /><Relationship Type="http://schemas.openxmlformats.org/officeDocument/2006/relationships/hyperlink" Id="rId238" Target="https://doi.org/10.1128/spectrum.03108-23" TargetMode="External" /><Relationship Type="http://schemas.openxmlformats.org/officeDocument/2006/relationships/hyperlink" Id="rId193" Target="https://doi.org/10.1128/spectrum.03496-22" TargetMode="External" /><Relationship Type="http://schemas.openxmlformats.org/officeDocument/2006/relationships/hyperlink" Id="rId240" Target="https://doi.org/10.2147/IDR.S475462" TargetMode="External" /><Relationship Type="http://schemas.openxmlformats.org/officeDocument/2006/relationships/hyperlink" Id="rId250" Target="https://doi.org/10.3390/antibiotics11010003" TargetMode="External" /><Relationship Type="http://schemas.openxmlformats.org/officeDocument/2006/relationships/hyperlink" Id="rId175" Target="https://doi.org/10.3390/antibiotics11121681" TargetMode="External" /><Relationship Type="http://schemas.openxmlformats.org/officeDocument/2006/relationships/hyperlink" Id="rId226" Target="https://doi.org/10.3390/antibiotics12040746" TargetMode="External" /><Relationship Type="http://schemas.openxmlformats.org/officeDocument/2006/relationships/hyperlink" Id="rId149" Target="https://doi.org/10.3390/antibiotics12050858" TargetMode="External" /><Relationship Type="http://schemas.openxmlformats.org/officeDocument/2006/relationships/hyperlink" Id="rId256" Target="https://doi.org/10.3390/antibiotics12060991" TargetMode="External" /><Relationship Type="http://schemas.openxmlformats.org/officeDocument/2006/relationships/hyperlink" Id="rId210" Target="https://doi.org/10.3390/antibiotics12061048" TargetMode="External" /><Relationship Type="http://schemas.openxmlformats.org/officeDocument/2006/relationships/hyperlink" Id="rId268" Target="https://doi.org/10.3390/antibiotics13080770" TargetMode="External" /><Relationship Type="http://schemas.openxmlformats.org/officeDocument/2006/relationships/hyperlink" Id="rId234" Target="https://doi.org/10.3390/antibiotics13111001" TargetMode="External" /><Relationship Type="http://schemas.openxmlformats.org/officeDocument/2006/relationships/hyperlink" Id="rId212" Target="https://doi.org/10.3390/antibiotics13111007" TargetMode="External" /><Relationship Type="http://schemas.openxmlformats.org/officeDocument/2006/relationships/hyperlink" Id="rId202" Target="https://doi.org/10.3390/antibiotics13121236" TargetMode="External" /><Relationship Type="http://schemas.openxmlformats.org/officeDocument/2006/relationships/hyperlink" Id="rId197" Target="https://doi.org/10.3390/antibiotics14020210" TargetMode="External" /><Relationship Type="http://schemas.openxmlformats.org/officeDocument/2006/relationships/hyperlink" Id="rId163" Target="https://doi.org/10.3390/cells13161315" TargetMode="External" /><Relationship Type="http://schemas.openxmlformats.org/officeDocument/2006/relationships/hyperlink" Id="rId218" Target="https://doi.org/10.3390/microorganisms11040984" TargetMode="External" /><Relationship Type="http://schemas.openxmlformats.org/officeDocument/2006/relationships/hyperlink" Id="rId124" Target="https://github.com/mat194/Cefiderocol-Meta-analysis" TargetMode="External" /><Relationship Type="http://schemas.openxmlformats.org/officeDocument/2006/relationships/hyperlink" Id="rId20" Target="mailto:matteo.morra@univr.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Exploring the evidence for use of cefiderocol as part of combination therapies: a systematic review of in vitro, in vivo, and clinical studies</dc:title>
  <dc:creator>Marco Meroi*,1, Juan Antonio del Castillo Polo*,2, Rebecca Scardellato1, Alessandra Nazeri1, Alessia Savoldi1, Renata Da Costa3, Laura Piddock3, Jennifer Cohn3, Evelina Tacconelli1, Matteo Morra1,✉, and Elda Righi1</dc:creator>
  <cp:keywords/>
  <dcterms:created xsi:type="dcterms:W3CDTF">2026-02-05T20:36:04Z</dcterms:created>
  <dcterms:modified xsi:type="dcterms:W3CDTF">2026-02-05T20:36:04Z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sl">
    <vt:lpwstr>Utils/elsevier-vancouver.csl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vealjs-plugins">
    <vt:lpwstr/>
  </property>
  <property fmtid="{D5CDD505-2E9C-101B-9397-08002B2CF9AE}" pid="13" name="subtitle">
    <vt:lpwstr>Supplementary material</vt:lpwstr>
  </property>
  <property fmtid="{D5CDD505-2E9C-101B-9397-08002B2CF9AE}" pid="14" name="toc-title">
    <vt:lpwstr>Table of contents</vt:lpwstr>
  </property>
  <property fmtid="{D5CDD505-2E9C-101B-9397-08002B2CF9AE}" pid="15" name="wordcount_abstract_words">
    <vt:lpwstr>0</vt:lpwstr>
  </property>
  <property fmtid="{D5CDD505-2E9C-101B-9397-08002B2CF9AE}" pid="16" name="wordcount_appendix_words">
    <vt:lpwstr>0</vt:lpwstr>
  </property>
  <property fmtid="{D5CDD505-2E9C-101B-9397-08002B2CF9AE}" pid="17" name="wordcount_body_words">
    <vt:lpwstr>1037</vt:lpwstr>
  </property>
  <property fmtid="{D5CDD505-2E9C-101B-9397-08002B2CF9AE}" pid="18" name="wordcount_note_words">
    <vt:lpwstr>0</vt:lpwstr>
  </property>
  <property fmtid="{D5CDD505-2E9C-101B-9397-08002B2CF9AE}" pid="19" name="wordcount_ref_words">
    <vt:lpwstr>2333</vt:lpwstr>
  </property>
  <property fmtid="{D5CDD505-2E9C-101B-9397-08002B2CF9AE}" pid="20" name="wordcount_total_words">
    <vt:lpwstr>3370</vt:lpwstr>
  </property>
</Properties>
</file>