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Enterobacterales and</w:t>
      </w:r>
      <w:r>
        <w:t xml:space="preserve"> </w:t>
      </w:r>
      <w:r>
        <w:rPr>
          <w:i/>
          <w:iCs/>
        </w:rPr>
        <w:t xml:space="preserve">Pseudomonas aeruginosa</w:t>
      </w:r>
      <w:r>
        <w:t xml:space="preserve">, the role of cefiderocol-based combination therapy—particularly for carbapenem-resistant</w:t>
      </w:r>
      <w:r>
        <w:t xml:space="preserve"> </w:t>
      </w:r>
      <w:r>
        <w:rPr>
          <w:i/>
          <w:iCs/>
        </w:rPr>
        <w:t xml:space="preserve">Acinetobacter baumannii</w:t>
      </w:r>
      <w:r>
        <w:t xml:space="preserve"> </w:t>
      </w:r>
      <w:r>
        <w:t xml:space="preserve">(CRAB) and metallo-β-lactamase–producing organisms—remains uncertain. We conducted a systematic review of preclinical and clinical evidence supporting cefiderocol combination regimens.</w:t>
      </w:r>
    </w:p>
    <w:p>
      <w:pPr>
        <w:pStyle w:val="BodyText"/>
      </w:pPr>
      <w:r>
        <w:rPr>
          <w:b/>
          <w:bCs/>
        </w:rPr>
        <w:t xml:space="preserve">Methods</w:t>
      </w:r>
      <w:r>
        <w:br/>
      </w:r>
      <w:r>
        <w:t xml:space="preserve">We systematically searched MEDLINE, ECCMID and IDWeek sources (January 2015–January 2025) for i</w:t>
      </w:r>
      <w:r>
        <w:rPr>
          <w:i/>
          <w:iCs/>
        </w:rPr>
        <w:t xml:space="preserve">n vitro</w:t>
      </w:r>
      <w:r>
        <w:t xml:space="preserve">,</w:t>
      </w:r>
      <w:r>
        <w:t xml:space="preserve"> </w:t>
      </w:r>
      <w:r>
        <w:rPr>
          <w:i/>
          <w:iCs/>
        </w:rPr>
        <w:t xml:space="preserve">in vivo</w:t>
      </w:r>
      <w:r>
        <w:t xml:space="preserve"> </w:t>
      </w:r>
      <w:r>
        <w:t xml:space="preserve">and clinical studies evaluating cefiderocol-based combinations. Randomised trials, observational studies and preclinical synergy studies were included. For clinical studies, an exploratory random-effects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 in vitro, 5 in vivo and 30 clinical). Preclinical data consistently showed enhanced cefiderocol activity when combined with β-lactamase inhibitors—particularly sulbactam, avibactam, durlobactam, zidebactam and xeruborbactam—as well as with tetracycline derivatives (tigecycline, eravacycline, minocycline) and selected β-lactams.</w:t>
      </w:r>
      <w:r>
        <w:t xml:space="preserve"> </w:t>
      </w:r>
      <w:r>
        <w:rPr>
          <w:i/>
          <w:iCs/>
        </w:rPr>
        <w:t xml:space="preserve">In vivo</w:t>
      </w:r>
      <w:r>
        <w:t xml:space="preserve"> </w:t>
      </w:r>
      <w:r>
        <w:t xml:space="preserve">models supported improved bacterial killing and survival for selected combinations, including cefiderocol with tigecycline, eravacycline, sulbactam or ceftazidime–avibactam.</w:t>
      </w:r>
    </w:p>
    <w:p>
      <w:pPr>
        <w:pStyle w:val="BodyText"/>
      </w:pPr>
      <w:r>
        <w:t xml:space="preserve">Clinical studies were heterogeneous in design, patient populations and companion drugs, and frequently subject to confounding by indication. In pooled analyses of comparative cohorts, combination therapy did not show a consistent advantage over monotherapy for clinical cure or microbiological eradication. Mortality estimates varied widely across studies and should be interpreted cautiously in light of baseline imbalances and the mostly non-randomised treatment allocation.</w:t>
      </w:r>
    </w:p>
    <w:p>
      <w:pPr>
        <w:pStyle w:val="BodyText"/>
      </w:pPr>
      <w:r>
        <w:rPr>
          <w:b/>
          <w:bCs/>
        </w:rPr>
        <w:t xml:space="preserve">Conclusions</w:t>
      </w:r>
      <w:r>
        <w:br/>
      </w:r>
      <w:r>
        <w:t xml:space="preserve">Cefiderocol combinations demonstrate reproducible and biologically plausible synergy</w:t>
      </w:r>
      <w:r>
        <w:t xml:space="preserve"> </w:t>
      </w:r>
      <w:r>
        <w:rPr>
          <w:i/>
          <w:iCs/>
        </w:rPr>
        <w:t xml:space="preserve">in vitro</w:t>
      </w:r>
      <w:r>
        <w:t xml:space="preserve"> </w:t>
      </w:r>
      <w:r>
        <w:t xml:space="preserve">and</w:t>
      </w:r>
      <w:r>
        <w:t xml:space="preserve"> </w:t>
      </w:r>
      <w:r>
        <w:rPr>
          <w:i/>
          <w:iCs/>
        </w:rPr>
        <w:t xml:space="preserve">in vivo</w:t>
      </w:r>
      <w:r>
        <w:t xml:space="preserve">, particularly when paired with β-lactamase inhibitors or tetracycline derivatives against CRAB and other highly resistant CR-GNB. However, current clinical evidence is limited, heterogeneous and largely observational, and does not yet identify combinations that reliably improve patient-centred outcomes over monotherapy. Well-designed translational studies and controlled clinical trials are needed to define when and how cefiderocol-based combinations should be used.</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Synergistic activity is most consistent against CRAB and resistant Enterobacterales</w:t>
      </w:r>
      <w:r>
        <w:t xml:space="preserve">, including cefiderocol-resistant isolates.</w:t>
      </w:r>
    </w:p>
    <w:p>
      <w:pPr>
        <w:numPr>
          <w:ilvl w:val="0"/>
          <w:numId w:val="1001"/>
        </w:numPr>
      </w:pPr>
      <w:r>
        <w:rPr>
          <w:b/>
          <w:bCs/>
        </w:rPr>
        <w:t xml:space="preserve">In vivo models confirm improved survival and bacterial clearance</w:t>
      </w:r>
      <w:r>
        <w:t xml:space="preserve"> </w:t>
      </w:r>
      <w:r>
        <w:t xml:space="preserve">for selected combinations, particularly cefiderocol with tigecycline, eravacycline, sulbactam or ceftazidime-avibactam.</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Pooled clinical data show higher mortality with combination therapy</w:t>
      </w:r>
      <w:r>
        <w:t xml:space="preserve">, likely reflecting confounding by indication rather than true harm.</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 12 CRAB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as compared to cefiderocol monotherapy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28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140"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9" name="Picture"/>
            <a:graphic>
              <a:graphicData uri="http://schemas.openxmlformats.org/drawingml/2006/picture">
                <pic:pic>
                  <pic:nvPicPr>
                    <pic:cNvPr descr="images/prisma.png" id="40" name="Picture"/>
                    <pic:cNvPicPr>
                      <a:picLocks noChangeArrowheads="1" noChangeAspect="1"/>
                    </pic:cNvPicPr>
                  </pic:nvPicPr>
                  <pic:blipFill>
                    <a:blip r:embed="rId38"/>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[6]</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4" name="Picture"/>
                  <a:graphic>
                    <a:graphicData uri="http://schemas.openxmlformats.org/drawingml/2006/picture">
                      <pic:pic>
                        <pic:nvPicPr>
                          <pic:cNvPr descr="images/green_synergy.png" id="4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[7]</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7" name="Picture"/>
                  <a:graphic>
                    <a:graphicData uri="http://schemas.openxmlformats.org/drawingml/2006/picture">
                      <pic:pic>
                        <pic:nvPicPr>
                          <pic:cNvPr descr="images/yellow_synergy.png" id="48" name="Picture"/>
                          <pic:cNvPicPr>
                            <a:picLocks noChangeArrowheads="1" noChangeAspect="1"/>
                          </pic:cNvPicPr>
                        </pic:nvPicPr>
                        <pic:blipFill>
                          <a:blip r:embed="rId4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[8]</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[12]</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[13]</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[14]</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[15]</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[58]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[10]</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65" name="Picture"/>
                  <a:graphic>
                    <a:graphicData uri="http://schemas.openxmlformats.org/drawingml/2006/picture">
                      <pic:pic>
                        <pic:nvPicPr>
                          <pic:cNvPr descr="images/green_synergy.png" id="66" name="Picture"/>
                          <pic:cNvPicPr>
                            <a:picLocks noChangeArrowheads="1" noChangeAspect="1"/>
                          </pic:cNvPicPr>
                        </pic:nvPicPr>
                        <pic:blipFill>
                          <a:blip r:embed="rId4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[11]</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red_synergy.png" id="6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[16]</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[17]</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[18]</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green_synergy.png" id="8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[19]</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[9]</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green_synergy.png" id="8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yellow_synergy.png" id="9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[21]</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[22]</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red_synergy.png" id="9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green_synergy.png" id="9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[23]</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yellow_synergy.png" id="10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[24]</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[25]</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red_synergy.png" id="10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red_synergy.png" id="10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[27]</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[26]</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[28]</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yellow_synergy.png" id="11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[29]</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yellow_synergy.png" id="11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green_synergy.png" id="12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[31]</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[32]</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yellow_synergy.png" id="12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[33]</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green_synergy.png" id="12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[34]</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red_synergy.png" id="131"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[35]</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[36]</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38" name="Picture"/>
                  <a:graphic>
                    <a:graphicData uri="http://schemas.openxmlformats.org/drawingml/2006/picture">
                      <pic:pic>
                        <pic:nvPicPr>
                          <pic:cNvPr descr="images/green_synergy.png" id="13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2"/>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00"/>
        <w:gridCol w:w="359"/>
        <w:gridCol w:w="772"/>
        <w:gridCol w:w="772"/>
        <w:gridCol w:w="897"/>
        <w:gridCol w:w="826"/>
        <w:gridCol w:w="538"/>
        <w:gridCol w:w="2945"/>
      </w:tblGrid>
      <w:tr>
        <w:trPr>
          <w:tblHeader w:val="on"/>
        </w:trPr>
        <w:tc>
          <w:tcPr/>
          <w:p>
            <w:pPr>
              <w:pStyle w:val="Compact"/>
            </w:pPr>
            <w:r>
              <w:rPr>
                <w:b/>
                <w:bCs/>
              </w:rPr>
              <w:t xml:space="preserve">Author, year</w:t>
            </w:r>
          </w:p>
        </w:tc>
        <w:tc>
          <w:tcPr/>
          <w:p>
            <w:pPr>
              <w:pStyle w:val="Compact"/>
            </w:pPr>
            <w:r>
              <w:rPr>
                <w:b/>
                <w:bCs/>
              </w:rPr>
              <w:t xml:space="preserve">Type of study</w:t>
            </w:r>
          </w:p>
        </w:tc>
        <w:tc>
          <w:tcPr/>
          <w:p>
            <w:pPr>
              <w:pStyle w:val="Compact"/>
            </w:pPr>
            <w:r>
              <w:rPr>
                <w:b/>
                <w:bCs/>
              </w:rPr>
              <w:t xml:space="preserve">Infection type</w:t>
            </w:r>
          </w:p>
        </w:tc>
        <w:tc>
          <w:tcPr/>
          <w:p>
            <w:pPr>
              <w:pStyle w:val="Compact"/>
            </w:pPr>
            <w:r>
              <w:rPr>
                <w:b/>
                <w:bCs/>
              </w:rPr>
              <w:t xml:space="preserve">Pathogen(s)</w:t>
            </w:r>
          </w:p>
        </w:tc>
        <w:tc>
          <w:tcPr/>
          <w:p>
            <w:pPr>
              <w:pStyle w:val="Compact"/>
            </w:pPr>
            <w:r>
              <w:rPr>
                <w:b/>
                <w:bCs/>
              </w:rPr>
              <w:t xml:space="preserve">Number of patients treated with cefiderocol</w:t>
            </w:r>
          </w:p>
        </w:tc>
        <w:tc>
          <w:tcPr/>
          <w:p>
            <w:pPr>
              <w:pStyle w:val="Compact"/>
            </w:pPr>
            <w:r>
              <w:rPr>
                <w:b/>
                <w:bCs/>
              </w:rPr>
              <w:t xml:space="preserve">Combination therapies</w:t>
            </w:r>
          </w:p>
        </w:tc>
        <w:tc>
          <w:tcPr/>
          <w:p>
            <w:pPr>
              <w:pStyle w:val="Compact"/>
            </w:pPr>
            <w:r>
              <w:rPr>
                <w:b/>
                <w:bCs/>
              </w:rPr>
              <w:t xml:space="preserve">Microbiological outcome</w:t>
            </w:r>
          </w:p>
        </w:tc>
        <w:tc>
          <w:tcPr/>
          <w:p>
            <w:pPr>
              <w:pStyle w:val="Compact"/>
            </w:pPr>
            <w:r>
              <w:rPr>
                <w:b/>
                <w:bCs/>
              </w:rP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40"/>
    <w:bookmarkStart w:id="284" w:name="references"/>
    <w:p>
      <w:pPr>
        <w:pStyle w:val="Heading3"/>
      </w:pPr>
      <w:r>
        <w:t xml:space="preserve">References</w:t>
      </w:r>
    </w:p>
    <w:bookmarkStart w:id="283" w:name="refs"/>
    <w:bookmarkStart w:id="14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41">
        <w:r>
          <w:rPr>
            <w:rStyle w:val="Hyperlink"/>
          </w:rPr>
          <w:t xml:space="preserve">https://doi.org/10.1128/AAC.01405-16</w:t>
        </w:r>
      </w:hyperlink>
      <w:r>
        <w:t xml:space="preserve">.</w:t>
      </w:r>
    </w:p>
    <w:bookmarkEnd w:id="142"/>
    <w:bookmarkStart w:id="14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3">
        <w:r>
          <w:rPr>
            <w:rStyle w:val="Hyperlink"/>
          </w:rPr>
          <w:t xml:space="preserve">https://doi.org/10.1128/AAC.01968-17</w:t>
        </w:r>
      </w:hyperlink>
      <w:r>
        <w:t xml:space="preserve">.</w:t>
      </w:r>
    </w:p>
    <w:bookmarkEnd w:id="144"/>
    <w:bookmarkStart w:id="14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5">
        <w:r>
          <w:rPr>
            <w:rStyle w:val="Hyperlink"/>
          </w:rPr>
          <w:t xml:space="preserve">https://doi.org/10.1016/j.cmi.2021.11.025</w:t>
        </w:r>
      </w:hyperlink>
      <w:r>
        <w:t xml:space="preserve">.</w:t>
      </w:r>
    </w:p>
    <w:bookmarkEnd w:id="146"/>
    <w:bookmarkStart w:id="14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7">
        <w:r>
          <w:rPr>
            <w:rStyle w:val="Hyperlink"/>
          </w:rPr>
          <w:t xml:space="preserve">https://doi.org/10.1093/cid/ciae403</w:t>
        </w:r>
      </w:hyperlink>
      <w:r>
        <w:t xml:space="preserve">.</w:t>
      </w:r>
    </w:p>
    <w:bookmarkEnd w:id="148"/>
    <w:bookmarkStart w:id="15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9">
        <w:r>
          <w:rPr>
            <w:rStyle w:val="Hyperlink"/>
          </w:rPr>
          <w:t xml:space="preserve">https://doi.org/10.1016/j.cmi.2021.05.002</w:t>
        </w:r>
      </w:hyperlink>
      <w:r>
        <w:t xml:space="preserve">.</w:t>
      </w:r>
    </w:p>
    <w:bookmarkEnd w:id="150"/>
    <w:bookmarkStart w:id="15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52"/>
    <w:bookmarkStart w:id="15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3">
        <w:r>
          <w:rPr>
            <w:rStyle w:val="Hyperlink"/>
          </w:rPr>
          <w:t xml:space="preserve">https://doi.org/10.3390/antibiotics12050858</w:t>
        </w:r>
      </w:hyperlink>
      <w:r>
        <w:t xml:space="preserve">.</w:t>
      </w:r>
    </w:p>
    <w:bookmarkEnd w:id="154"/>
    <w:bookmarkStart w:id="15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5">
        <w:r>
          <w:rPr>
            <w:rStyle w:val="Hyperlink"/>
          </w:rPr>
          <w:t xml:space="preserve">https://doi.org/10.1016/j.jgar.2020.07.009</w:t>
        </w:r>
      </w:hyperlink>
      <w:r>
        <w:t xml:space="preserve">.</w:t>
      </w:r>
    </w:p>
    <w:bookmarkEnd w:id="156"/>
    <w:bookmarkStart w:id="15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7">
        <w:r>
          <w:rPr>
            <w:rStyle w:val="Hyperlink"/>
          </w:rPr>
          <w:t xml:space="preserve">https://doi.org/10.1093/ofid/ofaa439.1806</w:t>
        </w:r>
      </w:hyperlink>
      <w:r>
        <w:t xml:space="preserve">.</w:t>
      </w:r>
    </w:p>
    <w:bookmarkEnd w:id="158"/>
    <w:bookmarkStart w:id="16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9">
        <w:r>
          <w:rPr>
            <w:rStyle w:val="Hyperlink"/>
          </w:rPr>
          <w:t xml:space="preserve">https://doi.org/10.3390/cells13161315</w:t>
        </w:r>
      </w:hyperlink>
      <w:r>
        <w:t xml:space="preserve">.</w:t>
      </w:r>
    </w:p>
    <w:bookmarkEnd w:id="160"/>
    <w:bookmarkStart w:id="16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61">
        <w:r>
          <w:rPr>
            <w:rStyle w:val="Hyperlink"/>
          </w:rPr>
          <w:t xml:space="preserve">https://doi.org/10.1128/spectrum.00164-24</w:t>
        </w:r>
      </w:hyperlink>
      <w:r>
        <w:t xml:space="preserve">.</w:t>
      </w:r>
    </w:p>
    <w:bookmarkEnd w:id="162"/>
    <w:bookmarkStart w:id="16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3">
        <w:r>
          <w:rPr>
            <w:rStyle w:val="Hyperlink"/>
          </w:rPr>
          <w:t xml:space="preserve">https://doi.org/10.1007/s10096-023-04732-4</w:t>
        </w:r>
      </w:hyperlink>
      <w:r>
        <w:t xml:space="preserve">.</w:t>
      </w:r>
    </w:p>
    <w:bookmarkEnd w:id="164"/>
    <w:bookmarkStart w:id="16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5">
        <w:r>
          <w:rPr>
            <w:rStyle w:val="Hyperlink"/>
          </w:rPr>
          <w:t xml:space="preserve">https://doi.org/10.1016/j.jinf.2025.106417</w:t>
        </w:r>
      </w:hyperlink>
      <w:r>
        <w:t xml:space="preserve">.</w:t>
      </w:r>
    </w:p>
    <w:bookmarkEnd w:id="166"/>
    <w:bookmarkStart w:id="16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168"/>
    <w:bookmarkStart w:id="17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9">
        <w:r>
          <w:rPr>
            <w:rStyle w:val="Hyperlink"/>
          </w:rPr>
          <w:t xml:space="preserve">https://doi.org/10.1093/ofid/ofae631.1298</w:t>
        </w:r>
      </w:hyperlink>
      <w:r>
        <w:t xml:space="preserve">.</w:t>
      </w:r>
    </w:p>
    <w:bookmarkEnd w:id="170"/>
    <w:bookmarkStart w:id="17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71"/>
    <w:bookmarkStart w:id="17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2">
        <w:r>
          <w:rPr>
            <w:rStyle w:val="Hyperlink"/>
          </w:rPr>
          <w:t xml:space="preserve">https://doi.org/10.1007/s10096-022-04503-7</w:t>
        </w:r>
      </w:hyperlink>
      <w:r>
        <w:t xml:space="preserve">.</w:t>
      </w:r>
    </w:p>
    <w:bookmarkEnd w:id="173"/>
    <w:bookmarkStart w:id="17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4">
        <w:r>
          <w:rPr>
            <w:rStyle w:val="Hyperlink"/>
          </w:rPr>
          <w:t xml:space="preserve">https://doi.org/10.1038/s41429-024-00801-8</w:t>
        </w:r>
      </w:hyperlink>
      <w:r>
        <w:t xml:space="preserve">.</w:t>
      </w:r>
    </w:p>
    <w:bookmarkEnd w:id="175"/>
    <w:bookmarkStart w:id="17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6"/>
    <w:bookmarkStart w:id="17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7">
        <w:r>
          <w:rPr>
            <w:rStyle w:val="Hyperlink"/>
          </w:rPr>
          <w:t xml:space="preserve">https://doi.org/10.3390/antibiotics11121681</w:t>
        </w:r>
      </w:hyperlink>
      <w:r>
        <w:t xml:space="preserve">.</w:t>
      </w:r>
    </w:p>
    <w:bookmarkEnd w:id="178"/>
    <w:bookmarkStart w:id="18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9">
        <w:r>
          <w:rPr>
            <w:rStyle w:val="Hyperlink"/>
          </w:rPr>
          <w:t xml:space="preserve">https://doi.org/10.1002/jcb.30424</w:t>
        </w:r>
      </w:hyperlink>
      <w:r>
        <w:t xml:space="preserve">.</w:t>
      </w:r>
    </w:p>
    <w:bookmarkEnd w:id="180"/>
    <w:bookmarkStart w:id="18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81">
        <w:r>
          <w:rPr>
            <w:rStyle w:val="Hyperlink"/>
          </w:rPr>
          <w:t xml:space="preserve">https://doi.org/10.1093/ofid/ofad500.2135</w:t>
        </w:r>
      </w:hyperlink>
      <w:r>
        <w:t xml:space="preserve">.</w:t>
      </w:r>
    </w:p>
    <w:bookmarkEnd w:id="182"/>
    <w:bookmarkStart w:id="18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3">
        <w:r>
          <w:rPr>
            <w:rStyle w:val="Hyperlink"/>
          </w:rPr>
          <w:t xml:space="preserve">https://doi.org/10.1093/ofid/ofac484</w:t>
        </w:r>
      </w:hyperlink>
      <w:r>
        <w:t xml:space="preserve">.</w:t>
      </w:r>
    </w:p>
    <w:bookmarkEnd w:id="184"/>
    <w:bookmarkStart w:id="18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5">
        <w:r>
          <w:rPr>
            <w:rStyle w:val="Hyperlink"/>
          </w:rPr>
          <w:t xml:space="preserve">https://doi.org/10.1128/spectrum.00930-24</w:t>
        </w:r>
      </w:hyperlink>
      <w:r>
        <w:t xml:space="preserve">.</w:t>
      </w:r>
    </w:p>
    <w:bookmarkEnd w:id="186"/>
    <w:bookmarkStart w:id="18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7">
        <w:r>
          <w:rPr>
            <w:rStyle w:val="Hyperlink"/>
          </w:rPr>
          <w:t xml:space="preserve">https://doi.org/10.1038/s44259-025-00079-2</w:t>
        </w:r>
      </w:hyperlink>
      <w:r>
        <w:t xml:space="preserve">.</w:t>
      </w:r>
    </w:p>
    <w:bookmarkEnd w:id="188"/>
    <w:bookmarkStart w:id="19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91">
        <w:r>
          <w:rPr>
            <w:rStyle w:val="Hyperlink"/>
          </w:rPr>
          <w:t xml:space="preserve">https://doi.org/10.1101/2024.02.13.579981</w:t>
        </w:r>
      </w:hyperlink>
      <w:r>
        <w:t xml:space="preserve">.</w:t>
      </w:r>
    </w:p>
    <w:bookmarkEnd w:id="192"/>
    <w:bookmarkStart w:id="19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3">
        <w:r>
          <w:rPr>
            <w:rStyle w:val="Hyperlink"/>
          </w:rPr>
          <w:t xml:space="preserve">https://doi.org/10.1080/1120009X.2022.2090615</w:t>
        </w:r>
      </w:hyperlink>
      <w:r>
        <w:t xml:space="preserve">.</w:t>
      </w:r>
    </w:p>
    <w:bookmarkEnd w:id="194"/>
    <w:bookmarkStart w:id="19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5">
        <w:r>
          <w:rPr>
            <w:rStyle w:val="Hyperlink"/>
          </w:rPr>
          <w:t xml:space="preserve">https://doi.org/10.1128/spectrum.03496-22</w:t>
        </w:r>
      </w:hyperlink>
      <w:r>
        <w:t xml:space="preserve">.</w:t>
      </w:r>
    </w:p>
    <w:bookmarkEnd w:id="196"/>
    <w:bookmarkStart w:id="19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7">
        <w:r>
          <w:rPr>
            <w:rStyle w:val="Hyperlink"/>
          </w:rPr>
          <w:t xml:space="preserve">https://doi.org/10.1016/j.jiph.2023.11.003</w:t>
        </w:r>
      </w:hyperlink>
      <w:r>
        <w:t xml:space="preserve">.</w:t>
      </w:r>
    </w:p>
    <w:bookmarkEnd w:id="198"/>
    <w:bookmarkStart w:id="20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9">
        <w:r>
          <w:rPr>
            <w:rStyle w:val="Hyperlink"/>
          </w:rPr>
          <w:t xml:space="preserve">https://doi.org/10.3390/antibiotics14020210</w:t>
        </w:r>
      </w:hyperlink>
      <w:r>
        <w:t xml:space="preserve">.</w:t>
      </w:r>
    </w:p>
    <w:bookmarkEnd w:id="200"/>
    <w:bookmarkStart w:id="20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201">
        <w:r>
          <w:rPr>
            <w:rStyle w:val="Hyperlink"/>
          </w:rPr>
          <w:t xml:space="preserve">https://doi.org/10.1016/j.jgar.2024.01.021</w:t>
        </w:r>
      </w:hyperlink>
      <w:r>
        <w:t xml:space="preserve">.</w:t>
      </w:r>
    </w:p>
    <w:bookmarkEnd w:id="202"/>
    <w:bookmarkStart w:id="20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3"/>
    <w:bookmarkStart w:id="20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4">
        <w:r>
          <w:rPr>
            <w:rStyle w:val="Hyperlink"/>
          </w:rPr>
          <w:t xml:space="preserve">https://doi.org/10.3390/antibiotics13121236</w:t>
        </w:r>
      </w:hyperlink>
      <w:r>
        <w:t xml:space="preserve">.</w:t>
      </w:r>
    </w:p>
    <w:bookmarkEnd w:id="205"/>
    <w:bookmarkStart w:id="20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6">
        <w:r>
          <w:rPr>
            <w:rStyle w:val="Hyperlink"/>
          </w:rPr>
          <w:t xml:space="preserve">https://doi.org/10.1038/s41467-023-40828-3</w:t>
        </w:r>
      </w:hyperlink>
      <w:r>
        <w:t xml:space="preserve">.</w:t>
      </w:r>
    </w:p>
    <w:bookmarkEnd w:id="207"/>
    <w:bookmarkStart w:id="20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8">
        <w:r>
          <w:rPr>
            <w:rStyle w:val="Hyperlink"/>
          </w:rPr>
          <w:t xml:space="preserve">https://doi.org/10.1128/aac.00559-20</w:t>
        </w:r>
      </w:hyperlink>
      <w:r>
        <w:t xml:space="preserve">.</w:t>
      </w:r>
    </w:p>
    <w:bookmarkEnd w:id="209"/>
    <w:bookmarkStart w:id="21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10">
        <w:r>
          <w:rPr>
            <w:rStyle w:val="Hyperlink"/>
          </w:rPr>
          <w:t xml:space="preserve">https://doi.org/10.1038/s41392-022-00986-0</w:t>
        </w:r>
      </w:hyperlink>
      <w:r>
        <w:t xml:space="preserve">.</w:t>
      </w:r>
    </w:p>
    <w:bookmarkEnd w:id="211"/>
    <w:bookmarkStart w:id="21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2">
        <w:r>
          <w:rPr>
            <w:rStyle w:val="Hyperlink"/>
          </w:rPr>
          <w:t xml:space="preserve">https://doi.org/10.1002/advs.202400862</w:t>
        </w:r>
      </w:hyperlink>
      <w:r>
        <w:t xml:space="preserve">.</w:t>
      </w:r>
    </w:p>
    <w:bookmarkEnd w:id="213"/>
    <w:bookmarkStart w:id="21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4">
        <w:r>
          <w:rPr>
            <w:rStyle w:val="Hyperlink"/>
          </w:rPr>
          <w:t xml:space="preserve">https://doi.org/10.1093/jac/dkad032</w:t>
        </w:r>
      </w:hyperlink>
      <w:r>
        <w:t xml:space="preserve">.</w:t>
      </w:r>
    </w:p>
    <w:bookmarkEnd w:id="215"/>
    <w:bookmarkStart w:id="21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6">
        <w:r>
          <w:rPr>
            <w:rStyle w:val="Hyperlink"/>
          </w:rPr>
          <w:t xml:space="preserve">https://doi.org/10.3390/antibiotics12061048</w:t>
        </w:r>
      </w:hyperlink>
      <w:r>
        <w:t xml:space="preserve">.</w:t>
      </w:r>
    </w:p>
    <w:bookmarkEnd w:id="217"/>
    <w:bookmarkStart w:id="21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8">
        <w:r>
          <w:rPr>
            <w:rStyle w:val="Hyperlink"/>
          </w:rPr>
          <w:t xml:space="preserve">https://doi.org/10.1128/aac.02142-21</w:t>
        </w:r>
      </w:hyperlink>
      <w:r>
        <w:t xml:space="preserve">.</w:t>
      </w:r>
    </w:p>
    <w:bookmarkEnd w:id="219"/>
    <w:bookmarkStart w:id="22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20">
        <w:r>
          <w:rPr>
            <w:rStyle w:val="Hyperlink"/>
          </w:rPr>
          <w:t xml:space="preserve">https://doi.org/10.3390/microorganisms11040984</w:t>
        </w:r>
      </w:hyperlink>
      <w:r>
        <w:t xml:space="preserve">.</w:t>
      </w:r>
    </w:p>
    <w:bookmarkEnd w:id="221"/>
    <w:bookmarkStart w:id="22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2">
        <w:r>
          <w:rPr>
            <w:rStyle w:val="Hyperlink"/>
          </w:rPr>
          <w:t xml:space="preserve">https://doi.org/10.1016/j.ijantimicag.2024.107190</w:t>
        </w:r>
      </w:hyperlink>
      <w:r>
        <w:t xml:space="preserve">.</w:t>
      </w:r>
    </w:p>
    <w:bookmarkEnd w:id="223"/>
    <w:bookmarkStart w:id="22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4">
        <w:r>
          <w:rPr>
            <w:rStyle w:val="Hyperlink"/>
          </w:rPr>
          <w:t xml:space="preserve">https://doi.org/10.1007/s40121-023-00854-6</w:t>
        </w:r>
      </w:hyperlink>
      <w:r>
        <w:t xml:space="preserve">.</w:t>
      </w:r>
    </w:p>
    <w:bookmarkEnd w:id="225"/>
    <w:bookmarkStart w:id="22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6">
        <w:r>
          <w:rPr>
            <w:rStyle w:val="Hyperlink"/>
          </w:rPr>
          <w:t xml:space="preserve">https://doi.org/10.1093/jac/dkad298</w:t>
        </w:r>
      </w:hyperlink>
      <w:r>
        <w:t xml:space="preserve">.</w:t>
      </w:r>
    </w:p>
    <w:bookmarkEnd w:id="227"/>
    <w:bookmarkStart w:id="22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8">
        <w:r>
          <w:rPr>
            <w:rStyle w:val="Hyperlink"/>
          </w:rPr>
          <w:t xml:space="preserve">https://doi.org/10.1007/s15010-022-01933-5</w:t>
        </w:r>
      </w:hyperlink>
      <w:r>
        <w:t xml:space="preserve">.</w:t>
      </w:r>
    </w:p>
    <w:bookmarkEnd w:id="229"/>
    <w:bookmarkStart w:id="23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0">
        <w:r>
          <w:rPr>
            <w:rStyle w:val="Hyperlink"/>
          </w:rPr>
          <w:t xml:space="preserve">https://doi.org/10.3390/antibiotics13111001</w:t>
        </w:r>
      </w:hyperlink>
      <w:r>
        <w:t xml:space="preserve">.</w:t>
      </w:r>
    </w:p>
    <w:bookmarkEnd w:id="231"/>
    <w:bookmarkStart w:id="23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2">
        <w:r>
          <w:rPr>
            <w:rStyle w:val="Hyperlink"/>
          </w:rPr>
          <w:t xml:space="preserve">https://doi.org/10.1007/s10096-024-04833-8</w:t>
        </w:r>
      </w:hyperlink>
      <w:r>
        <w:t xml:space="preserve">.</w:t>
      </w:r>
    </w:p>
    <w:bookmarkEnd w:id="233"/>
    <w:bookmarkStart w:id="23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4">
        <w:r>
          <w:rPr>
            <w:rStyle w:val="Hyperlink"/>
          </w:rPr>
          <w:t xml:space="preserve">https://doi.org/10.1128/spectrum.03108-23</w:t>
        </w:r>
      </w:hyperlink>
      <w:r>
        <w:t xml:space="preserve">.</w:t>
      </w:r>
    </w:p>
    <w:bookmarkEnd w:id="235"/>
    <w:bookmarkStart w:id="23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6">
        <w:r>
          <w:rPr>
            <w:rStyle w:val="Hyperlink"/>
          </w:rPr>
          <w:t xml:space="preserve">https://doi.org/10.2147/IDR.S475462</w:t>
        </w:r>
      </w:hyperlink>
      <w:r>
        <w:t xml:space="preserve">.</w:t>
      </w:r>
    </w:p>
    <w:bookmarkEnd w:id="237"/>
    <w:bookmarkStart w:id="23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8">
        <w:r>
          <w:rPr>
            <w:rStyle w:val="Hyperlink"/>
          </w:rPr>
          <w:t xml:space="preserve">https://doi.org/10.1093/ofid/ofad329</w:t>
        </w:r>
      </w:hyperlink>
      <w:r>
        <w:t xml:space="preserve">.</w:t>
      </w:r>
    </w:p>
    <w:bookmarkEnd w:id="239"/>
    <w:bookmarkStart w:id="24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40">
        <w:r>
          <w:rPr>
            <w:rStyle w:val="Hyperlink"/>
          </w:rPr>
          <w:t xml:space="preserve">https://doi.org/10.3390/antibiotics12040746</w:t>
        </w:r>
      </w:hyperlink>
      <w:r>
        <w:t xml:space="preserve">.</w:t>
      </w:r>
    </w:p>
    <w:bookmarkEnd w:id="241"/>
    <w:bookmarkStart w:id="24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2">
        <w:r>
          <w:rPr>
            <w:rStyle w:val="Hyperlink"/>
          </w:rPr>
          <w:t xml:space="preserve">https://doi.org/10.3390/antibiotics13111007</w:t>
        </w:r>
      </w:hyperlink>
      <w:r>
        <w:t xml:space="preserve">.</w:t>
      </w:r>
    </w:p>
    <w:bookmarkEnd w:id="243"/>
    <w:bookmarkStart w:id="24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4">
        <w:r>
          <w:rPr>
            <w:rStyle w:val="Hyperlink"/>
          </w:rPr>
          <w:t xml:space="preserve">https://doi.org/10.1007/s40121-024-01016-y</w:t>
        </w:r>
      </w:hyperlink>
      <w:r>
        <w:t xml:space="preserve">.</w:t>
      </w:r>
    </w:p>
    <w:bookmarkEnd w:id="245"/>
    <w:bookmarkStart w:id="24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6">
        <w:r>
          <w:rPr>
            <w:rStyle w:val="Hyperlink"/>
          </w:rPr>
          <w:t xml:space="preserve">https://doi.org/10.1016/j.cmi.2022.04.013</w:t>
        </w:r>
      </w:hyperlink>
      <w:r>
        <w:t xml:space="preserve">.</w:t>
      </w:r>
    </w:p>
    <w:bookmarkEnd w:id="247"/>
    <w:bookmarkStart w:id="24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248"/>
    <w:bookmarkStart w:id="25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9">
        <w:r>
          <w:rPr>
            <w:rStyle w:val="Hyperlink"/>
          </w:rPr>
          <w:t xml:space="preserve">https://doi.org/10.1016/j.ijantimicag.2023.106825</w:t>
        </w:r>
      </w:hyperlink>
      <w:r>
        <w:t xml:space="preserve">.</w:t>
      </w:r>
    </w:p>
    <w:bookmarkEnd w:id="250"/>
    <w:bookmarkStart w:id="25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51">
        <w:r>
          <w:rPr>
            <w:rStyle w:val="Hyperlink"/>
          </w:rPr>
          <w:t xml:space="preserve">https://doi.org/10.1093/ofid/ofz360.791</w:t>
        </w:r>
      </w:hyperlink>
      <w:r>
        <w:t xml:space="preserve">.</w:t>
      </w:r>
    </w:p>
    <w:bookmarkEnd w:id="252"/>
    <w:bookmarkStart w:id="254"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3">
        <w:r>
          <w:rPr>
            <w:rStyle w:val="Hyperlink"/>
          </w:rPr>
          <w:t xml:space="preserve">https://doi.org/10.1016/S1473-3099(20)30796-9</w:t>
        </w:r>
      </w:hyperlink>
      <w:r>
        <w:t xml:space="preserve">.</w:t>
      </w:r>
    </w:p>
    <w:bookmarkEnd w:id="254"/>
    <w:bookmarkStart w:id="256"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5">
        <w:r>
          <w:rPr>
            <w:rStyle w:val="Hyperlink"/>
          </w:rPr>
          <w:t xml:space="preserve">https://doi.org/10.1016/j.jiph.2023.06.009</w:t>
        </w:r>
      </w:hyperlink>
      <w:r>
        <w:t xml:space="preserve">.</w:t>
      </w:r>
    </w:p>
    <w:bookmarkEnd w:id="256"/>
    <w:bookmarkStart w:id="258"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7">
        <w:r>
          <w:rPr>
            <w:rStyle w:val="Hyperlink"/>
          </w:rPr>
          <w:t xml:space="preserve">https://doi.org/10.1016/j.ijantimicag.2024.107121</w:t>
        </w:r>
      </w:hyperlink>
      <w:r>
        <w:t xml:space="preserve">.</w:t>
      </w:r>
    </w:p>
    <w:bookmarkEnd w:id="258"/>
    <w:bookmarkStart w:id="260"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9">
        <w:r>
          <w:rPr>
            <w:rStyle w:val="Hyperlink"/>
          </w:rPr>
          <w:t xml:space="preserve">https://doi.org/10.1016/j.jinf.2024.106376</w:t>
        </w:r>
      </w:hyperlink>
      <w:r>
        <w:t xml:space="preserve">.</w:t>
      </w:r>
    </w:p>
    <w:bookmarkEnd w:id="260"/>
    <w:bookmarkStart w:id="262"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61">
        <w:r>
          <w:rPr>
            <w:rStyle w:val="Hyperlink"/>
          </w:rPr>
          <w:t xml:space="preserve">https://doi.org/10.1093/ofid/ofac492.670</w:t>
        </w:r>
      </w:hyperlink>
      <w:r>
        <w:t xml:space="preserve">.</w:t>
      </w:r>
    </w:p>
    <w:bookmarkEnd w:id="262"/>
    <w:bookmarkStart w:id="264"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3">
        <w:r>
          <w:rPr>
            <w:rStyle w:val="Hyperlink"/>
          </w:rPr>
          <w:t xml:space="preserve">https://doi.org/10.3390/antibiotics11010003</w:t>
        </w:r>
      </w:hyperlink>
      <w:r>
        <w:t xml:space="preserve">.</w:t>
      </w:r>
    </w:p>
    <w:bookmarkEnd w:id="264"/>
    <w:bookmarkStart w:id="266"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5">
        <w:r>
          <w:rPr>
            <w:rStyle w:val="Hyperlink"/>
          </w:rPr>
          <w:t xml:space="preserve">https://doi.org/10.1016/j.jiph.2022.07.006</w:t>
        </w:r>
      </w:hyperlink>
      <w:r>
        <w:t xml:space="preserve">.</w:t>
      </w:r>
    </w:p>
    <w:bookmarkEnd w:id="266"/>
    <w:bookmarkStart w:id="268"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7">
        <w:r>
          <w:rPr>
            <w:rStyle w:val="Hyperlink"/>
          </w:rPr>
          <w:t xml:space="preserve">https://doi.org/10.1093/cid/ciac647</w:t>
        </w:r>
      </w:hyperlink>
      <w:r>
        <w:t xml:space="preserve">.</w:t>
      </w:r>
    </w:p>
    <w:bookmarkEnd w:id="268"/>
    <w:bookmarkStart w:id="270"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9">
        <w:r>
          <w:rPr>
            <w:rStyle w:val="Hyperlink"/>
          </w:rPr>
          <w:t xml:space="preserve">https://doi.org/10.3390/antibiotics12060991</w:t>
        </w:r>
      </w:hyperlink>
      <w:r>
        <w:t xml:space="preserve">.</w:t>
      </w:r>
    </w:p>
    <w:bookmarkEnd w:id="270"/>
    <w:bookmarkStart w:id="272"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71">
        <w:r>
          <w:rPr>
            <w:rStyle w:val="Hyperlink"/>
          </w:rPr>
          <w:t xml:space="preserve">https://doi.org/10.1016/j.ijantimicag.2023.106818</w:t>
        </w:r>
      </w:hyperlink>
      <w:r>
        <w:t xml:space="preserve">.</w:t>
      </w:r>
    </w:p>
    <w:bookmarkEnd w:id="272"/>
    <w:bookmarkStart w:id="274"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3">
        <w:r>
          <w:rPr>
            <w:rStyle w:val="Hyperlink"/>
          </w:rPr>
          <w:t xml:space="preserve">https://doi.org/10.1093/jacamr/dlab188</w:t>
        </w:r>
      </w:hyperlink>
      <w:r>
        <w:t xml:space="preserve">.</w:t>
      </w:r>
    </w:p>
    <w:bookmarkEnd w:id="274"/>
    <w:bookmarkStart w:id="276"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5">
        <w:r>
          <w:rPr>
            <w:rStyle w:val="Hyperlink"/>
          </w:rPr>
          <w:t xml:space="preserve">https://doi.org/10.1007/s40121-023-00776-3</w:t>
        </w:r>
      </w:hyperlink>
      <w:r>
        <w:t xml:space="preserve">.</w:t>
      </w:r>
    </w:p>
    <w:bookmarkEnd w:id="276"/>
    <w:bookmarkStart w:id="278"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7">
        <w:r>
          <w:rPr>
            <w:rStyle w:val="Hyperlink"/>
          </w:rPr>
          <w:t xml:space="preserve">https://doi.org/10.1093/ofid/ofad627</w:t>
        </w:r>
      </w:hyperlink>
      <w:r>
        <w:t xml:space="preserve">.</w:t>
      </w:r>
    </w:p>
    <w:bookmarkEnd w:id="278"/>
    <w:bookmarkStart w:id="280"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9">
        <w:r>
          <w:rPr>
            <w:rStyle w:val="Hyperlink"/>
          </w:rPr>
          <w:t xml:space="preserve">https://doi.org/10.1111/tid.14319</w:t>
        </w:r>
      </w:hyperlink>
      <w:r>
        <w:t xml:space="preserve">.</w:t>
      </w:r>
    </w:p>
    <w:bookmarkEnd w:id="280"/>
    <w:bookmarkStart w:id="282"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81">
        <w:r>
          <w:rPr>
            <w:rStyle w:val="Hyperlink"/>
          </w:rPr>
          <w:t xml:space="preserve">https://doi.org/10.3390/antibiotics13080770</w:t>
        </w:r>
      </w:hyperlink>
      <w:r>
        <w:t xml:space="preserve">.</w:t>
      </w:r>
    </w:p>
    <w:bookmarkEnd w:id="282"/>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2026-01-17T16:57:15Z</dcterms:created>
  <dcterms:modified xsi:type="dcterms:W3CDTF">2026-01-17T16:57:15Z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3404</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6161</vt:lpwstr>
  </property>
</Properties>
</file>