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p>
    <w:p>
      <w:pPr>
        <w:pStyle w:val="Author"/>
      </w:pPr>
      <w:r>
        <w:t xml:space="preserve">Juan Antonio del Castillo Polo</w:t>
      </w:r>
    </w:p>
    <w:p>
      <w:pPr>
        <w:pStyle w:val="Author"/>
      </w:pPr>
      <w:r>
        <w:t xml:space="preserve">Rebecca Scardellato</w:t>
      </w:r>
    </w:p>
    <w:p>
      <w:pPr>
        <w:pStyle w:val="Author"/>
      </w:pPr>
      <w:r>
        <w:t xml:space="preserve">Alessandra Nazeri</w:t>
      </w:r>
    </w:p>
    <w:p>
      <w:pPr>
        <w:pStyle w:val="Author"/>
      </w:pPr>
      <w:r>
        <w:t xml:space="preserve">Alessia Savoldi</w:t>
      </w:r>
    </w:p>
    <w:p>
      <w:pPr>
        <w:pStyle w:val="Author"/>
      </w:pPr>
      <w:r>
        <w:t xml:space="preserve">Renata Da Costa</w:t>
      </w:r>
    </w:p>
    <w:p>
      <w:pPr>
        <w:pStyle w:val="Author"/>
      </w:pPr>
      <w:r>
        <w:t xml:space="preserve">Laura Piddock</w:t>
      </w:r>
    </w:p>
    <w:p>
      <w:pPr>
        <w:pStyle w:val="Author"/>
      </w:pPr>
      <w:r>
        <w:t xml:space="preserve">Jennifer Cohn</w:t>
      </w:r>
    </w:p>
    <w:p>
      <w:pPr>
        <w:pStyle w:val="Author"/>
      </w:pPr>
      <w:r>
        <w:t xml:space="preserve">Evelina Tacconelli</w:t>
      </w:r>
    </w:p>
    <w:p>
      <w:pPr>
        <w:pStyle w:val="Author"/>
      </w:pPr>
      <w:r>
        <w:t xml:space="preserve">Matteo Morra</w:t>
      </w:r>
    </w:p>
    <w:p>
      <w:pPr>
        <w:pStyle w:val="Author"/>
      </w:pPr>
      <w:r>
        <w:t xml:space="preserve">Elda Righi</w:t>
      </w:r>
    </w:p>
    <w:bookmarkStart w:id="20"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w:t>
      </w:r>
      <w:r>
        <w:t xml:space="preserve"> </w:t>
      </w:r>
      <w:r>
        <w:rPr>
          <w:i/>
          <w:iCs/>
        </w:rPr>
        <w:t xml:space="preserve">Enterobacterales</w:t>
      </w:r>
      <w:r>
        <w:t xml:space="preserve">,</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standardization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not shown).</w:t>
      </w:r>
    </w:p>
    <w:p>
      <w:pPr>
        <w:pStyle w:val="BodyText"/>
      </w:pPr>
      <w:r>
        <w:t xml:space="preserve">This systematic review aims to assess the efficacy of cefiderocol-based combination therapy compared with monotherapy in treating carbapenem-resistant Gram-negative bacterial infections. Evidence is synthesized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0"/>
    <w:bookmarkStart w:id="24" w:name="methods"/>
    <w:p>
      <w:pPr>
        <w:pStyle w:val="Heading1"/>
      </w:pPr>
      <w:r>
        <w:t xml:space="preserve">Methods</w:t>
      </w:r>
    </w:p>
    <w:bookmarkStart w:id="21" w:name="search-strategy-and-eligibility-criteria"/>
    <w:p>
      <w:pPr>
        <w:pStyle w:val="Heading2"/>
      </w:pPr>
      <w:r>
        <w:rPr>
          <w:b/>
          <w:bCs/>
        </w:rPr>
        <w:t xml:space="preserve">Search strategy and eligibility criteria</w:t>
      </w:r>
    </w:p>
    <w:p>
      <w:pPr>
        <w:pStyle w:val="FirstParagraph"/>
      </w:pPr>
      <w:r>
        <w:t xml:space="preserve">A Medline-based search was conducted from 1st of January 2015 until 31st 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of papers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 in vitro 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randomized trials, observational comparative studies, and non-comparative cohort studies were included, provided that they reported on cefiderocol-based combination therapy. Case reports and case series with fewer than 10 patients were excluded.</w:t>
      </w:r>
    </w:p>
    <w:bookmarkEnd w:id="21"/>
    <w:bookmarkStart w:id="22"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2"/>
    <w:bookmarkStart w:id="23" w:name="quality-assessment"/>
    <w:p>
      <w:pPr>
        <w:pStyle w:val="Heading2"/>
      </w:pPr>
      <w:r>
        <w:rPr>
          <w:b/>
          <w:bCs/>
        </w:rPr>
        <w:t xml:space="preserve">Quality assessment</w:t>
      </w:r>
    </w:p>
    <w:p>
      <w:pPr>
        <w:pStyle w:val="FirstParagraph"/>
      </w:pPr>
      <w:r>
        <w:t xml:space="preserve">Two independent reviewers (Ma.Mo. and Ma.Me.) assessed the study quality using two different scores according to the study design</w:t>
      </w:r>
      <w:r>
        <w:rPr>
          <w:b/>
          <w:bCs/>
        </w:rPr>
        <w:t xml:space="preserve">:</w:t>
      </w:r>
      <w:r>
        <w:t xml:space="preserve"> </w:t>
      </w:r>
      <w:r>
        <w:t xml:space="preserve">Cochrane Risk of Bias tool for randomized trials and the Newcastle-Ottawa Scale for observational cohort studies.</w:t>
      </w:r>
    </w:p>
    <w:bookmarkEnd w:id="23"/>
    <w:bookmarkEnd w:id="24"/>
    <w:bookmarkStart w:id="32"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29"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7 with sulbactam, whereas xeruborbactam and meropenem were the molecules evaluated with more isolates, 325 and 274, respectively. Four methods were used: time-kill assays (12 studies), checkerboard analysis (13), broth microdilution (9), and gradient diffusion strip crossing (7), with 9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6 GNB</w:t>
      </w:r>
      <w:r>
        <w:t xml:space="preserve"> </w:t>
      </w:r>
      <w:r>
        <w:t xml:space="preserve">[10]</w:t>
      </w:r>
      <w:r>
        <w:t xml:space="preserve"> </w:t>
      </w:r>
      <w:r>
        <w:t xml:space="preserve">and positive interaction but no synergy was found for glycine in 10 GNB</w:t>
      </w:r>
      <w:r>
        <w:t xml:space="preserve"> </w:t>
      </w:r>
      <w:r>
        <w:t xml:space="preserve">[11]</w:t>
      </w:r>
      <w:r>
        <w:t xml:space="preserve">.  Zidebactam, another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5"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CRAB but was not reported in other three studies</w:t>
      </w:r>
      <w:r>
        <w:t xml:space="preserve"> </w:t>
      </w:r>
      <w:r>
        <w:t xml:space="preserve">[6,9,16,17]</w:t>
      </w:r>
      <w:r>
        <w:t xml:space="preserve">. Avibactam and sulbactam were found synergistic in 2 cefiderocol-resistant PER-producing isolates, but not tazobactam, avibactam, vaborbactam, or relebactam in 7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reached synergy in an extensively drug-resistant (XDR)</w:t>
      </w:r>
      <w:r>
        <w:t xml:space="preserve"> </w:t>
      </w:r>
      <w:r>
        <w:rPr>
          <w:i/>
          <w:iCs/>
        </w:rPr>
        <w:t xml:space="preserve">A. baumannii</w:t>
      </w:r>
      <w:r>
        <w:t xml:space="preserve"> </w:t>
      </w:r>
      <w:r>
        <w:t xml:space="preserve">strain from a patient with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5"/>
    <w:bookmarkStart w:id="26"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1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was not confirmed for amikacin</w:t>
      </w:r>
      <w:r>
        <w:t xml:space="preserve"> </w:t>
      </w:r>
      <w:r>
        <w:t xml:space="preserve">[6]</w:t>
      </w:r>
      <w:r>
        <w:t xml:space="preserve">.</w:t>
      </w:r>
    </w:p>
    <w:bookmarkEnd w:id="26"/>
    <w:bookmarkStart w:id="27" w:name="pseudomonas-aeruginosa"/>
    <w:p>
      <w:pPr>
        <w:pStyle w:val="Heading3"/>
      </w:pPr>
      <w:r>
        <w:rPr>
          <w:b/>
          <w:bCs/>
          <w:i/>
          <w:iCs/>
        </w:rPr>
        <w:t xml:space="preserve">Pseudomonas aeruginosa</w:t>
      </w:r>
    </w:p>
    <w:p>
      <w:pPr>
        <w:pStyle w:val="FirstParagraph"/>
      </w:pPr>
      <w:r>
        <w:t xml:space="preserve">No synergy was shown for avibactam, vaborbactam, or tazobactam in 1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5 isolates</w:t>
      </w:r>
      <w:r>
        <w:t xml:space="preserve"> </w:t>
      </w:r>
      <w:r>
        <w:t xml:space="preserve">[32]</w:t>
      </w:r>
      <w:r>
        <w:t xml:space="preserve"> </w:t>
      </w:r>
      <w:r>
        <w:t xml:space="preserve">but no synergy for meropenem or amikacin was found in one VIM-producer</w:t>
      </w:r>
      <w:r>
        <w:t xml:space="preserve"> </w:t>
      </w:r>
      <w:r>
        <w:t xml:space="preserve">[6]</w:t>
      </w:r>
      <w:r>
        <w:t xml:space="preserve">. However, colistin significantly improved cefiderocol efficacy against biofilms in 2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2 isolates</w:t>
      </w:r>
      <w:r>
        <w:t xml:space="preserve"> </w:t>
      </w:r>
      <w:r>
        <w:t xml:space="preserve">[34]</w:t>
      </w:r>
      <w:r>
        <w:t xml:space="preserve"> </w:t>
      </w:r>
      <w:r>
        <w:t xml:space="preserve">and colloidal bismuth citrate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27"/>
    <w:bookmarkStart w:id="28"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28"/>
    <w:bookmarkEnd w:id="29"/>
    <w:bookmarkStart w:id="30"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 (13,14,34).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 (13).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 model (14,32). Two studies were retrieved with an exclusive focus on an in vivo model (35,36).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 (35).</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(3 had MIC of 2 mg/L, 2 of 8 mg/L, and 10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3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 (36).</w:t>
      </w:r>
    </w:p>
    <w:bookmarkEnd w:id="30"/>
    <w:bookmarkStart w:id="31" w:name="clinical-studies"/>
    <w:p>
      <w:pPr>
        <w:pStyle w:val="Heading2"/>
      </w:pPr>
      <w:r>
        <w:rPr>
          <w:b/>
          <w:bCs/>
        </w:rPr>
        <w:t xml:space="preserve">Clinical studies</w:t>
      </w:r>
    </w:p>
    <w:p>
      <w:pPr>
        <w:pStyle w:val="FirstParagraph"/>
      </w:pPr>
      <w:r>
        <w:t xml:space="preserve">Three prospective,28 retrospective observational studies, and one randomised trial were included for the analysis     . The risk of bias  was either moderate or high for cohort studies and (Supplementary Table 3) and moderate for the randomised trial. Cohort studies were often monocentric (37–45), focusing exclusively (37–41,44,46–49) or mainly (42,43,50,51) on CRAB infections, and some used cefiderocol as a rescue therapy (39,41,48). Only four articles, including 142, 41, 38, 200 and 45 patients respectively, compared cefiderocol monotherapy with combination therapy as a primary outcome (42,47,49,52).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w:t>
      </w:r>
      <w:r>
        <w:rPr>
          <w:b/>
          <w:bCs/>
        </w:rPr>
        <w:t xml:space="preserve">n table 2.</w:t>
      </w:r>
    </w:p>
    <w:p>
      <w:pPr>
        <w:pStyle w:val="BodyText"/>
      </w:pPr>
      <w:r>
        <w:t xml:space="preserve">In the exploratory meta-analysis comparing monotherapy with cefiderocol and combination therapy, the pooled 30-day all cause mortality was computed on 854 patients (9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1"/>
    <w:bookmarkEnd w:id="32"/>
    <w:bookmarkStart w:id="33"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1</w:t>
      </w:r>
      <w:r>
        <w:t xml:space="preserve"> </w:t>
      </w:r>
      <w:r>
        <w:t xml:space="preserve">summarizes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 (69).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combination partner,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sulbbactam-dorlubactam. Another promising option is cefiderocol in combination with xeruborbactam, a bicyclic boronate β-lactamase inhibitor currently tested in combination with cefiderocol in a phase 1 clinical trial. The two recent in vitro studies by Hara et al, which together tested 325 cefiderocol-resistant isolates (165</w:t>
      </w:r>
      <w:r>
        <w:t xml:space="preserve"> </w:t>
      </w:r>
      <w:r>
        <w:rPr>
          <w:i/>
          <w:iCs/>
        </w:rPr>
        <w:t xml:space="preserve">Enterobacterales</w:t>
      </w:r>
      <w:r>
        <w:t xml:space="preserve"> </w:t>
      </w:r>
      <w:r>
        <w:t xml:space="preserve">and 160</w:t>
      </w:r>
      <w:r>
        <w:t xml:space="preserve"> </w:t>
      </w:r>
      <w:r>
        <w:rPr>
          <w:i/>
          <w:iCs/>
        </w:rPr>
        <w:t xml:space="preserve">Acinetobacter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approach.(7,8)</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 (38,40,46),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characterization, particularly regarding resistance mechanisms like MBLs, further limits the ability to interpret treatment effects across different bacterial profiles. Moreover, most observational studies do not adequately adjust for confounding variables. Patients receiving combination therapy are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3"/>
    <w:bookmarkStart w:id="104" w:name="conclusions"/>
    <w:p>
      <w:pPr>
        <w:pStyle w:val="Heading1"/>
      </w:pPr>
      <w:r>
        <w:rPr>
          <w:b/>
          <w:bCs/>
        </w:rPr>
        <w:t xml:space="preserve">Conclusions</w:t>
      </w:r>
    </w:p>
    <w:p>
      <w:pPr>
        <w:pStyle w:val="FirstParagraph"/>
      </w:pPr>
      <w:r>
        <w:t xml:space="preserve">Currently available evidence is of low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well-characterized CR-GNB, using validated and standardized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103" w:name="references"/>
    <w:p>
      <w:pPr>
        <w:pStyle w:val="Heading3"/>
      </w:pPr>
      <w:r>
        <w:t xml:space="preserve">References</w:t>
      </w:r>
    </w:p>
    <w:bookmarkStart w:id="102" w:name="refs"/>
    <w:bookmarkStart w:id="35"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34">
        <w:r>
          <w:rPr>
            <w:rStyle w:val="Hyperlink"/>
          </w:rPr>
          <w:t xml:space="preserve">https://doi.org/10.1128/AAC.01405-16</w:t>
        </w:r>
      </w:hyperlink>
      <w:r>
        <w:t xml:space="preserve">.</w:t>
      </w:r>
    </w:p>
    <w:bookmarkEnd w:id="35"/>
    <w:bookmarkStart w:id="37"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36">
        <w:r>
          <w:rPr>
            <w:rStyle w:val="Hyperlink"/>
          </w:rPr>
          <w:t xml:space="preserve">https://doi.org/10.1128/AAC.01968-17</w:t>
        </w:r>
      </w:hyperlink>
      <w:r>
        <w:t xml:space="preserve">.</w:t>
      </w:r>
    </w:p>
    <w:bookmarkEnd w:id="37"/>
    <w:bookmarkStart w:id="39"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38">
        <w:r>
          <w:rPr>
            <w:rStyle w:val="Hyperlink"/>
          </w:rPr>
          <w:t xml:space="preserve">https://doi.org/10.1016/j.cmi.2021.11.025</w:t>
        </w:r>
      </w:hyperlink>
      <w:r>
        <w:t xml:space="preserve">.</w:t>
      </w:r>
    </w:p>
    <w:bookmarkEnd w:id="39"/>
    <w:bookmarkStart w:id="41"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40">
        <w:r>
          <w:rPr>
            <w:rStyle w:val="Hyperlink"/>
          </w:rPr>
          <w:t xml:space="preserve">https://doi.org/10.1093/cid/ciae403</w:t>
        </w:r>
      </w:hyperlink>
      <w:r>
        <w:t xml:space="preserve">.</w:t>
      </w:r>
    </w:p>
    <w:bookmarkEnd w:id="41"/>
    <w:bookmarkStart w:id="43"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42">
        <w:r>
          <w:rPr>
            <w:rStyle w:val="Hyperlink"/>
          </w:rPr>
          <w:t xml:space="preserve">https://doi.org/10.1016/j.cmi.2021.05.002</w:t>
        </w:r>
      </w:hyperlink>
      <w:r>
        <w:t xml:space="preserve">.</w:t>
      </w:r>
    </w:p>
    <w:bookmarkEnd w:id="43"/>
    <w:bookmarkStart w:id="44" w:name="ref-tsuji2016"/>
    <w:p>
      <w:pPr>
        <w:pStyle w:val="Bibliography"/>
      </w:pPr>
      <w:r>
        <w:t xml:space="preserve">[6]</w:t>
      </w:r>
      <w:r>
        <w:t xml:space="preserve"> </w:t>
      </w:r>
      <w:r>
        <w:t xml:space="preserve">	</w:t>
      </w:r>
      <w:r>
        <w:t xml:space="preserve">Tsuji M, Kohira N, Nakamura R, Sato T, Yamano Y. S-649266, a novel siderophore cephalosporin: In vitro combination effect of s-649266 and other antibiotics against gram-negative bacteria 2016.</w:t>
      </w:r>
    </w:p>
    <w:bookmarkEnd w:id="44"/>
    <w:bookmarkStart w:id="46"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45">
        <w:r>
          <w:rPr>
            <w:rStyle w:val="Hyperlink"/>
          </w:rPr>
          <w:t xml:space="preserve">https://doi.org/10.3390/antibiotics12050858</w:t>
        </w:r>
      </w:hyperlink>
      <w:r>
        <w:t xml:space="preserve">.</w:t>
      </w:r>
    </w:p>
    <w:bookmarkEnd w:id="46"/>
    <w:bookmarkStart w:id="48"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47">
        <w:r>
          <w:rPr>
            <w:rStyle w:val="Hyperlink"/>
          </w:rPr>
          <w:t xml:space="preserve">https://doi.org/10.1016/j.jgar.2020.07.009</w:t>
        </w:r>
      </w:hyperlink>
      <w:r>
        <w:t xml:space="preserve">.</w:t>
      </w:r>
    </w:p>
    <w:bookmarkEnd w:id="48"/>
    <w:bookmarkStart w:id="50"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49">
        <w:r>
          <w:rPr>
            <w:rStyle w:val="Hyperlink"/>
          </w:rPr>
          <w:t xml:space="preserve">https://doi.org/10.1093/ofid/ofaa439.1806</w:t>
        </w:r>
      </w:hyperlink>
      <w:r>
        <w:t xml:space="preserve">.</w:t>
      </w:r>
    </w:p>
    <w:bookmarkEnd w:id="50"/>
    <w:bookmarkStart w:id="52"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51">
        <w:r>
          <w:rPr>
            <w:rStyle w:val="Hyperlink"/>
          </w:rPr>
          <w:t xml:space="preserve">https://doi.org/10.3390/cells13161315</w:t>
        </w:r>
      </w:hyperlink>
      <w:r>
        <w:t xml:space="preserve">.</w:t>
      </w:r>
    </w:p>
    <w:bookmarkEnd w:id="52"/>
    <w:bookmarkStart w:id="54"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53">
        <w:r>
          <w:rPr>
            <w:rStyle w:val="Hyperlink"/>
          </w:rPr>
          <w:t xml:space="preserve">https://doi.org/10.1128/spectrum.00164-24</w:t>
        </w:r>
      </w:hyperlink>
      <w:r>
        <w:t xml:space="preserve">.</w:t>
      </w:r>
    </w:p>
    <w:bookmarkEnd w:id="54"/>
    <w:bookmarkStart w:id="56"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55">
        <w:r>
          <w:rPr>
            <w:rStyle w:val="Hyperlink"/>
          </w:rPr>
          <w:t xml:space="preserve">https://doi.org/10.1007/s10096-023-04732-4</w:t>
        </w:r>
      </w:hyperlink>
      <w:r>
        <w:t xml:space="preserve">.</w:t>
      </w:r>
    </w:p>
    <w:bookmarkEnd w:id="56"/>
    <w:bookmarkStart w:id="58"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57">
        <w:r>
          <w:rPr>
            <w:rStyle w:val="Hyperlink"/>
          </w:rPr>
          <w:t xml:space="preserve">https://doi.org/10.1016/j.jinf.2025.106417</w:t>
        </w:r>
      </w:hyperlink>
      <w:r>
        <w:t xml:space="preserve">.</w:t>
      </w:r>
    </w:p>
    <w:bookmarkEnd w:id="58"/>
    <w:bookmarkStart w:id="60"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59">
        <w:r>
          <w:rPr>
            <w:rStyle w:val="Hyperlink"/>
          </w:rPr>
          <w:t xml:space="preserve">https://doi.org/10.1093/ofid/ofae631.166</w:t>
        </w:r>
      </w:hyperlink>
      <w:r>
        <w:t xml:space="preserve">.</w:t>
      </w:r>
    </w:p>
    <w:bookmarkEnd w:id="60"/>
    <w:bookmarkStart w:id="62"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61">
        <w:r>
          <w:rPr>
            <w:rStyle w:val="Hyperlink"/>
          </w:rPr>
          <w:t xml:space="preserve">https://doi.org/10.1093/ofid/ofae631.1298</w:t>
        </w:r>
      </w:hyperlink>
      <w:r>
        <w:t xml:space="preserve">.</w:t>
      </w:r>
    </w:p>
    <w:bookmarkEnd w:id="62"/>
    <w:bookmarkStart w:id="64"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63">
        <w:r>
          <w:rPr>
            <w:rStyle w:val="Hyperlink"/>
          </w:rPr>
          <w:t xml:space="preserve">https://doi.org/10.1093/ofid/ofaa439.1478</w:t>
        </w:r>
      </w:hyperlink>
      <w:r>
        <w:t xml:space="preserve">.</w:t>
      </w:r>
    </w:p>
    <w:bookmarkEnd w:id="64"/>
    <w:bookmarkStart w:id="66"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65">
        <w:r>
          <w:rPr>
            <w:rStyle w:val="Hyperlink"/>
          </w:rPr>
          <w:t xml:space="preserve">https://doi.org/10.1007/s10096-022-04503-7</w:t>
        </w:r>
      </w:hyperlink>
      <w:r>
        <w:t xml:space="preserve">.</w:t>
      </w:r>
    </w:p>
    <w:bookmarkEnd w:id="66"/>
    <w:bookmarkStart w:id="68"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67">
        <w:r>
          <w:rPr>
            <w:rStyle w:val="Hyperlink"/>
          </w:rPr>
          <w:t xml:space="preserve">https://doi.org/10.1038/s41429-024-00801-8</w:t>
        </w:r>
      </w:hyperlink>
      <w:r>
        <w:t xml:space="preserve">.</w:t>
      </w:r>
    </w:p>
    <w:bookmarkEnd w:id="68"/>
    <w:bookmarkStart w:id="69" w:name="ref-stolfa"/>
    <w:p>
      <w:pPr>
        <w:pStyle w:val="Bibliography"/>
      </w:pPr>
      <w:r>
        <w:t xml:space="preserve">[19]</w:t>
      </w:r>
      <w:r>
        <w:t xml:space="preserve"> </w:t>
      </w:r>
      <w:r>
        <w:t xml:space="preserve">	</w:t>
      </w:r>
      <w:r>
        <w:t xml:space="preserve">Stolfa S, Romanelli F, Bavaro DF, Stufano M, Dalfino L, Saracino A, et al. In vitro activity of cefiderocol in combination with colistin, fosfomycin n.d.</w:t>
      </w:r>
    </w:p>
    <w:bookmarkEnd w:id="69"/>
    <w:bookmarkStart w:id="71"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70">
        <w:r>
          <w:rPr>
            <w:rStyle w:val="Hyperlink"/>
          </w:rPr>
          <w:t xml:space="preserve">https://doi.org/10.3390/antibiotics11121681</w:t>
        </w:r>
      </w:hyperlink>
      <w:r>
        <w:t xml:space="preserve">.</w:t>
      </w:r>
    </w:p>
    <w:bookmarkEnd w:id="71"/>
    <w:bookmarkStart w:id="73"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72">
        <w:r>
          <w:rPr>
            <w:rStyle w:val="Hyperlink"/>
          </w:rPr>
          <w:t xml:space="preserve">https://doi.org/10.1002/jcb.30424</w:t>
        </w:r>
      </w:hyperlink>
      <w:r>
        <w:t xml:space="preserve">.</w:t>
      </w:r>
    </w:p>
    <w:bookmarkEnd w:id="73"/>
    <w:bookmarkStart w:id="75"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74">
        <w:r>
          <w:rPr>
            <w:rStyle w:val="Hyperlink"/>
          </w:rPr>
          <w:t xml:space="preserve">https://doi.org/10.1093/ofid/ofad500.2135</w:t>
        </w:r>
      </w:hyperlink>
      <w:r>
        <w:t xml:space="preserve">.</w:t>
      </w:r>
    </w:p>
    <w:bookmarkEnd w:id="75"/>
    <w:bookmarkStart w:id="77"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76">
        <w:r>
          <w:rPr>
            <w:rStyle w:val="Hyperlink"/>
          </w:rPr>
          <w:t xml:space="preserve">https://doi.org/10.1093/ofid/ofac484</w:t>
        </w:r>
      </w:hyperlink>
      <w:r>
        <w:t xml:space="preserve">.</w:t>
      </w:r>
    </w:p>
    <w:bookmarkEnd w:id="77"/>
    <w:bookmarkStart w:id="79"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78">
        <w:r>
          <w:rPr>
            <w:rStyle w:val="Hyperlink"/>
          </w:rPr>
          <w:t xml:space="preserve">https://doi.org/10.1128/spectrum.00930-24</w:t>
        </w:r>
      </w:hyperlink>
      <w:r>
        <w:t xml:space="preserve">.</w:t>
      </w:r>
    </w:p>
    <w:bookmarkEnd w:id="79"/>
    <w:bookmarkStart w:id="81"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80">
        <w:r>
          <w:rPr>
            <w:rStyle w:val="Hyperlink"/>
          </w:rPr>
          <w:t xml:space="preserve">https://doi.org/10.1038/s44259-025-00079-2</w:t>
        </w:r>
      </w:hyperlink>
      <w:r>
        <w:t xml:space="preserve">.</w:t>
      </w:r>
    </w:p>
    <w:bookmarkEnd w:id="81"/>
    <w:bookmarkStart w:id="83"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82">
        <w:r>
          <w:rPr>
            <w:rStyle w:val="Hyperlink"/>
          </w:rPr>
          <w:t xml:space="preserve">https://doi.org/10.1007/s10096-022-04408-5</w:t>
        </w:r>
      </w:hyperlink>
      <w:r>
        <w:t xml:space="preserve">.</w:t>
      </w:r>
    </w:p>
    <w:bookmarkEnd w:id="83"/>
    <w:bookmarkStart w:id="84" w:name="ref-göpel"/>
    <w:p>
      <w:pPr>
        <w:pStyle w:val="Bibliography"/>
      </w:pPr>
      <w:r>
        <w:t xml:space="preserve">[27]</w:t>
      </w:r>
      <w:r>
        <w:t xml:space="preserve"> </w:t>
      </w:r>
      <w:r>
        <w:t xml:space="preserve">	</w:t>
      </w:r>
      <w:r>
        <w:t xml:space="preserve">Göpel L, Nguyen MTT, Thanh TT, Hauswaldt S, Canbulat ÖN, Rupp J, et al. Delaying cefiderocol resistance development in NDM-producing Enterobacter cloacae complex by combining cefiderocol with aztreonam in vitro n.d.</w:t>
      </w:r>
    </w:p>
    <w:bookmarkEnd w:id="84"/>
    <w:bookmarkStart w:id="86"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85">
        <w:r>
          <w:rPr>
            <w:rStyle w:val="Hyperlink"/>
          </w:rPr>
          <w:t xml:space="preserve">https://doi.org/10.1080/1120009X.2022.2090615</w:t>
        </w:r>
      </w:hyperlink>
      <w:r>
        <w:t xml:space="preserve">.</w:t>
      </w:r>
    </w:p>
    <w:bookmarkEnd w:id="86"/>
    <w:bookmarkStart w:id="88"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87">
        <w:r>
          <w:rPr>
            <w:rStyle w:val="Hyperlink"/>
          </w:rPr>
          <w:t xml:space="preserve">https://doi.org/10.1128/spectrum.03496-22</w:t>
        </w:r>
      </w:hyperlink>
      <w:r>
        <w:t xml:space="preserve">.</w:t>
      </w:r>
    </w:p>
    <w:bookmarkEnd w:id="88"/>
    <w:bookmarkStart w:id="90"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89">
        <w:r>
          <w:rPr>
            <w:rStyle w:val="Hyperlink"/>
          </w:rPr>
          <w:t xml:space="preserve">https://doi.org/10.1016/j.jiph.2023.11.003</w:t>
        </w:r>
      </w:hyperlink>
      <w:r>
        <w:t xml:space="preserve">.</w:t>
      </w:r>
    </w:p>
    <w:bookmarkEnd w:id="90"/>
    <w:bookmarkStart w:id="92"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91">
        <w:r>
          <w:rPr>
            <w:rStyle w:val="Hyperlink"/>
          </w:rPr>
          <w:t xml:space="preserve">https://doi.org/10.3390/antibiotics14020210</w:t>
        </w:r>
      </w:hyperlink>
      <w:r>
        <w:t xml:space="preserve">.</w:t>
      </w:r>
    </w:p>
    <w:bookmarkEnd w:id="92"/>
    <w:bookmarkStart w:id="94"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93">
        <w:r>
          <w:rPr>
            <w:rStyle w:val="Hyperlink"/>
          </w:rPr>
          <w:t xml:space="preserve">https://doi.org/10.1016/j.jgar.2024.01.021</w:t>
        </w:r>
      </w:hyperlink>
      <w:r>
        <w:t xml:space="preserve">.</w:t>
      </w:r>
    </w:p>
    <w:bookmarkEnd w:id="94"/>
    <w:bookmarkStart w:id="95" w:name="ref-elhaj"/>
    <w:p>
      <w:pPr>
        <w:pStyle w:val="Bibliography"/>
      </w:pPr>
      <w:r>
        <w:t xml:space="preserve">[33]</w:t>
      </w:r>
      <w:r>
        <w:t xml:space="preserve"> </w:t>
      </w:r>
      <w:r>
        <w:t xml:space="preserve">	</w:t>
      </w:r>
      <w:r>
        <w:t xml:space="preserve">El Haj C, Agustí E, Tubau Quintano MF, Càmara J, Rigo-Bonnin R, Murillo O. Efficacy of cefiderocol alone and combined with colistin against biofilms by MDR/XDR pseudomonas aeruginosa: A dynamic study n.d.</w:t>
      </w:r>
    </w:p>
    <w:bookmarkEnd w:id="95"/>
    <w:bookmarkStart w:id="97"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96">
        <w:r>
          <w:rPr>
            <w:rStyle w:val="Hyperlink"/>
          </w:rPr>
          <w:t xml:space="preserve">https://doi.org/10.3390/antibiotics13121236</w:t>
        </w:r>
      </w:hyperlink>
      <w:r>
        <w:t xml:space="preserve">.</w:t>
      </w:r>
    </w:p>
    <w:bookmarkEnd w:id="97"/>
    <w:bookmarkStart w:id="99"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98">
        <w:r>
          <w:rPr>
            <w:rStyle w:val="Hyperlink"/>
          </w:rPr>
          <w:t xml:space="preserve">https://doi.org/10.1038/s41467-023-40828-3</w:t>
        </w:r>
      </w:hyperlink>
      <w:r>
        <w:t xml:space="preserve">.</w:t>
      </w:r>
    </w:p>
    <w:bookmarkEnd w:id="99"/>
    <w:bookmarkStart w:id="101"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100">
        <w:r>
          <w:rPr>
            <w:rStyle w:val="Hyperlink"/>
          </w:rPr>
          <w:t xml:space="preserve">https://doi.org/10.1128/aac.00559-20</w:t>
        </w:r>
      </w:hyperlink>
      <w:r>
        <w:t xml:space="preserve">.</w:t>
      </w:r>
    </w:p>
    <w:bookmarkEnd w:id="101"/>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2" Target="https://doi.org/10.1002/jcb.30424" TargetMode="External" /><Relationship Type="http://schemas.openxmlformats.org/officeDocument/2006/relationships/hyperlink" Id="rId82" Target="https://doi.org/10.1007/s10096-022-04408-5" TargetMode="External" /><Relationship Type="http://schemas.openxmlformats.org/officeDocument/2006/relationships/hyperlink" Id="rId65" Target="https://doi.org/10.1007/s10096-022-04503-7" TargetMode="External" /><Relationship Type="http://schemas.openxmlformats.org/officeDocument/2006/relationships/hyperlink" Id="rId55" Target="https://doi.org/10.1007/s10096-023-04732-4" TargetMode="External" /><Relationship Type="http://schemas.openxmlformats.org/officeDocument/2006/relationships/hyperlink" Id="rId42" Target="https://doi.org/10.1016/j.cmi.2021.05.002" TargetMode="External" /><Relationship Type="http://schemas.openxmlformats.org/officeDocument/2006/relationships/hyperlink" Id="rId38" Target="https://doi.org/10.1016/j.cmi.2021.11.025" TargetMode="External" /><Relationship Type="http://schemas.openxmlformats.org/officeDocument/2006/relationships/hyperlink" Id="rId47" Target="https://doi.org/10.1016/j.jgar.2020.07.009" TargetMode="External" /><Relationship Type="http://schemas.openxmlformats.org/officeDocument/2006/relationships/hyperlink" Id="rId93" Target="https://doi.org/10.1016/j.jgar.2024.01.021" TargetMode="External" /><Relationship Type="http://schemas.openxmlformats.org/officeDocument/2006/relationships/hyperlink" Id="rId57" Target="https://doi.org/10.1016/j.jinf.2025.106417" TargetMode="External" /><Relationship Type="http://schemas.openxmlformats.org/officeDocument/2006/relationships/hyperlink" Id="rId89" Target="https://doi.org/10.1016/j.jiph.2023.11.003" TargetMode="External" /><Relationship Type="http://schemas.openxmlformats.org/officeDocument/2006/relationships/hyperlink" Id="rId67" Target="https://doi.org/10.1038/s41429-024-00801-8" TargetMode="External" /><Relationship Type="http://schemas.openxmlformats.org/officeDocument/2006/relationships/hyperlink" Id="rId98" Target="https://doi.org/10.1038/s41467-023-40828-3" TargetMode="External" /><Relationship Type="http://schemas.openxmlformats.org/officeDocument/2006/relationships/hyperlink" Id="rId80" Target="https://doi.org/10.1038/s44259-025-00079-2" TargetMode="External" /><Relationship Type="http://schemas.openxmlformats.org/officeDocument/2006/relationships/hyperlink" Id="rId85" Target="https://doi.org/10.1080/1120009X.2022.2090615" TargetMode="External" /><Relationship Type="http://schemas.openxmlformats.org/officeDocument/2006/relationships/hyperlink" Id="rId40" Target="https://doi.org/10.1093/cid/ciae403" TargetMode="External" /><Relationship Type="http://schemas.openxmlformats.org/officeDocument/2006/relationships/hyperlink" Id="rId63" Target="https://doi.org/10.1093/ofid/ofaa439.1478" TargetMode="External" /><Relationship Type="http://schemas.openxmlformats.org/officeDocument/2006/relationships/hyperlink" Id="rId49" Target="https://doi.org/10.1093/ofid/ofaa439.1806" TargetMode="External" /><Relationship Type="http://schemas.openxmlformats.org/officeDocument/2006/relationships/hyperlink" Id="rId76" Target="https://doi.org/10.1093/ofid/ofac484" TargetMode="External" /><Relationship Type="http://schemas.openxmlformats.org/officeDocument/2006/relationships/hyperlink" Id="rId74" Target="https://doi.org/10.1093/ofid/ofad500.2135" TargetMode="External" /><Relationship Type="http://schemas.openxmlformats.org/officeDocument/2006/relationships/hyperlink" Id="rId61" Target="https://doi.org/10.1093/ofid/ofae631.1298" TargetMode="External" /><Relationship Type="http://schemas.openxmlformats.org/officeDocument/2006/relationships/hyperlink" Id="rId59" Target="https://doi.org/10.1093/ofid/ofae631.166" TargetMode="External" /><Relationship Type="http://schemas.openxmlformats.org/officeDocument/2006/relationships/hyperlink" Id="rId34" Target="https://doi.org/10.1128/AAC.01405-16" TargetMode="External" /><Relationship Type="http://schemas.openxmlformats.org/officeDocument/2006/relationships/hyperlink" Id="rId36" Target="https://doi.org/10.1128/AAC.01968-17" TargetMode="External" /><Relationship Type="http://schemas.openxmlformats.org/officeDocument/2006/relationships/hyperlink" Id="rId100" Target="https://doi.org/10.1128/aac.00559-20" TargetMode="External" /><Relationship Type="http://schemas.openxmlformats.org/officeDocument/2006/relationships/hyperlink" Id="rId53" Target="https://doi.org/10.1128/spectrum.00164-24" TargetMode="External" /><Relationship Type="http://schemas.openxmlformats.org/officeDocument/2006/relationships/hyperlink" Id="rId78" Target="https://doi.org/10.1128/spectrum.00930-24" TargetMode="External" /><Relationship Type="http://schemas.openxmlformats.org/officeDocument/2006/relationships/hyperlink" Id="rId87" Target="https://doi.org/10.1128/spectrum.03496-22" TargetMode="External" /><Relationship Type="http://schemas.openxmlformats.org/officeDocument/2006/relationships/hyperlink" Id="rId70" Target="https://doi.org/10.3390/antibiotics11121681" TargetMode="External" /><Relationship Type="http://schemas.openxmlformats.org/officeDocument/2006/relationships/hyperlink" Id="rId45" Target="https://doi.org/10.3390/antibiotics12050858" TargetMode="External" /><Relationship Type="http://schemas.openxmlformats.org/officeDocument/2006/relationships/hyperlink" Id="rId96" Target="https://doi.org/10.3390/antibiotics13121236" TargetMode="External" /><Relationship Type="http://schemas.openxmlformats.org/officeDocument/2006/relationships/hyperlink" Id="rId91" Target="https://doi.org/10.3390/antibiotics14020210" TargetMode="External" /><Relationship Type="http://schemas.openxmlformats.org/officeDocument/2006/relationships/hyperlink" Id="rId51" Target="https://doi.org/10.3390/cells13161315"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jcb.30424" TargetMode="External" /><Relationship Type="http://schemas.openxmlformats.org/officeDocument/2006/relationships/hyperlink" Id="rId82" Target="https://doi.org/10.1007/s10096-022-04408-5" TargetMode="External" /><Relationship Type="http://schemas.openxmlformats.org/officeDocument/2006/relationships/hyperlink" Id="rId65" Target="https://doi.org/10.1007/s10096-022-04503-7" TargetMode="External" /><Relationship Type="http://schemas.openxmlformats.org/officeDocument/2006/relationships/hyperlink" Id="rId55" Target="https://doi.org/10.1007/s10096-023-04732-4" TargetMode="External" /><Relationship Type="http://schemas.openxmlformats.org/officeDocument/2006/relationships/hyperlink" Id="rId42" Target="https://doi.org/10.1016/j.cmi.2021.05.002" TargetMode="External" /><Relationship Type="http://schemas.openxmlformats.org/officeDocument/2006/relationships/hyperlink" Id="rId38" Target="https://doi.org/10.1016/j.cmi.2021.11.025" TargetMode="External" /><Relationship Type="http://schemas.openxmlformats.org/officeDocument/2006/relationships/hyperlink" Id="rId47" Target="https://doi.org/10.1016/j.jgar.2020.07.009" TargetMode="External" /><Relationship Type="http://schemas.openxmlformats.org/officeDocument/2006/relationships/hyperlink" Id="rId93" Target="https://doi.org/10.1016/j.jgar.2024.01.021" TargetMode="External" /><Relationship Type="http://schemas.openxmlformats.org/officeDocument/2006/relationships/hyperlink" Id="rId57" Target="https://doi.org/10.1016/j.jinf.2025.106417" TargetMode="External" /><Relationship Type="http://schemas.openxmlformats.org/officeDocument/2006/relationships/hyperlink" Id="rId89" Target="https://doi.org/10.1016/j.jiph.2023.11.003" TargetMode="External" /><Relationship Type="http://schemas.openxmlformats.org/officeDocument/2006/relationships/hyperlink" Id="rId67" Target="https://doi.org/10.1038/s41429-024-00801-8" TargetMode="External" /><Relationship Type="http://schemas.openxmlformats.org/officeDocument/2006/relationships/hyperlink" Id="rId98" Target="https://doi.org/10.1038/s41467-023-40828-3" TargetMode="External" /><Relationship Type="http://schemas.openxmlformats.org/officeDocument/2006/relationships/hyperlink" Id="rId80" Target="https://doi.org/10.1038/s44259-025-00079-2" TargetMode="External" /><Relationship Type="http://schemas.openxmlformats.org/officeDocument/2006/relationships/hyperlink" Id="rId85" Target="https://doi.org/10.1080/1120009X.2022.2090615" TargetMode="External" /><Relationship Type="http://schemas.openxmlformats.org/officeDocument/2006/relationships/hyperlink" Id="rId40" Target="https://doi.org/10.1093/cid/ciae403" TargetMode="External" /><Relationship Type="http://schemas.openxmlformats.org/officeDocument/2006/relationships/hyperlink" Id="rId63" Target="https://doi.org/10.1093/ofid/ofaa439.1478" TargetMode="External" /><Relationship Type="http://schemas.openxmlformats.org/officeDocument/2006/relationships/hyperlink" Id="rId49" Target="https://doi.org/10.1093/ofid/ofaa439.1806" TargetMode="External" /><Relationship Type="http://schemas.openxmlformats.org/officeDocument/2006/relationships/hyperlink" Id="rId76" Target="https://doi.org/10.1093/ofid/ofac484" TargetMode="External" /><Relationship Type="http://schemas.openxmlformats.org/officeDocument/2006/relationships/hyperlink" Id="rId74" Target="https://doi.org/10.1093/ofid/ofad500.2135" TargetMode="External" /><Relationship Type="http://schemas.openxmlformats.org/officeDocument/2006/relationships/hyperlink" Id="rId61" Target="https://doi.org/10.1093/ofid/ofae631.1298" TargetMode="External" /><Relationship Type="http://schemas.openxmlformats.org/officeDocument/2006/relationships/hyperlink" Id="rId59" Target="https://doi.org/10.1093/ofid/ofae631.166" TargetMode="External" /><Relationship Type="http://schemas.openxmlformats.org/officeDocument/2006/relationships/hyperlink" Id="rId34" Target="https://doi.org/10.1128/AAC.01405-16" TargetMode="External" /><Relationship Type="http://schemas.openxmlformats.org/officeDocument/2006/relationships/hyperlink" Id="rId36" Target="https://doi.org/10.1128/AAC.01968-17" TargetMode="External" /><Relationship Type="http://schemas.openxmlformats.org/officeDocument/2006/relationships/hyperlink" Id="rId100" Target="https://doi.org/10.1128/aac.00559-20" TargetMode="External" /><Relationship Type="http://schemas.openxmlformats.org/officeDocument/2006/relationships/hyperlink" Id="rId53" Target="https://doi.org/10.1128/spectrum.00164-24" TargetMode="External" /><Relationship Type="http://schemas.openxmlformats.org/officeDocument/2006/relationships/hyperlink" Id="rId78" Target="https://doi.org/10.1128/spectrum.00930-24" TargetMode="External" /><Relationship Type="http://schemas.openxmlformats.org/officeDocument/2006/relationships/hyperlink" Id="rId87" Target="https://doi.org/10.1128/spectrum.03496-22" TargetMode="External" /><Relationship Type="http://schemas.openxmlformats.org/officeDocument/2006/relationships/hyperlink" Id="rId70" Target="https://doi.org/10.3390/antibiotics11121681" TargetMode="External" /><Relationship Type="http://schemas.openxmlformats.org/officeDocument/2006/relationships/hyperlink" Id="rId45" Target="https://doi.org/10.3390/antibiotics12050858" TargetMode="External" /><Relationship Type="http://schemas.openxmlformats.org/officeDocument/2006/relationships/hyperlink" Id="rId96" Target="https://doi.org/10.3390/antibiotics13121236" TargetMode="External" /><Relationship Type="http://schemas.openxmlformats.org/officeDocument/2006/relationships/hyperlink" Id="rId91" Target="https://doi.org/10.3390/antibiotics14020210" TargetMode="External" /><Relationship Type="http://schemas.openxmlformats.org/officeDocument/2006/relationships/hyperlink" Id="rId51" Target="https://doi.org/10.3390/cells1316131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 Juan Antonio del Castillo Polo; Rebecca Scardellato; Alessandra Nazeri; Alessia Savoldi; Renata Da Costa; Laura Piddock; Jennifer Cohn; Evelina Tacconelli; Matteo Morra; Elda Righi</dc:creator>
  <cp:keywords>cefiderocol, combination therapy, systematic review, in vitro studies, in vivo studies, human studies</cp:keywords>
  <dcterms:created xsi:type="dcterms:W3CDTF">2026-01-04T17:58:52Z</dcterms:created>
  <dcterms:modified xsi:type="dcterms:W3CDTF">2026-01-04T17:58:52Z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ffiliation">
    <vt:lpwstr/>
  </property>
  <property fmtid="{D5CDD505-2E9C-101B-9397-08002B2CF9AE}" pid="7" name="by-author">
    <vt:lpwstr/>
  </property>
  <property fmtid="{D5CDD505-2E9C-101B-9397-08002B2CF9AE}" pid="8" name="csl">
    <vt:lpwstr>Utils/elsevier-vancouver.csl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