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DE427" w14:textId="1DBFA342" w:rsidR="00C17E9E" w:rsidRPr="00D5002C" w:rsidRDefault="00D5002C">
      <w:pPr>
        <w:rPr>
          <w:b/>
          <w:bCs/>
        </w:rPr>
      </w:pPr>
      <w:r>
        <w:rPr>
          <w:b/>
          <w:bCs/>
        </w:rPr>
        <w:t>Additional m</w:t>
      </w:r>
      <w:r w:rsidR="00C17E9E" w:rsidRPr="00D5002C">
        <w:rPr>
          <w:b/>
          <w:bCs/>
        </w:rPr>
        <w:t>odels considered</w:t>
      </w:r>
    </w:p>
    <w:p w14:paraId="6788FA52" w14:textId="77777777" w:rsidR="00C17E9E" w:rsidRPr="00D5002C" w:rsidRDefault="00C17E9E">
      <w:pPr>
        <w:rPr>
          <w:b/>
          <w:bCs/>
        </w:rPr>
      </w:pPr>
    </w:p>
    <w:p w14:paraId="21C1BA34" w14:textId="4C5DDCB6" w:rsidR="00C17E9E" w:rsidRPr="00D5002C" w:rsidRDefault="00C17E9E">
      <w:pPr>
        <w:rPr>
          <w:b/>
          <w:bCs/>
        </w:rPr>
      </w:pPr>
      <w:r w:rsidRPr="00D5002C">
        <w:rPr>
          <w:b/>
          <w:bCs/>
        </w:rPr>
        <w:t>Carrothers et al</w:t>
      </w:r>
      <w:r w:rsidR="00CC17D8">
        <w:rPr>
          <w:b/>
          <w:bCs/>
        </w:rPr>
        <w:t xml:space="preserve">, </w:t>
      </w:r>
      <w:r w:rsidRPr="00D5002C">
        <w:rPr>
          <w:b/>
          <w:bCs/>
        </w:rPr>
        <w:t>2022</w:t>
      </w:r>
    </w:p>
    <w:p w14:paraId="230AB668" w14:textId="77777777" w:rsidR="00C17E9E" w:rsidRPr="00D5002C" w:rsidRDefault="00C17E9E">
      <w:pPr>
        <w:rPr>
          <w:b/>
          <w:bCs/>
        </w:rPr>
      </w:pPr>
    </w:p>
    <w:p w14:paraId="491DCCC4" w14:textId="02E9DD5D" w:rsidR="00C17E9E" w:rsidRPr="00D5002C" w:rsidRDefault="00C17E9E" w:rsidP="00D5002C">
      <w:pPr>
        <w:jc w:val="both"/>
        <w:rPr>
          <w:rFonts w:eastAsiaTheme="minorHAnsi"/>
          <w:sz w:val="22"/>
          <w:szCs w:val="22"/>
        </w:rPr>
      </w:pPr>
      <w:r w:rsidRPr="00D5002C">
        <w:rPr>
          <w:rFonts w:eastAsiaTheme="minorHAnsi"/>
          <w:sz w:val="22"/>
          <w:szCs w:val="22"/>
        </w:rPr>
        <w:t xml:space="preserve">The model is a </w:t>
      </w:r>
      <w:r w:rsidR="00326AB6">
        <w:rPr>
          <w:rFonts w:eastAsiaTheme="minorHAnsi"/>
          <w:sz w:val="22"/>
          <w:szCs w:val="22"/>
        </w:rPr>
        <w:t>three</w:t>
      </w:r>
      <w:r w:rsidRPr="00D5002C">
        <w:rPr>
          <w:rFonts w:eastAsiaTheme="minorHAnsi"/>
          <w:sz w:val="22"/>
          <w:szCs w:val="22"/>
        </w:rPr>
        <w:t>-compartment</w:t>
      </w:r>
      <w:r w:rsidR="00D5002C" w:rsidRPr="00D5002C">
        <w:rPr>
          <w:rFonts w:eastAsiaTheme="minorHAnsi"/>
          <w:sz w:val="22"/>
          <w:szCs w:val="22"/>
        </w:rPr>
        <w:t xml:space="preserve"> parametric</w:t>
      </w:r>
      <w:r w:rsidRPr="00D5002C">
        <w:rPr>
          <w:rFonts w:eastAsiaTheme="minorHAnsi"/>
          <w:sz w:val="22"/>
          <w:szCs w:val="22"/>
        </w:rPr>
        <w:t xml:space="preserve"> model with first-order elimination, incorporating covariate effects of body weight, albumin, creatinine clearance, and age. It was developed using data from 703 adult patients (aged 18–93 years) with acute bacterial skin and skin structure infections. </w:t>
      </w:r>
    </w:p>
    <w:p w14:paraId="5886480E" w14:textId="7C04E3A3" w:rsidR="00C17E9E" w:rsidRDefault="00C17E9E" w:rsidP="00D5002C">
      <w:pPr>
        <w:jc w:val="both"/>
        <w:rPr>
          <w:rFonts w:eastAsiaTheme="minorHAnsi"/>
          <w:sz w:val="22"/>
          <w:szCs w:val="22"/>
        </w:rPr>
      </w:pPr>
      <w:r w:rsidRPr="00D5002C">
        <w:rPr>
          <w:rFonts w:eastAsiaTheme="minorHAnsi"/>
          <w:sz w:val="22"/>
          <w:szCs w:val="22"/>
        </w:rPr>
        <w:t>The dataset included 2310 plasma concentration samples from four clinical trials (VER001-4, -5, -9, and DUR001-303</w:t>
      </w:r>
      <w:r w:rsidR="00D5002C" w:rsidRPr="00D5002C">
        <w:t xml:space="preserve"> </w:t>
      </w:r>
      <w:r w:rsidR="00D5002C" w:rsidRPr="00D5002C">
        <w:rPr>
          <w:rFonts w:eastAsiaTheme="minorHAnsi"/>
          <w:sz w:val="22"/>
          <w:szCs w:val="22"/>
        </w:rPr>
        <w:t>Sampling schedules varied between studies, with key time points including 1, 18, 23, and 36–48 hours, as well as 8 days post-dose.</w:t>
      </w:r>
    </w:p>
    <w:p w14:paraId="165A57B4" w14:textId="22AF7285" w:rsidR="00CC17D8" w:rsidRPr="00D5002C" w:rsidRDefault="00CC17D8" w:rsidP="00D5002C">
      <w:pPr>
        <w:jc w:val="both"/>
        <w:rPr>
          <w:rFonts w:eastAsiaTheme="minorHAnsi"/>
          <w:sz w:val="22"/>
          <w:szCs w:val="22"/>
        </w:rPr>
      </w:pPr>
      <w:r>
        <w:rPr>
          <w:rFonts w:eastAsiaTheme="minorHAnsi"/>
          <w:sz w:val="22"/>
          <w:szCs w:val="22"/>
        </w:rPr>
        <w:t xml:space="preserve">It improves upon a previously published population pharmacokinetic model by </w:t>
      </w:r>
      <w:r w:rsidRPr="00CC17D8">
        <w:rPr>
          <w:rFonts w:eastAsiaTheme="minorHAnsi"/>
          <w:sz w:val="22"/>
          <w:szCs w:val="22"/>
        </w:rPr>
        <w:t>Buckwalter</w:t>
      </w:r>
      <w:r>
        <w:rPr>
          <w:rFonts w:eastAsiaTheme="minorHAnsi"/>
          <w:sz w:val="22"/>
          <w:szCs w:val="22"/>
        </w:rPr>
        <w:t xml:space="preserve"> et al, 2005. </w:t>
      </w:r>
    </w:p>
    <w:p w14:paraId="4F29A73E" w14:textId="59A3A0E8" w:rsidR="00D5002C" w:rsidRPr="00D5002C" w:rsidRDefault="00D5002C" w:rsidP="00D5002C">
      <w:pPr>
        <w:jc w:val="both"/>
        <w:rPr>
          <w:rFonts w:eastAsiaTheme="minorHAnsi"/>
          <w:sz w:val="22"/>
          <w:szCs w:val="22"/>
        </w:rPr>
      </w:pPr>
      <w:r w:rsidRPr="00D5002C">
        <w:rPr>
          <w:rFonts w:eastAsiaTheme="minorHAnsi"/>
          <w:sz w:val="22"/>
          <w:szCs w:val="22"/>
        </w:rPr>
        <w:t>The final model</w:t>
      </w:r>
      <w:r w:rsidR="00500F49">
        <w:rPr>
          <w:rFonts w:eastAsiaTheme="minorHAnsi"/>
          <w:sz w:val="22"/>
          <w:szCs w:val="22"/>
        </w:rPr>
        <w:t xml:space="preserve"> equations</w:t>
      </w:r>
      <w:r w:rsidR="00326AB6">
        <w:rPr>
          <w:rFonts w:eastAsiaTheme="minorHAnsi"/>
          <w:sz w:val="22"/>
          <w:szCs w:val="22"/>
        </w:rPr>
        <w:t xml:space="preserve"> describing the effects of covariates</w:t>
      </w:r>
      <w:r w:rsidRPr="00D5002C">
        <w:rPr>
          <w:rFonts w:eastAsiaTheme="minorHAnsi"/>
          <w:sz w:val="22"/>
          <w:szCs w:val="22"/>
        </w:rPr>
        <w:t xml:space="preserve"> are given below:</w:t>
      </w:r>
    </w:p>
    <w:p w14:paraId="58AE18A9" w14:textId="77777777" w:rsidR="00C17E9E" w:rsidRPr="00D5002C" w:rsidRDefault="00C17E9E"/>
    <w:p w14:paraId="7BB43F16" w14:textId="5C4E24D2" w:rsidR="00C17E9E" w:rsidRPr="00D5002C" w:rsidRDefault="00C17E9E">
      <m:oMathPara>
        <m:oMath>
          <m:r>
            <w:rPr>
              <w:rFonts w:ascii="Cambria Math" w:hAnsi="Cambria Math"/>
            </w:rPr>
            <m:t>CL=C</m:t>
          </m:r>
          <m:sSub>
            <m:sSubPr>
              <m:ctrlPr>
                <w:rPr>
                  <w:rFonts w:ascii="Cambria Math" w:hAnsi="Cambria Math"/>
                  <w:i/>
                </w:rPr>
              </m:ctrlPr>
            </m:sSubPr>
            <m:e>
              <m:r>
                <w:rPr>
                  <w:rFonts w:ascii="Cambria Math" w:hAnsi="Cambria Math"/>
                </w:rPr>
                <m:t>L</m:t>
              </m:r>
            </m:e>
            <m:sub>
              <m:r>
                <w:rPr>
                  <w:rFonts w:ascii="Cambria Math" w:hAnsi="Cambria Math"/>
                </w:rPr>
                <m:t>TV</m:t>
              </m:r>
            </m:sub>
          </m:sSub>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ALB</m:t>
                      </m:r>
                      <m:ctrlPr>
                        <w:rPr>
                          <w:rFonts w:ascii="Cambria Math" w:hAnsi="Cambria Math"/>
                          <w:i/>
                        </w:rPr>
                      </m:ctrlPr>
                    </m:num>
                    <m:den>
                      <m:r>
                        <w:rPr>
                          <w:rFonts w:ascii="Cambria Math" w:hAnsi="Cambria Math"/>
                        </w:rPr>
                        <m:t>3.7</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ALB</m:t>
                  </m:r>
                </m:sub>
              </m:sSub>
            </m:sup>
          </m:sSup>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CLCR</m:t>
                      </m:r>
                      <m:ctrlPr>
                        <w:rPr>
                          <w:rFonts w:ascii="Cambria Math" w:hAnsi="Cambria Math"/>
                          <w:i/>
                        </w:rPr>
                      </m:ctrlPr>
                    </m:num>
                    <m:den>
                      <m:r>
                        <w:rPr>
                          <w:rFonts w:ascii="Cambria Math" w:hAnsi="Cambria Math"/>
                        </w:rPr>
                        <m:t>100</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CLCR</m:t>
                  </m:r>
                </m:sub>
              </m:sSub>
            </m:sup>
          </m:sSup>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WT</m:t>
                      </m:r>
                      <m:ctrlPr>
                        <w:rPr>
                          <w:rFonts w:ascii="Cambria Math" w:hAnsi="Cambria Math"/>
                          <w:i/>
                        </w:rPr>
                      </m:ctrlPr>
                    </m:num>
                    <m:den>
                      <m:r>
                        <w:rPr>
                          <w:rFonts w:ascii="Cambria Math" w:hAnsi="Cambria Math"/>
                        </w:rPr>
                        <m:t>85.5</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WT</m:t>
                  </m:r>
                </m:sub>
              </m:sSub>
            </m:sup>
          </m:sSup>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sSub>
                <m:sSubPr>
                  <m:ctrlPr>
                    <w:rPr>
                      <w:rFonts w:ascii="Cambria Math" w:hAnsi="Cambria Math"/>
                      <w:i/>
                    </w:rPr>
                  </m:ctrlPr>
                </m:sSubPr>
                <m:e>
                  <m:r>
                    <m:rPr>
                      <m:sty m:val="p"/>
                    </m:rPr>
                    <w:rPr>
                      <w:rFonts w:ascii="Cambria Math" w:hAnsi="Cambria Math"/>
                    </w:rPr>
                    <m:t>η</m:t>
                  </m:r>
                </m:e>
                <m:sub>
                  <m:r>
                    <w:rPr>
                      <w:rFonts w:ascii="Cambria Math" w:hAnsi="Cambria Math"/>
                    </w:rPr>
                    <m:t>CL</m:t>
                  </m:r>
                </m:sub>
              </m:sSub>
            </m:sup>
          </m:sSup>
        </m:oMath>
      </m:oMathPara>
    </w:p>
    <w:p w14:paraId="0427642D" w14:textId="77777777" w:rsidR="00C17E9E" w:rsidRPr="00D5002C" w:rsidRDefault="00C17E9E"/>
    <w:p w14:paraId="48175D93" w14:textId="62846B61" w:rsidR="00C17E9E" w:rsidRPr="00D5002C" w:rsidRDefault="00000000">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1,TV</m:t>
              </m:r>
            </m:sub>
          </m:sSub>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ALB</m:t>
                      </m:r>
                      <m:ctrlPr>
                        <w:rPr>
                          <w:rFonts w:ascii="Cambria Math" w:hAnsi="Cambria Math"/>
                          <w:i/>
                        </w:rPr>
                      </m:ctrlPr>
                    </m:num>
                    <m:den>
                      <m:r>
                        <w:rPr>
                          <w:rFonts w:ascii="Cambria Math" w:hAnsi="Cambria Math"/>
                        </w:rPr>
                        <m:t>3.7</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V1,ALB</m:t>
                  </m:r>
                </m:sub>
              </m:sSub>
            </m:sup>
          </m:sSup>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WT</m:t>
                      </m:r>
                      <m:ctrlPr>
                        <w:rPr>
                          <w:rFonts w:ascii="Cambria Math" w:hAnsi="Cambria Math"/>
                          <w:i/>
                        </w:rPr>
                      </m:ctrlPr>
                    </m:num>
                    <m:den>
                      <m:r>
                        <w:rPr>
                          <w:rFonts w:ascii="Cambria Math" w:hAnsi="Cambria Math"/>
                        </w:rPr>
                        <m:t>85.5</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V1,WT</m:t>
                  </m:r>
                </m:sub>
              </m:sSub>
            </m:sup>
          </m:sSup>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sSub>
                <m:sSubPr>
                  <m:ctrlPr>
                    <w:rPr>
                      <w:rFonts w:ascii="Cambria Math" w:hAnsi="Cambria Math"/>
                      <w:i/>
                    </w:rPr>
                  </m:ctrlPr>
                </m:sSubPr>
                <m:e>
                  <m:r>
                    <m:rPr>
                      <m:sty m:val="p"/>
                    </m:rPr>
                    <w:rPr>
                      <w:rFonts w:ascii="Cambria Math" w:hAnsi="Cambria Math"/>
                    </w:rPr>
                    <m:t>η</m:t>
                  </m:r>
                </m:e>
                <m:sub>
                  <m:r>
                    <w:rPr>
                      <w:rFonts w:ascii="Cambria Math" w:hAnsi="Cambria Math"/>
                    </w:rPr>
                    <m:t>V1</m:t>
                  </m:r>
                </m:sub>
              </m:sSub>
            </m:sup>
          </m:sSup>
        </m:oMath>
      </m:oMathPara>
    </w:p>
    <w:p w14:paraId="706B7695" w14:textId="77777777" w:rsidR="00C17E9E" w:rsidRPr="00D5002C" w:rsidRDefault="00C17E9E"/>
    <w:p w14:paraId="696C182A" w14:textId="271A582F" w:rsidR="00C17E9E" w:rsidRPr="00D5002C" w:rsidRDefault="00000000">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2,TV</m:t>
              </m:r>
            </m:sub>
          </m:sSub>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AGE</m:t>
                      </m:r>
                      <m:ctrlPr>
                        <w:rPr>
                          <w:rFonts w:ascii="Cambria Math" w:hAnsi="Cambria Math"/>
                          <w:i/>
                        </w:rPr>
                      </m:ctrlPr>
                    </m:num>
                    <m:den>
                      <m:r>
                        <w:rPr>
                          <w:rFonts w:ascii="Cambria Math" w:hAnsi="Cambria Math"/>
                        </w:rPr>
                        <m:t>47</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V2,AGE</m:t>
                  </m:r>
                </m:sub>
              </m:sSub>
            </m:sup>
          </m:sSup>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ALB</m:t>
                      </m:r>
                      <m:ctrlPr>
                        <w:rPr>
                          <w:rFonts w:ascii="Cambria Math" w:hAnsi="Cambria Math"/>
                          <w:i/>
                        </w:rPr>
                      </m:ctrlPr>
                    </m:num>
                    <m:den>
                      <m:r>
                        <w:rPr>
                          <w:rFonts w:ascii="Cambria Math" w:hAnsi="Cambria Math"/>
                        </w:rPr>
                        <m:t>3.7</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V2,ALB</m:t>
                  </m:r>
                </m:sub>
              </m:sSub>
            </m:sup>
          </m:sSup>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WT</m:t>
                      </m:r>
                      <m:ctrlPr>
                        <w:rPr>
                          <w:rFonts w:ascii="Cambria Math" w:hAnsi="Cambria Math"/>
                          <w:i/>
                        </w:rPr>
                      </m:ctrlPr>
                    </m:num>
                    <m:den>
                      <m:r>
                        <w:rPr>
                          <w:rFonts w:ascii="Cambria Math" w:hAnsi="Cambria Math"/>
                        </w:rPr>
                        <m:t>85.5</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V2,WT</m:t>
                  </m:r>
                </m:sub>
              </m:sSub>
            </m:sup>
          </m:sSup>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sSub>
                <m:sSubPr>
                  <m:ctrlPr>
                    <w:rPr>
                      <w:rFonts w:ascii="Cambria Math" w:hAnsi="Cambria Math"/>
                      <w:i/>
                    </w:rPr>
                  </m:ctrlPr>
                </m:sSubPr>
                <m:e>
                  <m:r>
                    <m:rPr>
                      <m:sty m:val="p"/>
                    </m:rPr>
                    <w:rPr>
                      <w:rFonts w:ascii="Cambria Math" w:hAnsi="Cambria Math"/>
                    </w:rPr>
                    <m:t>η</m:t>
                  </m:r>
                </m:e>
                <m:sub>
                  <m:r>
                    <w:rPr>
                      <w:rFonts w:ascii="Cambria Math" w:hAnsi="Cambria Math"/>
                    </w:rPr>
                    <m:t>V2</m:t>
                  </m:r>
                </m:sub>
              </m:sSub>
            </m:sup>
          </m:sSup>
        </m:oMath>
      </m:oMathPara>
    </w:p>
    <w:p w14:paraId="571618F5" w14:textId="77777777" w:rsidR="00C17E9E" w:rsidRPr="00D5002C" w:rsidRDefault="00C17E9E"/>
    <w:p w14:paraId="350412F4" w14:textId="77777777" w:rsidR="00C17E9E" w:rsidRPr="00D5002C" w:rsidRDefault="00C17E9E"/>
    <w:p w14:paraId="296B2A62" w14:textId="46380361" w:rsidR="00C17E9E" w:rsidRPr="00D5002C" w:rsidRDefault="00000000">
      <m:oMathPara>
        <m:oMath>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3,TV</m:t>
              </m:r>
            </m:sub>
          </m:sSub>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ALB</m:t>
                      </m:r>
                      <m:ctrlPr>
                        <w:rPr>
                          <w:rFonts w:ascii="Cambria Math" w:hAnsi="Cambria Math"/>
                          <w:i/>
                        </w:rPr>
                      </m:ctrlPr>
                    </m:num>
                    <m:den>
                      <m:r>
                        <w:rPr>
                          <w:rFonts w:ascii="Cambria Math" w:hAnsi="Cambria Math"/>
                        </w:rPr>
                        <m:t>3.7</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V3,ALB</m:t>
                  </m:r>
                </m:sub>
              </m:sSub>
            </m:sup>
          </m:sSup>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WT</m:t>
                      </m:r>
                      <m:ctrlPr>
                        <w:rPr>
                          <w:rFonts w:ascii="Cambria Math" w:hAnsi="Cambria Math"/>
                          <w:i/>
                        </w:rPr>
                      </m:ctrlPr>
                    </m:num>
                    <m:den>
                      <m:r>
                        <w:rPr>
                          <w:rFonts w:ascii="Cambria Math" w:hAnsi="Cambria Math"/>
                        </w:rPr>
                        <m:t>85.5</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w:rPr>
                      <w:rFonts w:ascii="Cambria Math" w:hAnsi="Cambria Math"/>
                    </w:rPr>
                    <m:t>V3,WT</m:t>
                  </m:r>
                </m:sub>
              </m:sSub>
            </m:sup>
          </m:sSup>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sSub>
                <m:sSubPr>
                  <m:ctrlPr>
                    <w:rPr>
                      <w:rFonts w:ascii="Cambria Math" w:hAnsi="Cambria Math"/>
                      <w:i/>
                    </w:rPr>
                  </m:ctrlPr>
                </m:sSubPr>
                <m:e>
                  <m:r>
                    <m:rPr>
                      <m:sty m:val="p"/>
                    </m:rPr>
                    <w:rPr>
                      <w:rFonts w:ascii="Cambria Math" w:hAnsi="Cambria Math"/>
                    </w:rPr>
                    <m:t>η</m:t>
                  </m:r>
                </m:e>
                <m:sub>
                  <m:r>
                    <w:rPr>
                      <w:rFonts w:ascii="Cambria Math" w:hAnsi="Cambria Math"/>
                    </w:rPr>
                    <m:t>V3</m:t>
                  </m:r>
                </m:sub>
              </m:sSub>
            </m:sup>
          </m:sSup>
        </m:oMath>
      </m:oMathPara>
    </w:p>
    <w:p w14:paraId="5477A4D3" w14:textId="77777777" w:rsidR="00C17E9E" w:rsidRPr="00D5002C" w:rsidRDefault="00C17E9E"/>
    <w:p w14:paraId="01E5335A" w14:textId="77777777" w:rsidR="00C17E9E" w:rsidRPr="00C17E9E" w:rsidRDefault="00C17E9E" w:rsidP="00D5002C">
      <w:pPr>
        <w:jc w:val="both"/>
      </w:pPr>
      <w:r w:rsidRPr="00C17E9E">
        <w:t>Where:</w:t>
      </w:r>
    </w:p>
    <w:p w14:paraId="50EFAC75" w14:textId="7A458911" w:rsidR="00C17E9E" w:rsidRPr="00C17E9E" w:rsidRDefault="00C17E9E" w:rsidP="00D5002C">
      <w:pPr>
        <w:numPr>
          <w:ilvl w:val="0"/>
          <w:numId w:val="4"/>
        </w:numPr>
        <w:jc w:val="both"/>
      </w:pPr>
      <w:r w:rsidRPr="00C17E9E">
        <w:t>CL: Total body clearance (L/h)</w:t>
      </w:r>
    </w:p>
    <w:p w14:paraId="15B7D728" w14:textId="2C9BF680" w:rsidR="00C17E9E" w:rsidRPr="00C17E9E" w:rsidRDefault="00C17E9E" w:rsidP="00D5002C">
      <w:pPr>
        <w:numPr>
          <w:ilvl w:val="0"/>
          <w:numId w:val="4"/>
        </w:numPr>
        <w:jc w:val="both"/>
      </w:pPr>
      <w:r w:rsidRPr="00C17E9E">
        <w:t>V1​: Central volume of distribution (L)</w:t>
      </w:r>
    </w:p>
    <w:p w14:paraId="48C5CB0F" w14:textId="6F9B5647" w:rsidR="00C17E9E" w:rsidRPr="00C17E9E" w:rsidRDefault="00C17E9E" w:rsidP="00D5002C">
      <w:pPr>
        <w:numPr>
          <w:ilvl w:val="0"/>
          <w:numId w:val="4"/>
        </w:numPr>
        <w:jc w:val="both"/>
      </w:pPr>
      <w:r w:rsidRPr="00C17E9E">
        <w:t>V2​: First peripheral volume of distribution (L)</w:t>
      </w:r>
    </w:p>
    <w:p w14:paraId="670BDAC2" w14:textId="384CB9F5" w:rsidR="00C17E9E" w:rsidRPr="00C17E9E" w:rsidRDefault="00C17E9E" w:rsidP="00D5002C">
      <w:pPr>
        <w:numPr>
          <w:ilvl w:val="0"/>
          <w:numId w:val="4"/>
        </w:numPr>
        <w:jc w:val="both"/>
      </w:pPr>
      <w:r w:rsidRPr="00C17E9E">
        <w:t>V3​: Second peripheral volume of distribution (L)</w:t>
      </w:r>
    </w:p>
    <w:p w14:paraId="0519A75F" w14:textId="7A0B2D55" w:rsidR="00C17E9E" w:rsidRPr="00C17E9E" w:rsidRDefault="00C17E9E" w:rsidP="00D5002C">
      <w:pPr>
        <w:numPr>
          <w:ilvl w:val="0"/>
          <w:numId w:val="4"/>
        </w:numPr>
        <w:jc w:val="both"/>
      </w:pPr>
      <w:r w:rsidRPr="00C17E9E">
        <w:t>ALB: Serum albumin (g/dL)</w:t>
      </w:r>
    </w:p>
    <w:p w14:paraId="0391865E" w14:textId="77777777" w:rsidR="0035421A" w:rsidRDefault="00C17E9E" w:rsidP="0035421A">
      <w:pPr>
        <w:numPr>
          <w:ilvl w:val="0"/>
          <w:numId w:val="4"/>
        </w:numPr>
        <w:jc w:val="both"/>
      </w:pPr>
      <w:r w:rsidRPr="00D5002C">
        <w:t>C</w:t>
      </w:r>
      <w:r w:rsidRPr="00C17E9E">
        <w:t>LCR: Creatinine clearance (mL/min)</w:t>
      </w:r>
    </w:p>
    <w:p w14:paraId="7E016C49" w14:textId="5A5ED801" w:rsidR="00C17E9E" w:rsidRPr="00C17E9E" w:rsidRDefault="00C17E9E" w:rsidP="0035421A">
      <w:pPr>
        <w:numPr>
          <w:ilvl w:val="0"/>
          <w:numId w:val="4"/>
        </w:numPr>
        <w:jc w:val="both"/>
      </w:pPr>
      <w:r w:rsidRPr="00D5002C">
        <w:t>W</w:t>
      </w:r>
      <w:r w:rsidRPr="00C17E9E">
        <w:t>T: Body weight (kg)</w:t>
      </w:r>
    </w:p>
    <w:p w14:paraId="17A4296E" w14:textId="1971D013" w:rsidR="00C17E9E" w:rsidRDefault="00C17E9E" w:rsidP="00D5002C">
      <w:pPr>
        <w:numPr>
          <w:ilvl w:val="0"/>
          <w:numId w:val="4"/>
        </w:numPr>
        <w:jc w:val="both"/>
      </w:pPr>
      <w:r w:rsidRPr="00C17E9E">
        <w:t>AGE: Age (years)</w:t>
      </w:r>
    </w:p>
    <w:p w14:paraId="44C6B90F" w14:textId="77777777" w:rsidR="00D5002C" w:rsidRDefault="00D5002C" w:rsidP="00D5002C">
      <w:pPr>
        <w:jc w:val="both"/>
      </w:pPr>
    </w:p>
    <w:p w14:paraId="3610F70D" w14:textId="77777777" w:rsidR="00500F49" w:rsidRDefault="00500F49" w:rsidP="00D5002C">
      <w:pPr>
        <w:jc w:val="both"/>
      </w:pPr>
    </w:p>
    <w:p w14:paraId="6107D88E" w14:textId="6311E94A" w:rsidR="00500F49" w:rsidRPr="00500F49" w:rsidRDefault="00500F49" w:rsidP="00D5002C">
      <w:pPr>
        <w:jc w:val="both"/>
        <w:rPr>
          <w:b/>
          <w:bCs/>
        </w:rPr>
      </w:pPr>
      <w:proofErr w:type="spellStart"/>
      <w:r w:rsidRPr="00500F49">
        <w:rPr>
          <w:b/>
          <w:bCs/>
        </w:rPr>
        <w:t>Cojutti</w:t>
      </w:r>
      <w:proofErr w:type="spellEnd"/>
      <w:r w:rsidRPr="00500F49">
        <w:rPr>
          <w:b/>
          <w:bCs/>
        </w:rPr>
        <w:t xml:space="preserve"> et al, 2022</w:t>
      </w:r>
    </w:p>
    <w:p w14:paraId="10FD03B7" w14:textId="7270CDCC" w:rsidR="00500F49" w:rsidRPr="00500F49" w:rsidRDefault="00500F49" w:rsidP="00D5002C">
      <w:pPr>
        <w:jc w:val="both"/>
        <w:rPr>
          <w:rFonts w:eastAsiaTheme="minorHAnsi"/>
          <w:sz w:val="22"/>
          <w:szCs w:val="22"/>
        </w:rPr>
      </w:pPr>
      <w:r w:rsidRPr="00500F49">
        <w:rPr>
          <w:rFonts w:eastAsiaTheme="minorHAnsi"/>
          <w:sz w:val="22"/>
          <w:szCs w:val="22"/>
        </w:rPr>
        <w:t xml:space="preserve">The model is a two-compartment parametric model with first-order elimination, </w:t>
      </w:r>
      <w:r w:rsidRPr="00D5002C">
        <w:rPr>
          <w:rFonts w:eastAsiaTheme="minorHAnsi"/>
          <w:sz w:val="22"/>
          <w:szCs w:val="22"/>
        </w:rPr>
        <w:t>incorporating covariate effect</w:t>
      </w:r>
      <w:r w:rsidR="00BF2763">
        <w:rPr>
          <w:rFonts w:eastAsiaTheme="minorHAnsi"/>
          <w:sz w:val="22"/>
          <w:szCs w:val="22"/>
        </w:rPr>
        <w:t xml:space="preserve"> </w:t>
      </w:r>
      <w:proofErr w:type="gramStart"/>
      <w:r w:rsidR="00BF2763">
        <w:rPr>
          <w:rFonts w:eastAsiaTheme="minorHAnsi"/>
          <w:sz w:val="22"/>
          <w:szCs w:val="22"/>
        </w:rPr>
        <w:t xml:space="preserve">of </w:t>
      </w:r>
      <w:r w:rsidRPr="00D5002C">
        <w:rPr>
          <w:rFonts w:eastAsiaTheme="minorHAnsi"/>
          <w:sz w:val="22"/>
          <w:szCs w:val="22"/>
        </w:rPr>
        <w:t xml:space="preserve"> </w:t>
      </w:r>
      <w:r>
        <w:rPr>
          <w:rFonts w:eastAsiaTheme="minorHAnsi"/>
          <w:sz w:val="22"/>
          <w:szCs w:val="22"/>
        </w:rPr>
        <w:t>estimated</w:t>
      </w:r>
      <w:proofErr w:type="gramEnd"/>
      <w:r>
        <w:rPr>
          <w:rFonts w:eastAsiaTheme="minorHAnsi"/>
          <w:sz w:val="22"/>
          <w:szCs w:val="22"/>
        </w:rPr>
        <w:t xml:space="preserve"> glomerular filtration rate, </w:t>
      </w:r>
      <w:r w:rsidR="00BF2763">
        <w:rPr>
          <w:rFonts w:eastAsiaTheme="minorHAnsi"/>
          <w:sz w:val="22"/>
          <w:szCs w:val="22"/>
        </w:rPr>
        <w:t>calculated</w:t>
      </w:r>
      <w:r w:rsidRPr="00500F49">
        <w:rPr>
          <w:rFonts w:eastAsiaTheme="minorHAnsi"/>
          <w:sz w:val="22"/>
          <w:szCs w:val="22"/>
        </w:rPr>
        <w:t xml:space="preserve"> using the CKD-EPI formula. </w:t>
      </w:r>
    </w:p>
    <w:p w14:paraId="5F01CD27" w14:textId="1B6A8337" w:rsidR="00500F49" w:rsidRDefault="00500F49" w:rsidP="00D5002C">
      <w:pPr>
        <w:jc w:val="both"/>
        <w:rPr>
          <w:rFonts w:eastAsiaTheme="minorHAnsi"/>
          <w:sz w:val="22"/>
          <w:szCs w:val="22"/>
        </w:rPr>
      </w:pPr>
      <w:r w:rsidRPr="00D5002C">
        <w:rPr>
          <w:rFonts w:eastAsiaTheme="minorHAnsi"/>
          <w:sz w:val="22"/>
          <w:szCs w:val="22"/>
        </w:rPr>
        <w:t xml:space="preserve">It was developed using data from </w:t>
      </w:r>
      <w:r>
        <w:rPr>
          <w:rFonts w:eastAsiaTheme="minorHAnsi"/>
          <w:sz w:val="22"/>
          <w:szCs w:val="22"/>
        </w:rPr>
        <w:t xml:space="preserve">15 </w:t>
      </w:r>
      <w:r w:rsidRPr="00500F49">
        <w:rPr>
          <w:rFonts w:eastAsiaTheme="minorHAnsi"/>
          <w:sz w:val="22"/>
          <w:szCs w:val="22"/>
        </w:rPr>
        <w:t>critically ill adult patients with bloodstream infections or endocarditis, with serial plasma samples collected up to 21 days post-infusion.</w:t>
      </w:r>
    </w:p>
    <w:p w14:paraId="2BA480A1" w14:textId="77777777" w:rsidR="00326AB6" w:rsidRPr="00D5002C" w:rsidRDefault="00326AB6" w:rsidP="00326AB6">
      <w:pPr>
        <w:jc w:val="both"/>
        <w:rPr>
          <w:rFonts w:eastAsiaTheme="minorHAnsi"/>
          <w:sz w:val="22"/>
          <w:szCs w:val="22"/>
        </w:rPr>
      </w:pPr>
      <w:r w:rsidRPr="00D5002C">
        <w:rPr>
          <w:rFonts w:eastAsiaTheme="minorHAnsi"/>
          <w:sz w:val="22"/>
          <w:szCs w:val="22"/>
        </w:rPr>
        <w:t>The final model</w:t>
      </w:r>
      <w:r>
        <w:rPr>
          <w:rFonts w:eastAsiaTheme="minorHAnsi"/>
          <w:sz w:val="22"/>
          <w:szCs w:val="22"/>
        </w:rPr>
        <w:t xml:space="preserve"> equations describing the effects of covariates</w:t>
      </w:r>
      <w:r w:rsidRPr="00D5002C">
        <w:rPr>
          <w:rFonts w:eastAsiaTheme="minorHAnsi"/>
          <w:sz w:val="22"/>
          <w:szCs w:val="22"/>
        </w:rPr>
        <w:t xml:space="preserve"> are given below:</w:t>
      </w:r>
    </w:p>
    <w:p w14:paraId="3D46BAA8" w14:textId="242E98DD" w:rsidR="00D5002C" w:rsidRPr="00767D5C" w:rsidRDefault="00500F49" w:rsidP="00D5002C">
      <w:pPr>
        <w:jc w:val="both"/>
        <w:rPr>
          <w:sz w:val="22"/>
          <w:szCs w:val="22"/>
        </w:rPr>
      </w:pPr>
      <m:oMathPara>
        <m:oMath>
          <m:r>
            <w:rPr>
              <w:rFonts w:ascii="Cambria Math" w:eastAsiaTheme="minorHAnsi" w:hAnsi="Cambria Math"/>
              <w:sz w:val="22"/>
              <w:szCs w:val="22"/>
            </w:rPr>
            <m:t>CL=</m:t>
          </m:r>
          <m:sSub>
            <m:sSubPr>
              <m:ctrlPr>
                <w:rPr>
                  <w:rFonts w:ascii="Cambria Math" w:eastAsiaTheme="minorHAnsi" w:hAnsi="Cambria Math"/>
                  <w:i/>
                  <w:sz w:val="22"/>
                  <w:szCs w:val="22"/>
                </w:rPr>
              </m:ctrlPr>
            </m:sSubPr>
            <m:e>
              <m:r>
                <m:rPr>
                  <m:sty m:val="p"/>
                </m:rPr>
                <w:rPr>
                  <w:rFonts w:ascii="Cambria Math" w:eastAsiaTheme="minorHAnsi" w:hAnsi="Cambria Math"/>
                  <w:sz w:val="22"/>
                  <w:szCs w:val="22"/>
                </w:rPr>
                <m:t>θ</m:t>
              </m:r>
            </m:e>
            <m:sub>
              <m:r>
                <w:rPr>
                  <w:rFonts w:ascii="Cambria Math" w:eastAsiaTheme="minorHAnsi" w:hAnsi="Cambria Math"/>
                  <w:sz w:val="22"/>
                  <w:szCs w:val="22"/>
                </w:rPr>
                <m:t>CL</m:t>
              </m:r>
            </m:sub>
          </m:sSub>
          <m:r>
            <m:rPr>
              <m:sty m:val="p"/>
            </m:rPr>
            <w:rPr>
              <w:rFonts w:ascii="Cambria Math" w:eastAsiaTheme="minorHAnsi" w:hAnsi="Cambria Math"/>
              <w:sz w:val="22"/>
              <w:szCs w:val="22"/>
            </w:rPr>
            <m:t>×</m:t>
          </m:r>
          <m:sSup>
            <m:sSupPr>
              <m:ctrlPr>
                <w:rPr>
                  <w:rFonts w:ascii="Cambria Math" w:eastAsiaTheme="minorHAnsi" w:hAnsi="Cambria Math"/>
                  <w:i/>
                  <w:sz w:val="22"/>
                  <w:szCs w:val="22"/>
                </w:rPr>
              </m:ctrlPr>
            </m:sSupPr>
            <m:e>
              <m:d>
                <m:dPr>
                  <m:ctrlPr>
                    <w:rPr>
                      <w:rFonts w:ascii="Cambria Math" w:eastAsiaTheme="minorHAnsi" w:hAnsi="Cambria Math"/>
                      <w:sz w:val="22"/>
                      <w:szCs w:val="22"/>
                    </w:rPr>
                  </m:ctrlPr>
                </m:dPr>
                <m:e>
                  <m:f>
                    <m:fPr>
                      <m:ctrlPr>
                        <w:rPr>
                          <w:rFonts w:ascii="Cambria Math" w:eastAsiaTheme="minorHAnsi" w:hAnsi="Cambria Math"/>
                          <w:sz w:val="22"/>
                          <w:szCs w:val="22"/>
                        </w:rPr>
                      </m:ctrlPr>
                    </m:fPr>
                    <m:num>
                      <m:r>
                        <w:rPr>
                          <w:rFonts w:ascii="Cambria Math" w:eastAsiaTheme="minorHAnsi" w:hAnsi="Cambria Math"/>
                          <w:sz w:val="22"/>
                          <w:szCs w:val="22"/>
                        </w:rPr>
                        <m:t>eGFR</m:t>
                      </m:r>
                      <m:ctrlPr>
                        <w:rPr>
                          <w:rFonts w:ascii="Cambria Math" w:eastAsiaTheme="minorHAnsi" w:hAnsi="Cambria Math"/>
                          <w:i/>
                          <w:sz w:val="22"/>
                          <w:szCs w:val="22"/>
                        </w:rPr>
                      </m:ctrlPr>
                    </m:num>
                    <m:den>
                      <m:r>
                        <w:rPr>
                          <w:rFonts w:ascii="Cambria Math" w:eastAsiaTheme="minorHAnsi" w:hAnsi="Cambria Math"/>
                          <w:sz w:val="22"/>
                          <w:szCs w:val="22"/>
                        </w:rPr>
                        <m:t>93</m:t>
                      </m:r>
                      <m:ctrlPr>
                        <w:rPr>
                          <w:rFonts w:ascii="Cambria Math" w:eastAsiaTheme="minorHAnsi" w:hAnsi="Cambria Math"/>
                          <w:i/>
                          <w:sz w:val="22"/>
                          <w:szCs w:val="22"/>
                        </w:rPr>
                      </m:ctrlPr>
                    </m:den>
                  </m:f>
                  <m:ctrlPr>
                    <w:rPr>
                      <w:rFonts w:ascii="Cambria Math" w:eastAsiaTheme="minorHAnsi" w:hAnsi="Cambria Math"/>
                      <w:i/>
                      <w:sz w:val="22"/>
                      <w:szCs w:val="22"/>
                    </w:rPr>
                  </m:ctrlPr>
                </m:e>
              </m:d>
              <m:ctrlPr>
                <w:rPr>
                  <w:rFonts w:ascii="Cambria Math" w:eastAsiaTheme="minorHAnsi" w:hAnsi="Cambria Math"/>
                  <w:sz w:val="22"/>
                  <w:szCs w:val="22"/>
                </w:rPr>
              </m:ctrlPr>
            </m:e>
            <m:sup>
              <m:sSub>
                <m:sSubPr>
                  <m:ctrlPr>
                    <w:rPr>
                      <w:rFonts w:ascii="Cambria Math" w:eastAsiaTheme="minorHAnsi" w:hAnsi="Cambria Math"/>
                      <w:i/>
                      <w:sz w:val="22"/>
                      <w:szCs w:val="22"/>
                    </w:rPr>
                  </m:ctrlPr>
                </m:sSubPr>
                <m:e>
                  <m:r>
                    <m:rPr>
                      <m:sty m:val="p"/>
                    </m:rPr>
                    <w:rPr>
                      <w:rFonts w:ascii="Cambria Math" w:eastAsiaTheme="minorHAnsi" w:hAnsi="Cambria Math"/>
                      <w:sz w:val="22"/>
                      <w:szCs w:val="22"/>
                    </w:rPr>
                    <m:t>θ</m:t>
                  </m:r>
                </m:e>
                <m:sub>
                  <m:r>
                    <m:rPr>
                      <m:nor/>
                    </m:rPr>
                    <w:rPr>
                      <w:rFonts w:ascii="Cambria Math" w:eastAsiaTheme="minorHAnsi" w:hAnsi="Cambria Math"/>
                      <w:sz w:val="22"/>
                      <w:szCs w:val="22"/>
                    </w:rPr>
                    <m:t>eGFR</m:t>
                  </m:r>
                </m:sub>
              </m:sSub>
            </m:sup>
          </m:sSup>
          <m:r>
            <m:rPr>
              <m:sty m:val="p"/>
            </m:rPr>
            <w:rPr>
              <w:rFonts w:ascii="Cambria Math" w:eastAsiaTheme="minorHAnsi" w:hAnsi="Cambria Math"/>
              <w:sz w:val="22"/>
              <w:szCs w:val="22"/>
            </w:rPr>
            <m:t>×</m:t>
          </m:r>
          <m:sSup>
            <m:sSupPr>
              <m:ctrlPr>
                <w:rPr>
                  <w:rFonts w:ascii="Cambria Math" w:eastAsiaTheme="minorHAnsi" w:hAnsi="Cambria Math"/>
                  <w:i/>
                  <w:sz w:val="22"/>
                  <w:szCs w:val="22"/>
                </w:rPr>
              </m:ctrlPr>
            </m:sSupPr>
            <m:e>
              <m:r>
                <w:rPr>
                  <w:rFonts w:ascii="Cambria Math" w:eastAsiaTheme="minorHAnsi" w:hAnsi="Cambria Math"/>
                  <w:sz w:val="22"/>
                  <w:szCs w:val="22"/>
                </w:rPr>
                <m:t>e</m:t>
              </m:r>
              <m:ctrlPr>
                <w:rPr>
                  <w:rFonts w:ascii="Cambria Math" w:eastAsiaTheme="minorHAnsi" w:hAnsi="Cambria Math"/>
                  <w:sz w:val="22"/>
                  <w:szCs w:val="22"/>
                </w:rPr>
              </m:ctrlPr>
            </m:e>
            <m:sup>
              <m:sSub>
                <m:sSubPr>
                  <m:ctrlPr>
                    <w:rPr>
                      <w:rFonts w:ascii="Cambria Math" w:eastAsiaTheme="minorHAnsi" w:hAnsi="Cambria Math"/>
                      <w:i/>
                      <w:sz w:val="22"/>
                      <w:szCs w:val="22"/>
                    </w:rPr>
                  </m:ctrlPr>
                </m:sSubPr>
                <m:e>
                  <m:r>
                    <m:rPr>
                      <m:sty m:val="p"/>
                    </m:rPr>
                    <w:rPr>
                      <w:rFonts w:ascii="Cambria Math" w:eastAsiaTheme="minorHAnsi" w:hAnsi="Cambria Math"/>
                      <w:sz w:val="22"/>
                      <w:szCs w:val="22"/>
                    </w:rPr>
                    <m:t>η</m:t>
                  </m:r>
                </m:e>
                <m:sub>
                  <m:r>
                    <w:rPr>
                      <w:rFonts w:ascii="Cambria Math" w:eastAsiaTheme="minorHAnsi" w:hAnsi="Cambria Math"/>
                      <w:sz w:val="22"/>
                      <w:szCs w:val="22"/>
                    </w:rPr>
                    <m:t>CL</m:t>
                  </m:r>
                </m:sub>
              </m:sSub>
            </m:sup>
          </m:sSup>
        </m:oMath>
      </m:oMathPara>
    </w:p>
    <w:p w14:paraId="553B6A15" w14:textId="77777777" w:rsidR="00767D5C" w:rsidRDefault="00767D5C" w:rsidP="00D5002C">
      <w:pPr>
        <w:jc w:val="both"/>
        <w:rPr>
          <w:sz w:val="22"/>
          <w:szCs w:val="22"/>
        </w:rPr>
      </w:pPr>
    </w:p>
    <w:p w14:paraId="4C86CD43" w14:textId="77777777" w:rsidR="00767D5C" w:rsidRPr="00C17E9E" w:rsidRDefault="00767D5C" w:rsidP="00767D5C">
      <w:pPr>
        <w:jc w:val="both"/>
      </w:pPr>
      <w:r w:rsidRPr="00C17E9E">
        <w:lastRenderedPageBreak/>
        <w:t>Where:</w:t>
      </w:r>
    </w:p>
    <w:p w14:paraId="2E5D4E04" w14:textId="6A7D6D10" w:rsidR="00767D5C" w:rsidRPr="00767D5C" w:rsidRDefault="00767D5C" w:rsidP="00767D5C">
      <w:pPr>
        <w:pStyle w:val="Paragrafoelenco"/>
        <w:numPr>
          <w:ilvl w:val="0"/>
          <w:numId w:val="5"/>
        </w:numPr>
        <w:jc w:val="both"/>
        <w:rPr>
          <w:sz w:val="22"/>
          <w:szCs w:val="22"/>
        </w:rPr>
      </w:pPr>
      <w:r w:rsidRPr="00C17E9E">
        <w:t>CL: Total body clearance (L/h)</w:t>
      </w:r>
    </w:p>
    <w:p w14:paraId="6CFC8A03" w14:textId="65A58725" w:rsidR="00767D5C" w:rsidRPr="00767D5C" w:rsidRDefault="00767D5C" w:rsidP="00767D5C">
      <w:pPr>
        <w:pStyle w:val="Paragrafoelenco"/>
        <w:numPr>
          <w:ilvl w:val="0"/>
          <w:numId w:val="5"/>
        </w:numPr>
        <w:jc w:val="both"/>
        <w:rPr>
          <w:sz w:val="22"/>
          <w:szCs w:val="22"/>
        </w:rPr>
      </w:pPr>
      <w:r>
        <w:t>eGFR: E</w:t>
      </w:r>
      <w:r>
        <w:rPr>
          <w:rFonts w:eastAsiaTheme="minorHAnsi"/>
          <w:sz w:val="22"/>
          <w:szCs w:val="22"/>
        </w:rPr>
        <w:t>stimated glomerular filtration rate, calculated</w:t>
      </w:r>
      <w:r w:rsidRPr="00500F49">
        <w:rPr>
          <w:rFonts w:eastAsiaTheme="minorHAnsi"/>
          <w:sz w:val="22"/>
          <w:szCs w:val="22"/>
        </w:rPr>
        <w:t xml:space="preserve"> using the CKD-EPI formula</w:t>
      </w:r>
    </w:p>
    <w:p w14:paraId="5FB5B0C1" w14:textId="77777777" w:rsidR="00500F49" w:rsidRDefault="00500F49" w:rsidP="00D5002C">
      <w:pPr>
        <w:jc w:val="both"/>
        <w:rPr>
          <w:sz w:val="22"/>
          <w:szCs w:val="22"/>
        </w:rPr>
      </w:pPr>
    </w:p>
    <w:p w14:paraId="3622EDEF" w14:textId="533B7981" w:rsidR="00326AB6" w:rsidRPr="0035421A" w:rsidRDefault="00326AB6" w:rsidP="00326AB6">
      <w:pPr>
        <w:jc w:val="both"/>
        <w:rPr>
          <w:b/>
          <w:bCs/>
        </w:rPr>
      </w:pPr>
      <w:proofErr w:type="spellStart"/>
      <w:r w:rsidRPr="0035421A">
        <w:rPr>
          <w:b/>
          <w:bCs/>
        </w:rPr>
        <w:t>Cojutti</w:t>
      </w:r>
      <w:proofErr w:type="spellEnd"/>
      <w:r w:rsidRPr="0035421A">
        <w:rPr>
          <w:b/>
          <w:bCs/>
        </w:rPr>
        <w:t xml:space="preserve"> et al, 2021</w:t>
      </w:r>
    </w:p>
    <w:p w14:paraId="47FEE31C" w14:textId="77777777" w:rsidR="00500F49" w:rsidRPr="0035421A" w:rsidRDefault="00500F49" w:rsidP="00D5002C">
      <w:pPr>
        <w:jc w:val="both"/>
        <w:rPr>
          <w:sz w:val="22"/>
          <w:szCs w:val="22"/>
        </w:rPr>
      </w:pPr>
    </w:p>
    <w:p w14:paraId="0B1F6BDC" w14:textId="0811023F" w:rsidR="00500F49" w:rsidRDefault="00326AB6" w:rsidP="00D5002C">
      <w:pPr>
        <w:jc w:val="both"/>
        <w:rPr>
          <w:rFonts w:eastAsiaTheme="minorHAnsi"/>
          <w:sz w:val="22"/>
          <w:szCs w:val="22"/>
        </w:rPr>
      </w:pPr>
      <w:r w:rsidRPr="00BF2763">
        <w:rPr>
          <w:rFonts w:eastAsiaTheme="minorHAnsi"/>
          <w:sz w:val="22"/>
          <w:szCs w:val="22"/>
        </w:rPr>
        <w:t xml:space="preserve">The model is a two-compartment parametric model </w:t>
      </w:r>
      <w:r w:rsidRPr="00D5002C">
        <w:rPr>
          <w:rFonts w:eastAsiaTheme="minorHAnsi"/>
          <w:sz w:val="22"/>
          <w:szCs w:val="22"/>
        </w:rPr>
        <w:t xml:space="preserve">with first-order elimination, </w:t>
      </w:r>
      <w:r w:rsidR="00BF2763" w:rsidRPr="00D5002C">
        <w:rPr>
          <w:rFonts w:eastAsiaTheme="minorHAnsi"/>
          <w:sz w:val="22"/>
          <w:szCs w:val="22"/>
        </w:rPr>
        <w:t>incorporating covariate effect</w:t>
      </w:r>
      <w:r w:rsidR="00BF2763">
        <w:rPr>
          <w:rFonts w:eastAsiaTheme="minorHAnsi"/>
          <w:sz w:val="22"/>
          <w:szCs w:val="22"/>
        </w:rPr>
        <w:t xml:space="preserve"> of </w:t>
      </w:r>
      <w:r w:rsidR="00BF2763" w:rsidRPr="00D5002C">
        <w:rPr>
          <w:rFonts w:eastAsiaTheme="minorHAnsi"/>
          <w:sz w:val="22"/>
          <w:szCs w:val="22"/>
        </w:rPr>
        <w:t>estimated</w:t>
      </w:r>
      <w:r w:rsidR="00BF2763">
        <w:rPr>
          <w:rFonts w:eastAsiaTheme="minorHAnsi"/>
          <w:sz w:val="22"/>
          <w:szCs w:val="22"/>
        </w:rPr>
        <w:t xml:space="preserve"> glomerular filtration rate, calculated</w:t>
      </w:r>
      <w:r w:rsidR="00BF2763" w:rsidRPr="00500F49">
        <w:rPr>
          <w:rFonts w:eastAsiaTheme="minorHAnsi"/>
          <w:sz w:val="22"/>
          <w:szCs w:val="22"/>
        </w:rPr>
        <w:t xml:space="preserve"> using the CKD-EPI formula</w:t>
      </w:r>
      <w:r w:rsidR="00BF2763" w:rsidRPr="00BF2763">
        <w:rPr>
          <w:rFonts w:eastAsiaTheme="minorHAnsi"/>
          <w:sz w:val="22"/>
          <w:szCs w:val="22"/>
        </w:rPr>
        <w:t xml:space="preserve">. It was using data from 27 adult inpatients </w:t>
      </w:r>
      <w:r w:rsidRPr="00BF2763">
        <w:rPr>
          <w:rFonts w:eastAsiaTheme="minorHAnsi"/>
          <w:sz w:val="22"/>
          <w:szCs w:val="22"/>
        </w:rPr>
        <w:t xml:space="preserve">with acute bacterial skin and skin structure infections, with blood samples collected over a period of up to 14 days post-administration. </w:t>
      </w:r>
    </w:p>
    <w:p w14:paraId="6F31518F" w14:textId="77777777" w:rsidR="00767D5C" w:rsidRPr="00D5002C" w:rsidRDefault="00767D5C" w:rsidP="00767D5C">
      <w:pPr>
        <w:jc w:val="both"/>
        <w:rPr>
          <w:rFonts w:eastAsiaTheme="minorHAnsi"/>
          <w:sz w:val="22"/>
          <w:szCs w:val="22"/>
        </w:rPr>
      </w:pPr>
      <w:r w:rsidRPr="00D5002C">
        <w:rPr>
          <w:rFonts w:eastAsiaTheme="minorHAnsi"/>
          <w:sz w:val="22"/>
          <w:szCs w:val="22"/>
        </w:rPr>
        <w:t>The final model</w:t>
      </w:r>
      <w:r>
        <w:rPr>
          <w:rFonts w:eastAsiaTheme="minorHAnsi"/>
          <w:sz w:val="22"/>
          <w:szCs w:val="22"/>
        </w:rPr>
        <w:t xml:space="preserve"> equations describing the effects of covariates</w:t>
      </w:r>
      <w:r w:rsidRPr="00D5002C">
        <w:rPr>
          <w:rFonts w:eastAsiaTheme="minorHAnsi"/>
          <w:sz w:val="22"/>
          <w:szCs w:val="22"/>
        </w:rPr>
        <w:t xml:space="preserve"> are given below:</w:t>
      </w:r>
    </w:p>
    <w:p w14:paraId="47C1C1B7" w14:textId="77777777" w:rsidR="00767D5C" w:rsidRPr="00BF2763" w:rsidRDefault="00767D5C" w:rsidP="00D5002C">
      <w:pPr>
        <w:jc w:val="both"/>
        <w:rPr>
          <w:rFonts w:eastAsiaTheme="minorHAnsi"/>
          <w:sz w:val="22"/>
          <w:szCs w:val="22"/>
        </w:rPr>
      </w:pPr>
    </w:p>
    <w:p w14:paraId="53B4C1A5" w14:textId="77777777" w:rsidR="00BF2763" w:rsidRPr="00BF2763" w:rsidRDefault="00BF2763" w:rsidP="00D5002C">
      <w:pPr>
        <w:jc w:val="both"/>
        <w:rPr>
          <w:rFonts w:eastAsiaTheme="minorHAnsi"/>
          <w:sz w:val="22"/>
          <w:szCs w:val="22"/>
        </w:rPr>
      </w:pPr>
    </w:p>
    <w:p w14:paraId="3349FC63" w14:textId="046CAFC1" w:rsidR="00D5002C" w:rsidRPr="00767D5C" w:rsidRDefault="00767D5C" w:rsidP="00D5002C">
      <w:pPr>
        <w:jc w:val="both"/>
      </w:pPr>
      <m:oMathPara>
        <m:oMath>
          <m:r>
            <w:rPr>
              <w:rFonts w:ascii="Cambria Math" w:hAnsi="Cambria Math"/>
            </w:rPr>
            <m:t>CL=</m:t>
          </m:r>
          <m:sSub>
            <m:sSubPr>
              <m:ctrlPr>
                <w:rPr>
                  <w:rFonts w:ascii="Cambria Math" w:hAnsi="Cambria Math"/>
                  <w:i/>
                </w:rPr>
              </m:ctrlPr>
            </m:sSubPr>
            <m:e>
              <m:r>
                <m:rPr>
                  <m:sty m:val="p"/>
                </m:rPr>
                <w:rPr>
                  <w:rFonts w:ascii="Cambria Math" w:hAnsi="Cambria Math"/>
                </w:rPr>
                <m:t>θ</m:t>
              </m:r>
            </m:e>
            <m:sub>
              <m:r>
                <w:rPr>
                  <w:rFonts w:ascii="Cambria Math" w:hAnsi="Cambria Math"/>
                </w:rPr>
                <m:t>CL</m:t>
              </m:r>
            </m:sub>
          </m:sSub>
          <m:r>
            <m:rPr>
              <m:sty m:val="p"/>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eGFR</m:t>
                      </m:r>
                      <m:ctrlPr>
                        <w:rPr>
                          <w:rFonts w:ascii="Cambria Math" w:hAnsi="Cambria Math"/>
                          <w:i/>
                        </w:rPr>
                      </m:ctrlPr>
                    </m:num>
                    <m:den>
                      <m:r>
                        <w:rPr>
                          <w:rFonts w:ascii="Cambria Math" w:hAnsi="Cambria Math"/>
                        </w:rPr>
                        <m:t>90</m:t>
                      </m:r>
                      <m:ctrlPr>
                        <w:rPr>
                          <w:rFonts w:ascii="Cambria Math" w:hAnsi="Cambria Math"/>
                          <w:i/>
                        </w:rPr>
                      </m:ctrlPr>
                    </m:den>
                  </m:f>
                  <m:ctrlPr>
                    <w:rPr>
                      <w:rFonts w:ascii="Cambria Math" w:hAnsi="Cambria Math"/>
                      <w:i/>
                    </w:rPr>
                  </m:ctrlPr>
                </m:e>
              </m:d>
              <m:ctrlPr>
                <w:rPr>
                  <w:rFonts w:ascii="Cambria Math" w:hAnsi="Cambria Math"/>
                </w:rPr>
              </m:ctrlPr>
            </m:e>
            <m:sup>
              <m:sSub>
                <m:sSubPr>
                  <m:ctrlPr>
                    <w:rPr>
                      <w:rFonts w:ascii="Cambria Math" w:hAnsi="Cambria Math"/>
                      <w:i/>
                    </w:rPr>
                  </m:ctrlPr>
                </m:sSubPr>
                <m:e>
                  <m:r>
                    <m:rPr>
                      <m:sty m:val="p"/>
                    </m:rPr>
                    <w:rPr>
                      <w:rFonts w:ascii="Cambria Math" w:hAnsi="Cambria Math"/>
                    </w:rPr>
                    <m:t>θ</m:t>
                  </m:r>
                </m:e>
                <m:sub>
                  <m:r>
                    <m:rPr>
                      <m:nor/>
                    </m:rPr>
                    <w:rPr>
                      <w:rFonts w:ascii="Cambria Math" w:hAnsi="Cambria Math"/>
                    </w:rPr>
                    <m:t>eGFR</m:t>
                  </m:r>
                </m:sub>
              </m:sSub>
            </m:sup>
          </m:sSup>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sSub>
                <m:sSubPr>
                  <m:ctrlPr>
                    <w:rPr>
                      <w:rFonts w:ascii="Cambria Math" w:hAnsi="Cambria Math"/>
                      <w:i/>
                    </w:rPr>
                  </m:ctrlPr>
                </m:sSubPr>
                <m:e>
                  <m:r>
                    <m:rPr>
                      <m:sty m:val="p"/>
                    </m:rPr>
                    <w:rPr>
                      <w:rFonts w:ascii="Cambria Math" w:hAnsi="Cambria Math"/>
                    </w:rPr>
                    <m:t>η</m:t>
                  </m:r>
                </m:e>
                <m:sub>
                  <m:r>
                    <w:rPr>
                      <w:rFonts w:ascii="Cambria Math" w:hAnsi="Cambria Math"/>
                    </w:rPr>
                    <m:t>CL</m:t>
                  </m:r>
                </m:sub>
              </m:sSub>
            </m:sup>
          </m:sSup>
        </m:oMath>
      </m:oMathPara>
    </w:p>
    <w:p w14:paraId="3ADF2617" w14:textId="77777777" w:rsidR="00767D5C" w:rsidRPr="00767D5C" w:rsidRDefault="00767D5C" w:rsidP="00D5002C">
      <w:pPr>
        <w:jc w:val="both"/>
      </w:pPr>
    </w:p>
    <w:p w14:paraId="2B32DB5A" w14:textId="77777777" w:rsidR="00326AB6" w:rsidRDefault="00326AB6" w:rsidP="00D5002C">
      <w:pPr>
        <w:jc w:val="both"/>
      </w:pPr>
    </w:p>
    <w:p w14:paraId="1C93612A" w14:textId="77777777" w:rsidR="00767D5C" w:rsidRPr="00C17E9E" w:rsidRDefault="00767D5C" w:rsidP="00767D5C">
      <w:pPr>
        <w:jc w:val="both"/>
      </w:pPr>
      <w:r w:rsidRPr="00C17E9E">
        <w:t>Where:</w:t>
      </w:r>
    </w:p>
    <w:p w14:paraId="5D034D91" w14:textId="77777777" w:rsidR="00767D5C" w:rsidRPr="00767D5C" w:rsidRDefault="00767D5C" w:rsidP="00767D5C">
      <w:pPr>
        <w:pStyle w:val="Paragrafoelenco"/>
        <w:numPr>
          <w:ilvl w:val="0"/>
          <w:numId w:val="5"/>
        </w:numPr>
        <w:jc w:val="both"/>
        <w:rPr>
          <w:sz w:val="22"/>
          <w:szCs w:val="22"/>
        </w:rPr>
      </w:pPr>
      <w:r w:rsidRPr="00C17E9E">
        <w:t>CL: Total body clearance (L/h)</w:t>
      </w:r>
    </w:p>
    <w:p w14:paraId="62C38E30" w14:textId="77777777" w:rsidR="00767D5C" w:rsidRPr="00767D5C" w:rsidRDefault="00767D5C" w:rsidP="00767D5C">
      <w:pPr>
        <w:pStyle w:val="Paragrafoelenco"/>
        <w:numPr>
          <w:ilvl w:val="0"/>
          <w:numId w:val="5"/>
        </w:numPr>
        <w:jc w:val="both"/>
        <w:rPr>
          <w:sz w:val="22"/>
          <w:szCs w:val="22"/>
        </w:rPr>
      </w:pPr>
      <w:r>
        <w:t>eGFR: E</w:t>
      </w:r>
      <w:r>
        <w:rPr>
          <w:rFonts w:eastAsiaTheme="minorHAnsi"/>
          <w:sz w:val="22"/>
          <w:szCs w:val="22"/>
        </w:rPr>
        <w:t>stimated glomerular filtration rate, calculated</w:t>
      </w:r>
      <w:r w:rsidRPr="00500F49">
        <w:rPr>
          <w:rFonts w:eastAsiaTheme="minorHAnsi"/>
          <w:sz w:val="22"/>
          <w:szCs w:val="22"/>
        </w:rPr>
        <w:t xml:space="preserve"> using the CKD-EPI formula</w:t>
      </w:r>
    </w:p>
    <w:p w14:paraId="37D16D6B" w14:textId="77777777" w:rsidR="00326AB6" w:rsidRDefault="00326AB6" w:rsidP="00D5002C">
      <w:pPr>
        <w:jc w:val="both"/>
      </w:pPr>
    </w:p>
    <w:p w14:paraId="7EFD8A9C" w14:textId="77777777" w:rsidR="00326AB6" w:rsidRDefault="00326AB6" w:rsidP="00D5002C">
      <w:pPr>
        <w:jc w:val="both"/>
      </w:pPr>
    </w:p>
    <w:p w14:paraId="1B3BFDE9" w14:textId="13739F96" w:rsidR="00767D5C" w:rsidRDefault="00767D5C" w:rsidP="00D5002C">
      <w:pPr>
        <w:jc w:val="both"/>
        <w:rPr>
          <w:b/>
          <w:bCs/>
        </w:rPr>
      </w:pPr>
      <w:r w:rsidRPr="00767D5C">
        <w:rPr>
          <w:b/>
          <w:bCs/>
        </w:rPr>
        <w:t>Baiardi et al, 2025</w:t>
      </w:r>
    </w:p>
    <w:p w14:paraId="26B9FCA3" w14:textId="2A0E5081" w:rsidR="0035421A" w:rsidRDefault="0035421A" w:rsidP="00D5002C">
      <w:pPr>
        <w:jc w:val="both"/>
        <w:rPr>
          <w:rFonts w:eastAsiaTheme="minorHAnsi"/>
          <w:sz w:val="22"/>
          <w:szCs w:val="22"/>
        </w:rPr>
      </w:pPr>
      <w:r w:rsidRPr="00BF2763">
        <w:rPr>
          <w:rFonts w:eastAsiaTheme="minorHAnsi"/>
          <w:sz w:val="22"/>
          <w:szCs w:val="22"/>
        </w:rPr>
        <w:t xml:space="preserve">The model is a two-compartment parametric model </w:t>
      </w:r>
      <w:r w:rsidRPr="00D5002C">
        <w:rPr>
          <w:rFonts w:eastAsiaTheme="minorHAnsi"/>
          <w:sz w:val="22"/>
          <w:szCs w:val="22"/>
        </w:rPr>
        <w:t>with first-order elimination, incorporating covariate effect</w:t>
      </w:r>
      <w:r>
        <w:rPr>
          <w:rFonts w:eastAsiaTheme="minorHAnsi"/>
          <w:sz w:val="22"/>
          <w:szCs w:val="22"/>
        </w:rPr>
        <w:t xml:space="preserve"> of </w:t>
      </w:r>
      <w:r>
        <w:rPr>
          <w:rFonts w:eastAsiaTheme="minorHAnsi"/>
          <w:sz w:val="22"/>
          <w:szCs w:val="22"/>
        </w:rPr>
        <w:t xml:space="preserve">total body weight. </w:t>
      </w:r>
    </w:p>
    <w:p w14:paraId="39B0D495" w14:textId="2AA3FA1A" w:rsidR="0035421A" w:rsidRDefault="0035421A" w:rsidP="0035421A">
      <w:pPr>
        <w:jc w:val="both"/>
        <w:rPr>
          <w:rFonts w:eastAsiaTheme="minorHAnsi"/>
          <w:sz w:val="22"/>
          <w:szCs w:val="22"/>
        </w:rPr>
      </w:pPr>
      <w:r w:rsidRPr="00D5002C">
        <w:rPr>
          <w:rFonts w:eastAsiaTheme="minorHAnsi"/>
          <w:sz w:val="22"/>
          <w:szCs w:val="22"/>
        </w:rPr>
        <w:t xml:space="preserve">It was developed using data from </w:t>
      </w:r>
      <w:r>
        <w:rPr>
          <w:rFonts w:eastAsiaTheme="minorHAnsi"/>
          <w:sz w:val="22"/>
          <w:szCs w:val="22"/>
        </w:rPr>
        <w:t xml:space="preserve">30 </w:t>
      </w:r>
      <w:r w:rsidRPr="00500F49">
        <w:rPr>
          <w:rFonts w:eastAsiaTheme="minorHAnsi"/>
          <w:sz w:val="22"/>
          <w:szCs w:val="22"/>
        </w:rPr>
        <w:t xml:space="preserve">adult patients with </w:t>
      </w:r>
      <w:r>
        <w:rPr>
          <w:rFonts w:eastAsiaTheme="minorHAnsi"/>
          <w:sz w:val="22"/>
          <w:szCs w:val="22"/>
        </w:rPr>
        <w:t xml:space="preserve">mainly </w:t>
      </w:r>
      <w:r w:rsidRPr="00BF2763">
        <w:rPr>
          <w:rFonts w:eastAsiaTheme="minorHAnsi"/>
          <w:sz w:val="22"/>
          <w:szCs w:val="22"/>
        </w:rPr>
        <w:t>acute bacterial skin and skin structure infections</w:t>
      </w:r>
      <w:r>
        <w:rPr>
          <w:rFonts w:eastAsiaTheme="minorHAnsi"/>
          <w:sz w:val="22"/>
          <w:szCs w:val="22"/>
        </w:rPr>
        <w:t xml:space="preserve"> or spondylodiscitis, w</w:t>
      </w:r>
      <w:r w:rsidRPr="00500F49">
        <w:rPr>
          <w:rFonts w:eastAsiaTheme="minorHAnsi"/>
          <w:sz w:val="22"/>
          <w:szCs w:val="22"/>
        </w:rPr>
        <w:t xml:space="preserve">ith plasma samples collected </w:t>
      </w:r>
      <w:r>
        <w:rPr>
          <w:rFonts w:eastAsiaTheme="minorHAnsi"/>
          <w:sz w:val="22"/>
          <w:szCs w:val="22"/>
        </w:rPr>
        <w:t xml:space="preserve">at peak, through concentrations and additional sparse sampling. </w:t>
      </w:r>
    </w:p>
    <w:p w14:paraId="59449220" w14:textId="77777777" w:rsidR="0035421A" w:rsidRDefault="0035421A" w:rsidP="0035421A">
      <w:pPr>
        <w:jc w:val="both"/>
        <w:rPr>
          <w:rFonts w:eastAsiaTheme="minorHAnsi"/>
          <w:sz w:val="22"/>
          <w:szCs w:val="22"/>
        </w:rPr>
      </w:pPr>
      <w:r w:rsidRPr="00D5002C">
        <w:rPr>
          <w:rFonts w:eastAsiaTheme="minorHAnsi"/>
          <w:sz w:val="22"/>
          <w:szCs w:val="22"/>
        </w:rPr>
        <w:t>The final model</w:t>
      </w:r>
      <w:r>
        <w:rPr>
          <w:rFonts w:eastAsiaTheme="minorHAnsi"/>
          <w:sz w:val="22"/>
          <w:szCs w:val="22"/>
        </w:rPr>
        <w:t xml:space="preserve"> equations describing the effects of covariates</w:t>
      </w:r>
      <w:r w:rsidRPr="00D5002C">
        <w:rPr>
          <w:rFonts w:eastAsiaTheme="minorHAnsi"/>
          <w:sz w:val="22"/>
          <w:szCs w:val="22"/>
        </w:rPr>
        <w:t xml:space="preserve"> are given below:</w:t>
      </w:r>
    </w:p>
    <w:p w14:paraId="7A159A48" w14:textId="77777777" w:rsidR="0035421A" w:rsidRDefault="0035421A" w:rsidP="0035421A">
      <w:pPr>
        <w:jc w:val="both"/>
        <w:rPr>
          <w:rFonts w:eastAsiaTheme="minorHAnsi"/>
          <w:sz w:val="22"/>
          <w:szCs w:val="22"/>
        </w:rPr>
      </w:pPr>
    </w:p>
    <w:p w14:paraId="2C633E31" w14:textId="665EFDF9" w:rsidR="0035421A" w:rsidRPr="0035421A" w:rsidRDefault="0035421A" w:rsidP="0035421A">
      <w:pPr>
        <w:jc w:val="both"/>
        <w:rPr>
          <w:sz w:val="22"/>
          <w:szCs w:val="22"/>
        </w:rPr>
      </w:pPr>
      <m:oMathPara>
        <m:oMath>
          <m:r>
            <w:rPr>
              <w:rFonts w:ascii="Cambria Math" w:eastAsiaTheme="minorHAnsi" w:hAnsi="Cambria Math"/>
              <w:sz w:val="22"/>
              <w:szCs w:val="22"/>
            </w:rPr>
            <m:t>CL=</m:t>
          </m:r>
          <m:sSub>
            <m:sSubPr>
              <m:ctrlPr>
                <w:rPr>
                  <w:rFonts w:ascii="Cambria Math" w:eastAsiaTheme="minorHAnsi" w:hAnsi="Cambria Math"/>
                  <w:i/>
                  <w:sz w:val="22"/>
                  <w:szCs w:val="22"/>
                </w:rPr>
              </m:ctrlPr>
            </m:sSubPr>
            <m:e>
              <m:r>
                <m:rPr>
                  <m:sty m:val="p"/>
                </m:rPr>
                <w:rPr>
                  <w:rFonts w:ascii="Cambria Math" w:eastAsiaTheme="minorHAnsi" w:hAnsi="Cambria Math"/>
                  <w:sz w:val="22"/>
                  <w:szCs w:val="22"/>
                </w:rPr>
                <m:t>θ</m:t>
              </m:r>
            </m:e>
            <m:sub>
              <m:r>
                <w:rPr>
                  <w:rFonts w:ascii="Cambria Math" w:eastAsiaTheme="minorHAnsi" w:hAnsi="Cambria Math"/>
                  <w:sz w:val="22"/>
                  <w:szCs w:val="22"/>
                </w:rPr>
                <m:t>CL</m:t>
              </m:r>
            </m:sub>
          </m:sSub>
          <m:r>
            <m:rPr>
              <m:sty m:val="p"/>
            </m:rPr>
            <w:rPr>
              <w:rFonts w:ascii="Cambria Math" w:eastAsiaTheme="minorHAnsi" w:hAnsi="Cambria Math"/>
              <w:sz w:val="22"/>
              <w:szCs w:val="22"/>
            </w:rPr>
            <m:t>×</m:t>
          </m:r>
          <m:sSup>
            <m:sSupPr>
              <m:ctrlPr>
                <w:rPr>
                  <w:rFonts w:ascii="Cambria Math" w:eastAsiaTheme="minorHAnsi" w:hAnsi="Cambria Math"/>
                  <w:i/>
                  <w:sz w:val="22"/>
                  <w:szCs w:val="22"/>
                </w:rPr>
              </m:ctrlPr>
            </m:sSupPr>
            <m:e>
              <m:d>
                <m:dPr>
                  <m:ctrlPr>
                    <w:rPr>
                      <w:rFonts w:ascii="Cambria Math" w:eastAsiaTheme="minorHAnsi" w:hAnsi="Cambria Math"/>
                      <w:sz w:val="22"/>
                      <w:szCs w:val="22"/>
                    </w:rPr>
                  </m:ctrlPr>
                </m:dPr>
                <m:e>
                  <m:f>
                    <m:fPr>
                      <m:ctrlPr>
                        <w:rPr>
                          <w:rFonts w:ascii="Cambria Math" w:eastAsiaTheme="minorHAnsi" w:hAnsi="Cambria Math"/>
                          <w:sz w:val="22"/>
                          <w:szCs w:val="22"/>
                        </w:rPr>
                      </m:ctrlPr>
                    </m:fPr>
                    <m:num>
                      <m:r>
                        <w:rPr>
                          <w:rFonts w:ascii="Cambria Math" w:eastAsiaTheme="minorHAnsi" w:hAnsi="Cambria Math"/>
                          <w:sz w:val="22"/>
                          <w:szCs w:val="22"/>
                        </w:rPr>
                        <m:t>WT</m:t>
                      </m:r>
                      <m:ctrlPr>
                        <w:rPr>
                          <w:rFonts w:ascii="Cambria Math" w:eastAsiaTheme="minorHAnsi" w:hAnsi="Cambria Math"/>
                          <w:i/>
                          <w:sz w:val="22"/>
                          <w:szCs w:val="22"/>
                        </w:rPr>
                      </m:ctrlPr>
                    </m:num>
                    <m:den>
                      <m:r>
                        <w:rPr>
                          <w:rFonts w:ascii="Cambria Math" w:eastAsiaTheme="minorHAnsi" w:hAnsi="Cambria Math"/>
                          <w:sz w:val="22"/>
                          <w:szCs w:val="22"/>
                        </w:rPr>
                        <m:t>70</m:t>
                      </m:r>
                      <m:ctrlPr>
                        <w:rPr>
                          <w:rFonts w:ascii="Cambria Math" w:eastAsiaTheme="minorHAnsi" w:hAnsi="Cambria Math"/>
                          <w:i/>
                          <w:sz w:val="22"/>
                          <w:szCs w:val="22"/>
                        </w:rPr>
                      </m:ctrlPr>
                    </m:den>
                  </m:f>
                  <m:ctrlPr>
                    <w:rPr>
                      <w:rFonts w:ascii="Cambria Math" w:eastAsiaTheme="minorHAnsi" w:hAnsi="Cambria Math"/>
                      <w:i/>
                      <w:sz w:val="22"/>
                      <w:szCs w:val="22"/>
                    </w:rPr>
                  </m:ctrlPr>
                </m:e>
              </m:d>
              <m:ctrlPr>
                <w:rPr>
                  <w:rFonts w:ascii="Cambria Math" w:eastAsiaTheme="minorHAnsi" w:hAnsi="Cambria Math"/>
                  <w:sz w:val="22"/>
                  <w:szCs w:val="22"/>
                </w:rPr>
              </m:ctrlPr>
            </m:e>
            <m:sup>
              <m:r>
                <w:rPr>
                  <w:rFonts w:ascii="Cambria Math" w:eastAsiaTheme="minorHAnsi" w:hAnsi="Cambria Math"/>
                  <w:sz w:val="22"/>
                  <w:szCs w:val="22"/>
                </w:rPr>
                <m:t>0.75</m:t>
              </m:r>
            </m:sup>
          </m:sSup>
          <m:r>
            <m:rPr>
              <m:sty m:val="p"/>
            </m:rPr>
            <w:rPr>
              <w:rFonts w:ascii="Cambria Math" w:eastAsiaTheme="minorHAnsi" w:hAnsi="Cambria Math"/>
              <w:sz w:val="22"/>
              <w:szCs w:val="22"/>
            </w:rPr>
            <m:t>×</m:t>
          </m:r>
          <m:sSup>
            <m:sSupPr>
              <m:ctrlPr>
                <w:rPr>
                  <w:rFonts w:ascii="Cambria Math" w:eastAsiaTheme="minorHAnsi" w:hAnsi="Cambria Math"/>
                  <w:i/>
                  <w:sz w:val="22"/>
                  <w:szCs w:val="22"/>
                </w:rPr>
              </m:ctrlPr>
            </m:sSupPr>
            <m:e>
              <m:r>
                <w:rPr>
                  <w:rFonts w:ascii="Cambria Math" w:eastAsiaTheme="minorHAnsi" w:hAnsi="Cambria Math"/>
                  <w:sz w:val="22"/>
                  <w:szCs w:val="22"/>
                </w:rPr>
                <m:t>e</m:t>
              </m:r>
              <m:ctrlPr>
                <w:rPr>
                  <w:rFonts w:ascii="Cambria Math" w:eastAsiaTheme="minorHAnsi" w:hAnsi="Cambria Math"/>
                  <w:sz w:val="22"/>
                  <w:szCs w:val="22"/>
                </w:rPr>
              </m:ctrlPr>
            </m:e>
            <m:sup>
              <m:sSub>
                <m:sSubPr>
                  <m:ctrlPr>
                    <w:rPr>
                      <w:rFonts w:ascii="Cambria Math" w:eastAsiaTheme="minorHAnsi" w:hAnsi="Cambria Math"/>
                      <w:i/>
                      <w:sz w:val="22"/>
                      <w:szCs w:val="22"/>
                    </w:rPr>
                  </m:ctrlPr>
                </m:sSubPr>
                <m:e>
                  <m:r>
                    <m:rPr>
                      <m:sty m:val="p"/>
                    </m:rPr>
                    <w:rPr>
                      <w:rFonts w:ascii="Cambria Math" w:eastAsiaTheme="minorHAnsi" w:hAnsi="Cambria Math"/>
                      <w:sz w:val="22"/>
                      <w:szCs w:val="22"/>
                    </w:rPr>
                    <m:t>η</m:t>
                  </m:r>
                </m:e>
                <m:sub>
                  <m:r>
                    <w:rPr>
                      <w:rFonts w:ascii="Cambria Math" w:eastAsiaTheme="minorHAnsi" w:hAnsi="Cambria Math"/>
                      <w:sz w:val="22"/>
                      <w:szCs w:val="22"/>
                    </w:rPr>
                    <m:t>CL</m:t>
                  </m:r>
                </m:sub>
              </m:sSub>
            </m:sup>
          </m:sSup>
        </m:oMath>
      </m:oMathPara>
    </w:p>
    <w:p w14:paraId="2BB78C05" w14:textId="77777777" w:rsidR="0035421A" w:rsidRDefault="0035421A" w:rsidP="0035421A">
      <w:pPr>
        <w:jc w:val="both"/>
        <w:rPr>
          <w:sz w:val="22"/>
          <w:szCs w:val="22"/>
        </w:rPr>
      </w:pPr>
    </w:p>
    <w:p w14:paraId="45E496E8" w14:textId="2F79A6E3" w:rsidR="0035421A" w:rsidRPr="0035421A" w:rsidRDefault="0035421A" w:rsidP="0035421A">
      <w:pPr>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θ</m:t>
              </m:r>
            </m:e>
            <m:sub>
              <m:r>
                <w:rPr>
                  <w:rFonts w:ascii="Cambria Math" w:hAnsi="Cambria Math"/>
                  <w:sz w:val="22"/>
                  <w:szCs w:val="22"/>
                </w:rPr>
                <m:t>V1</m:t>
              </m:r>
            </m:sub>
          </m:sSub>
          <m:r>
            <m:rPr>
              <m:sty m:val="p"/>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WT</m:t>
                      </m:r>
                      <m:ctrlPr>
                        <w:rPr>
                          <w:rFonts w:ascii="Cambria Math" w:hAnsi="Cambria Math"/>
                          <w:i/>
                          <w:sz w:val="22"/>
                          <w:szCs w:val="22"/>
                        </w:rPr>
                      </m:ctrlPr>
                    </m:num>
                    <m:den>
                      <m:r>
                        <w:rPr>
                          <w:rFonts w:ascii="Cambria Math" w:hAnsi="Cambria Math"/>
                          <w:sz w:val="22"/>
                          <w:szCs w:val="22"/>
                        </w:rPr>
                        <m:t>70</m:t>
                      </m:r>
                      <m:ctrlPr>
                        <w:rPr>
                          <w:rFonts w:ascii="Cambria Math" w:hAnsi="Cambria Math"/>
                          <w:i/>
                          <w:sz w:val="22"/>
                          <w:szCs w:val="22"/>
                        </w:rPr>
                      </m:ctrlPr>
                    </m:den>
                  </m:f>
                  <m:ctrlPr>
                    <w:rPr>
                      <w:rFonts w:ascii="Cambria Math" w:hAnsi="Cambria Math"/>
                      <w:i/>
                      <w:sz w:val="22"/>
                      <w:szCs w:val="22"/>
                    </w:rPr>
                  </m:ctrlPr>
                </m:e>
              </m:d>
              <m:ctrlPr>
                <w:rPr>
                  <w:rFonts w:ascii="Cambria Math" w:hAnsi="Cambria Math"/>
                  <w:sz w:val="22"/>
                  <w:szCs w:val="22"/>
                </w:rPr>
              </m:ctrlPr>
            </m:e>
            <m:sup>
              <m:r>
                <w:rPr>
                  <w:rFonts w:ascii="Cambria Math" w:hAnsi="Cambria Math"/>
                  <w:sz w:val="22"/>
                  <w:szCs w:val="22"/>
                </w:rPr>
                <m:t>1.0</m:t>
              </m:r>
            </m:sup>
          </m:sSup>
          <m:r>
            <m:rPr>
              <m:sty m:val="p"/>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e</m:t>
              </m:r>
              <m:ctrlPr>
                <w:rPr>
                  <w:rFonts w:ascii="Cambria Math" w:hAnsi="Cambria Math"/>
                  <w:sz w:val="22"/>
                  <w:szCs w:val="22"/>
                </w:rPr>
              </m:ctrlPr>
            </m:e>
            <m:sup>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V1</m:t>
                  </m:r>
                </m:sub>
              </m:sSub>
            </m:sup>
          </m:sSup>
        </m:oMath>
      </m:oMathPara>
    </w:p>
    <w:p w14:paraId="18CE878F" w14:textId="77777777" w:rsidR="0035421A" w:rsidRPr="0035421A" w:rsidRDefault="0035421A" w:rsidP="0035421A">
      <w:pPr>
        <w:jc w:val="both"/>
        <w:rPr>
          <w:sz w:val="22"/>
          <w:szCs w:val="22"/>
        </w:rPr>
      </w:pPr>
    </w:p>
    <w:p w14:paraId="3A65B8FB" w14:textId="116163F1" w:rsidR="0035421A" w:rsidRPr="0035421A" w:rsidRDefault="0035421A" w:rsidP="0035421A">
      <w:pPr>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θ</m:t>
              </m:r>
            </m:e>
            <m:sub>
              <m:r>
                <w:rPr>
                  <w:rFonts w:ascii="Cambria Math" w:hAnsi="Cambria Math"/>
                  <w:sz w:val="22"/>
                  <w:szCs w:val="22"/>
                </w:rPr>
                <m:t>V2</m:t>
              </m:r>
            </m:sub>
          </m:sSub>
          <m:r>
            <m:rPr>
              <m:sty m:val="p"/>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WT</m:t>
                      </m:r>
                      <m:ctrlPr>
                        <w:rPr>
                          <w:rFonts w:ascii="Cambria Math" w:hAnsi="Cambria Math"/>
                          <w:i/>
                          <w:sz w:val="22"/>
                          <w:szCs w:val="22"/>
                        </w:rPr>
                      </m:ctrlPr>
                    </m:num>
                    <m:den>
                      <m:r>
                        <w:rPr>
                          <w:rFonts w:ascii="Cambria Math" w:hAnsi="Cambria Math"/>
                          <w:sz w:val="22"/>
                          <w:szCs w:val="22"/>
                        </w:rPr>
                        <m:t>70</m:t>
                      </m:r>
                      <m:ctrlPr>
                        <w:rPr>
                          <w:rFonts w:ascii="Cambria Math" w:hAnsi="Cambria Math"/>
                          <w:i/>
                          <w:sz w:val="22"/>
                          <w:szCs w:val="22"/>
                        </w:rPr>
                      </m:ctrlPr>
                    </m:den>
                  </m:f>
                  <m:ctrlPr>
                    <w:rPr>
                      <w:rFonts w:ascii="Cambria Math" w:hAnsi="Cambria Math"/>
                      <w:i/>
                      <w:sz w:val="22"/>
                      <w:szCs w:val="22"/>
                    </w:rPr>
                  </m:ctrlPr>
                </m:e>
              </m:d>
              <m:ctrlPr>
                <w:rPr>
                  <w:rFonts w:ascii="Cambria Math" w:hAnsi="Cambria Math"/>
                  <w:sz w:val="22"/>
                  <w:szCs w:val="22"/>
                </w:rPr>
              </m:ctrlPr>
            </m:e>
            <m:sup>
              <m:r>
                <w:rPr>
                  <w:rFonts w:ascii="Cambria Math" w:hAnsi="Cambria Math"/>
                  <w:sz w:val="22"/>
                  <w:szCs w:val="22"/>
                </w:rPr>
                <m:t>1.0</m:t>
              </m:r>
            </m:sup>
          </m:sSup>
          <m:r>
            <m:rPr>
              <m:sty m:val="p"/>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e</m:t>
              </m:r>
              <m:ctrlPr>
                <w:rPr>
                  <w:rFonts w:ascii="Cambria Math" w:hAnsi="Cambria Math"/>
                  <w:sz w:val="22"/>
                  <w:szCs w:val="22"/>
                </w:rPr>
              </m:ctrlPr>
            </m:e>
            <m:sup>
              <m:sSub>
                <m:sSubPr>
                  <m:ctrlPr>
                    <w:rPr>
                      <w:rFonts w:ascii="Cambria Math" w:hAnsi="Cambria Math"/>
                      <w:i/>
                      <w:sz w:val="22"/>
                      <w:szCs w:val="22"/>
                    </w:rPr>
                  </m:ctrlPr>
                </m:sSubPr>
                <m:e>
                  <m:r>
                    <m:rPr>
                      <m:sty m:val="p"/>
                    </m:rPr>
                    <w:rPr>
                      <w:rFonts w:ascii="Cambria Math" w:hAnsi="Cambria Math"/>
                      <w:sz w:val="22"/>
                      <w:szCs w:val="22"/>
                    </w:rPr>
                    <m:t>η</m:t>
                  </m:r>
                </m:e>
                <m:sub>
                  <m:r>
                    <w:rPr>
                      <w:rFonts w:ascii="Cambria Math" w:hAnsi="Cambria Math"/>
                      <w:sz w:val="22"/>
                      <w:szCs w:val="22"/>
                    </w:rPr>
                    <m:t>V2</m:t>
                  </m:r>
                </m:sub>
              </m:sSub>
            </m:sup>
          </m:sSup>
        </m:oMath>
      </m:oMathPara>
    </w:p>
    <w:p w14:paraId="71167847" w14:textId="77777777" w:rsidR="0035421A" w:rsidRDefault="0035421A" w:rsidP="0035421A">
      <w:pPr>
        <w:jc w:val="both"/>
        <w:rPr>
          <w:sz w:val="22"/>
          <w:szCs w:val="22"/>
        </w:rPr>
      </w:pPr>
    </w:p>
    <w:p w14:paraId="46D61BCD" w14:textId="77777777" w:rsidR="0035421A" w:rsidRPr="0035421A" w:rsidRDefault="0035421A" w:rsidP="0035421A">
      <w:pPr>
        <w:jc w:val="both"/>
        <w:rPr>
          <w:sz w:val="22"/>
          <w:szCs w:val="22"/>
        </w:rPr>
      </w:pPr>
      <m:oMathPara>
        <m:oMath>
          <m:r>
            <w:rPr>
              <w:rFonts w:ascii="Cambria Math" w:hAnsi="Cambria Math"/>
              <w:sz w:val="22"/>
              <w:szCs w:val="22"/>
            </w:rPr>
            <m:t>Q=</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Q</m:t>
              </m:r>
            </m:sub>
          </m:sSub>
          <m:r>
            <m:rPr>
              <m:sty m:val="p"/>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WT</m:t>
                      </m:r>
                      <m:ctrlPr>
                        <w:rPr>
                          <w:rFonts w:ascii="Cambria Math" w:hAnsi="Cambria Math"/>
                          <w:i/>
                          <w:sz w:val="22"/>
                          <w:szCs w:val="22"/>
                        </w:rPr>
                      </m:ctrlPr>
                    </m:num>
                    <m:den>
                      <m:r>
                        <w:rPr>
                          <w:rFonts w:ascii="Cambria Math" w:hAnsi="Cambria Math"/>
                          <w:sz w:val="22"/>
                          <w:szCs w:val="22"/>
                        </w:rPr>
                        <m:t>70</m:t>
                      </m:r>
                      <m:ctrlPr>
                        <w:rPr>
                          <w:rFonts w:ascii="Cambria Math" w:hAnsi="Cambria Math"/>
                          <w:i/>
                          <w:sz w:val="22"/>
                          <w:szCs w:val="22"/>
                        </w:rPr>
                      </m:ctrlPr>
                    </m:den>
                  </m:f>
                  <m:ctrlPr>
                    <w:rPr>
                      <w:rFonts w:ascii="Cambria Math" w:hAnsi="Cambria Math"/>
                      <w:i/>
                      <w:sz w:val="22"/>
                      <w:szCs w:val="22"/>
                    </w:rPr>
                  </m:ctrlPr>
                </m:e>
              </m:d>
              <m:ctrlPr>
                <w:rPr>
                  <w:rFonts w:ascii="Cambria Math" w:hAnsi="Cambria Math"/>
                  <w:sz w:val="22"/>
                  <w:szCs w:val="22"/>
                </w:rPr>
              </m:ctrlPr>
            </m:e>
            <m:sup>
              <m:r>
                <w:rPr>
                  <w:rFonts w:ascii="Cambria Math" w:hAnsi="Cambria Math"/>
                  <w:sz w:val="22"/>
                  <w:szCs w:val="22"/>
                </w:rPr>
                <m:t>0.75</m:t>
              </m:r>
            </m:sup>
          </m:sSup>
          <m:r>
            <m:rPr>
              <m:sty m:val="p"/>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e</m:t>
              </m:r>
              <m:ctrlPr>
                <w:rPr>
                  <w:rFonts w:ascii="Cambria Math" w:hAnsi="Cambria Math"/>
                  <w:sz w:val="22"/>
                  <w:szCs w:val="22"/>
                </w:rPr>
              </m:ctrlPr>
            </m:e>
            <m:sup>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Q</m:t>
                  </m:r>
                </m:sub>
              </m:sSub>
            </m:sup>
          </m:sSup>
        </m:oMath>
      </m:oMathPara>
    </w:p>
    <w:p w14:paraId="59CDCA48" w14:textId="77777777" w:rsidR="0035421A" w:rsidRDefault="0035421A" w:rsidP="0035421A">
      <w:pPr>
        <w:jc w:val="both"/>
        <w:rPr>
          <w:sz w:val="22"/>
          <w:szCs w:val="22"/>
        </w:rPr>
      </w:pPr>
    </w:p>
    <w:p w14:paraId="37F3E8F7" w14:textId="317955AD" w:rsidR="0035421A" w:rsidRDefault="0035421A" w:rsidP="0035421A">
      <w:pPr>
        <w:jc w:val="both"/>
        <w:rPr>
          <w:sz w:val="22"/>
          <w:szCs w:val="22"/>
        </w:rPr>
      </w:pPr>
      <w:r>
        <w:rPr>
          <w:sz w:val="22"/>
          <w:szCs w:val="22"/>
        </w:rPr>
        <w:t>Where:</w:t>
      </w:r>
    </w:p>
    <w:p w14:paraId="713AFFA4" w14:textId="77777777" w:rsidR="0035421A" w:rsidRPr="00C17E9E" w:rsidRDefault="0035421A" w:rsidP="0035421A">
      <w:pPr>
        <w:numPr>
          <w:ilvl w:val="0"/>
          <w:numId w:val="4"/>
        </w:numPr>
        <w:jc w:val="both"/>
      </w:pPr>
      <w:r w:rsidRPr="00C17E9E">
        <w:t>CL: Total body clearance (L/h)</w:t>
      </w:r>
    </w:p>
    <w:p w14:paraId="7F6E21A6" w14:textId="77777777" w:rsidR="0035421A" w:rsidRPr="00C17E9E" w:rsidRDefault="0035421A" w:rsidP="0035421A">
      <w:pPr>
        <w:numPr>
          <w:ilvl w:val="0"/>
          <w:numId w:val="4"/>
        </w:numPr>
        <w:jc w:val="both"/>
      </w:pPr>
      <w:r w:rsidRPr="00C17E9E">
        <w:t>V1​: Central volume of distribution (L)</w:t>
      </w:r>
    </w:p>
    <w:p w14:paraId="3F0DCCE0" w14:textId="77777777" w:rsidR="0035421A" w:rsidRDefault="0035421A" w:rsidP="0035421A">
      <w:pPr>
        <w:numPr>
          <w:ilvl w:val="0"/>
          <w:numId w:val="4"/>
        </w:numPr>
        <w:jc w:val="both"/>
      </w:pPr>
      <w:r w:rsidRPr="00C17E9E">
        <w:t>V2​: First peripheral volume of distribution (L)</w:t>
      </w:r>
    </w:p>
    <w:p w14:paraId="43EB424C" w14:textId="7B53CC02" w:rsidR="0035421A" w:rsidRPr="00C17E9E" w:rsidRDefault="0035421A" w:rsidP="0035421A">
      <w:pPr>
        <w:numPr>
          <w:ilvl w:val="0"/>
          <w:numId w:val="4"/>
        </w:numPr>
        <w:jc w:val="both"/>
      </w:pPr>
      <w:r>
        <w:t xml:space="preserve">Q: </w:t>
      </w:r>
      <w:r w:rsidR="00FB509B">
        <w:t>I</w:t>
      </w:r>
      <w:r w:rsidR="00FB509B" w:rsidRPr="00FB509B">
        <w:t>ntercompartmental clearance</w:t>
      </w:r>
      <w:r w:rsidR="00FB509B">
        <w:t xml:space="preserve"> (L/h)</w:t>
      </w:r>
    </w:p>
    <w:p w14:paraId="13D7001F" w14:textId="77777777" w:rsidR="0035421A" w:rsidRPr="00C17E9E" w:rsidRDefault="0035421A" w:rsidP="0035421A">
      <w:pPr>
        <w:numPr>
          <w:ilvl w:val="0"/>
          <w:numId w:val="4"/>
        </w:numPr>
        <w:jc w:val="both"/>
      </w:pPr>
      <w:r w:rsidRPr="00D5002C">
        <w:t>W</w:t>
      </w:r>
      <w:r w:rsidRPr="00C17E9E">
        <w:t>T: Body weight (kg)</w:t>
      </w:r>
    </w:p>
    <w:p w14:paraId="118332A8" w14:textId="77777777" w:rsidR="0035421A" w:rsidRPr="0035421A" w:rsidRDefault="0035421A" w:rsidP="0035421A">
      <w:pPr>
        <w:jc w:val="both"/>
        <w:rPr>
          <w:sz w:val="22"/>
          <w:szCs w:val="22"/>
        </w:rPr>
      </w:pPr>
    </w:p>
    <w:p w14:paraId="4A0CF88F" w14:textId="77777777" w:rsidR="0035421A" w:rsidRPr="0035421A" w:rsidRDefault="0035421A" w:rsidP="0035421A">
      <w:pPr>
        <w:jc w:val="both"/>
        <w:rPr>
          <w:sz w:val="22"/>
          <w:szCs w:val="22"/>
        </w:rPr>
      </w:pPr>
    </w:p>
    <w:p w14:paraId="7EFD5F79" w14:textId="77777777" w:rsidR="0035421A" w:rsidRDefault="0035421A" w:rsidP="0035421A">
      <w:pPr>
        <w:jc w:val="both"/>
        <w:rPr>
          <w:rFonts w:eastAsiaTheme="minorHAnsi"/>
          <w:sz w:val="22"/>
          <w:szCs w:val="22"/>
        </w:rPr>
      </w:pPr>
    </w:p>
    <w:p w14:paraId="36D2A453" w14:textId="77777777" w:rsidR="0035421A" w:rsidRPr="00767D5C" w:rsidRDefault="0035421A" w:rsidP="00D5002C">
      <w:pPr>
        <w:jc w:val="both"/>
        <w:rPr>
          <w:b/>
          <w:bCs/>
        </w:rPr>
      </w:pPr>
    </w:p>
    <w:p w14:paraId="74CC1500" w14:textId="77777777" w:rsidR="00767D5C" w:rsidRPr="00D5002C" w:rsidRDefault="00767D5C" w:rsidP="00D5002C">
      <w:pPr>
        <w:jc w:val="both"/>
      </w:pPr>
    </w:p>
    <w:p w14:paraId="0A393DC7" w14:textId="55AA3649" w:rsidR="00D5002C" w:rsidRPr="00D5002C" w:rsidRDefault="00D5002C" w:rsidP="00D5002C">
      <w:pPr>
        <w:jc w:val="both"/>
        <w:rPr>
          <w:b/>
          <w:bCs/>
        </w:rPr>
      </w:pPr>
      <w:r w:rsidRPr="00D5002C">
        <w:rPr>
          <w:b/>
          <w:bCs/>
        </w:rPr>
        <w:t xml:space="preserve">Model averaging </w:t>
      </w:r>
    </w:p>
    <w:p w14:paraId="782641B4" w14:textId="4F4FA133" w:rsidR="00D5002C" w:rsidRDefault="009D1FA3" w:rsidP="00D5002C">
      <w:pPr>
        <w:jc w:val="both"/>
      </w:pPr>
      <w:r w:rsidRPr="009D1FA3">
        <w:t xml:space="preserve">The log-likelihood model averaging method assigns weights to each candidate model based on their relative log-likelihoods. The model weight for model </w:t>
      </w:r>
      <w:proofErr w:type="spellStart"/>
      <w:r w:rsidRPr="009D1FA3">
        <w:rPr>
          <w:i/>
          <w:iCs/>
        </w:rPr>
        <w:t>i</w:t>
      </w:r>
      <w:proofErr w:type="spellEnd"/>
      <w:r w:rsidRPr="009D1FA3">
        <w:t xml:space="preserve"> is calculated using the following formula:</w:t>
      </w:r>
    </w:p>
    <w:p w14:paraId="3EA3D414" w14:textId="77777777" w:rsidR="009D1FA3" w:rsidRDefault="009D1FA3" w:rsidP="00D5002C">
      <w:pPr>
        <w:jc w:val="both"/>
      </w:pPr>
    </w:p>
    <w:p w14:paraId="43F42C56" w14:textId="3829FD60" w:rsidR="009D1FA3" w:rsidRPr="009D1FA3" w:rsidRDefault="00000000" w:rsidP="00D5002C">
      <w:pPr>
        <w:jc w:val="both"/>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LL</m:t>
                          </m:r>
                        </m:e>
                      </m:d>
                    </m:e>
                  </m:func>
                </m:sup>
              </m:sSup>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r>
                        <w:rPr>
                          <w:rFonts w:ascii="Cambria Math" w:hAnsi="Cambria Math"/>
                        </w:rPr>
                        <m:t>e</m:t>
                      </m:r>
                    </m:e>
                    <m:sup>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LL</m:t>
                              </m:r>
                            </m:e>
                          </m:d>
                        </m:e>
                      </m:func>
                    </m:sup>
                  </m:sSup>
                  <m:ctrlPr>
                    <w:rPr>
                      <w:rFonts w:ascii="Cambria Math" w:hAnsi="Cambria Math"/>
                      <w:i/>
                    </w:rPr>
                  </m:ctrlPr>
                </m:e>
              </m:nary>
              <m:ctrlPr>
                <w:rPr>
                  <w:rFonts w:ascii="Cambria Math" w:hAnsi="Cambria Math"/>
                  <w:i/>
                </w:rPr>
              </m:ctrlPr>
            </m:den>
          </m:f>
        </m:oMath>
      </m:oMathPara>
    </w:p>
    <w:p w14:paraId="21F26BF2" w14:textId="77777777" w:rsidR="009D1FA3" w:rsidRDefault="009D1FA3" w:rsidP="00D5002C">
      <w:pPr>
        <w:jc w:val="both"/>
      </w:pPr>
    </w:p>
    <w:p w14:paraId="4322CE4A" w14:textId="77777777" w:rsidR="009D1FA3" w:rsidRPr="009D1FA3" w:rsidRDefault="009D1FA3" w:rsidP="009D1FA3">
      <w:pPr>
        <w:jc w:val="both"/>
        <w:rPr>
          <w:lang w:val="it-IT"/>
        </w:rPr>
      </w:pPr>
      <w:proofErr w:type="spellStart"/>
      <w:r w:rsidRPr="009D1FA3">
        <w:rPr>
          <w:lang w:val="it-IT"/>
        </w:rPr>
        <w:t>Where</w:t>
      </w:r>
      <w:proofErr w:type="spellEnd"/>
      <w:r w:rsidRPr="009D1FA3">
        <w:rPr>
          <w:lang w:val="it-IT"/>
        </w:rPr>
        <w:t>:</w:t>
      </w:r>
    </w:p>
    <w:p w14:paraId="2950BDA8" w14:textId="3AC6469B" w:rsidR="009D1FA3" w:rsidRPr="009D1FA3" w:rsidRDefault="00000000" w:rsidP="009D1FA3">
      <w:pPr>
        <w:numPr>
          <w:ilvl w:val="0"/>
          <w:numId w:val="6"/>
        </w:numPr>
        <w:jc w:val="both"/>
      </w:pP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9D1FA3" w:rsidRPr="009D1FA3">
        <w:t xml:space="preserve"> ​ is the weight for model </w:t>
      </w:r>
      <w:proofErr w:type="spellStart"/>
      <w:r w:rsidR="009D1FA3" w:rsidRPr="009D1FA3">
        <w:rPr>
          <w:i/>
          <w:iCs/>
        </w:rPr>
        <w:t>i</w:t>
      </w:r>
      <w:proofErr w:type="spellEnd"/>
    </w:p>
    <w:p w14:paraId="1988A888" w14:textId="715A9DBB" w:rsidR="009D1FA3" w:rsidRPr="009D1FA3" w:rsidRDefault="00000000" w:rsidP="009D1FA3">
      <w:pPr>
        <w:numPr>
          <w:ilvl w:val="0"/>
          <w:numId w:val="6"/>
        </w:numPr>
        <w:jc w:val="both"/>
      </w:pPr>
      <m:oMath>
        <m:sSub>
          <m:sSubPr>
            <m:ctrlPr>
              <w:rPr>
                <w:rFonts w:ascii="Cambria Math" w:hAnsi="Cambria Math"/>
                <w:i/>
              </w:rPr>
            </m:ctrlPr>
          </m:sSubPr>
          <m:e>
            <m:r>
              <w:rPr>
                <w:rFonts w:ascii="Cambria Math" w:hAnsi="Cambria Math"/>
              </w:rPr>
              <m:t>LL</m:t>
            </m:r>
          </m:e>
          <m:sub>
            <m:r>
              <w:rPr>
                <w:rFonts w:ascii="Cambria Math" w:hAnsi="Cambria Math"/>
              </w:rPr>
              <m:t>i</m:t>
            </m:r>
          </m:sub>
        </m:sSub>
      </m:oMath>
      <w:r w:rsidR="009D1FA3" w:rsidRPr="009D1FA3">
        <w:t xml:space="preserve"> ​ is the log-likelihood of model </w:t>
      </w:r>
      <w:proofErr w:type="spellStart"/>
      <w:r w:rsidR="009D1FA3" w:rsidRPr="009D1FA3">
        <w:rPr>
          <w:i/>
          <w:iCs/>
        </w:rPr>
        <w:t>i</w:t>
      </w:r>
      <w:proofErr w:type="spellEnd"/>
    </w:p>
    <w:p w14:paraId="2AB61C5C" w14:textId="1EF64C2F" w:rsidR="009D1FA3" w:rsidRPr="009D1FA3" w:rsidRDefault="009D1FA3" w:rsidP="009D1FA3">
      <w:pPr>
        <w:numPr>
          <w:ilvl w:val="0"/>
          <w:numId w:val="6"/>
        </w:numPr>
        <w:jc w:val="both"/>
      </w:pPr>
      <m:oMath>
        <m:r>
          <w:rPr>
            <w:rFonts w:ascii="Cambria Math" w:hAnsi="Cambria Math"/>
          </w:rPr>
          <m:t xml:space="preserve">max(LL) </m:t>
        </m:r>
      </m:oMath>
      <w:r w:rsidRPr="009D1FA3">
        <w:t>is the maximum log-likelihood among all candidate models</w:t>
      </w:r>
    </w:p>
    <w:p w14:paraId="5A4E33CF" w14:textId="0C0BA5EC" w:rsidR="009D1FA3" w:rsidRPr="009D1FA3" w:rsidRDefault="009D1FA3" w:rsidP="009D1FA3">
      <w:pPr>
        <w:numPr>
          <w:ilvl w:val="0"/>
          <w:numId w:val="6"/>
        </w:numPr>
        <w:jc w:val="both"/>
      </w:pPr>
      <w:r w:rsidRPr="009D1FA3">
        <w:rPr>
          <w:i/>
          <w:iCs/>
        </w:rPr>
        <w:t>n</w:t>
      </w:r>
      <w:r w:rsidRPr="009D1FA3">
        <w:t xml:space="preserve"> is the total number of models</w:t>
      </w:r>
    </w:p>
    <w:p w14:paraId="3982225C" w14:textId="6237AB82" w:rsidR="009D1FA3" w:rsidRPr="00D5002C" w:rsidRDefault="009D1FA3" w:rsidP="00D5002C">
      <w:pPr>
        <w:jc w:val="both"/>
      </w:pPr>
      <w:r w:rsidRPr="009D1FA3">
        <w:t>This weighting is then used to compute model-averaged predictions by combining individual model predictions according to their respective weights.</w:t>
      </w:r>
    </w:p>
    <w:p w14:paraId="0ED951E0" w14:textId="77777777" w:rsidR="00D5002C" w:rsidRPr="00D5002C" w:rsidRDefault="00D5002C" w:rsidP="00D5002C">
      <w:pPr>
        <w:jc w:val="both"/>
      </w:pPr>
    </w:p>
    <w:p w14:paraId="4A9D7683" w14:textId="1231124F" w:rsidR="00D5002C" w:rsidRPr="00D5002C" w:rsidRDefault="00D5002C" w:rsidP="00D5002C">
      <w:pPr>
        <w:jc w:val="both"/>
        <w:rPr>
          <w:b/>
          <w:bCs/>
        </w:rPr>
      </w:pPr>
      <w:r w:rsidRPr="00D5002C">
        <w:rPr>
          <w:b/>
          <w:bCs/>
        </w:rPr>
        <w:t>Metrics evaluated</w:t>
      </w:r>
    </w:p>
    <w:p w14:paraId="6647105C" w14:textId="24C899DF" w:rsidR="00D5002C" w:rsidRPr="00D5002C" w:rsidRDefault="00D5002C" w:rsidP="00D5002C">
      <w:pPr>
        <w:pStyle w:val="NormaleWeb"/>
        <w:jc w:val="both"/>
      </w:pPr>
      <w:r w:rsidRPr="00D5002C">
        <w:rPr>
          <w:rFonts w:asciiTheme="minorHAnsi" w:eastAsiaTheme="minorHAnsi" w:hAnsiTheme="minorHAnsi" w:cstheme="minorBidi"/>
          <w:sz w:val="22"/>
          <w:szCs w:val="22"/>
        </w:rPr>
        <w:t xml:space="preserve">The predicted concentrations from the </w:t>
      </w:r>
      <w:r w:rsidR="00767D5C">
        <w:rPr>
          <w:rFonts w:asciiTheme="minorHAnsi" w:eastAsiaTheme="minorHAnsi" w:hAnsiTheme="minorHAnsi" w:cstheme="minorBidi"/>
          <w:sz w:val="22"/>
          <w:szCs w:val="22"/>
        </w:rPr>
        <w:t>best fitted model are</w:t>
      </w:r>
      <w:r w:rsidRPr="00D5002C">
        <w:rPr>
          <w:rFonts w:asciiTheme="minorHAnsi" w:eastAsiaTheme="minorHAnsi" w:hAnsiTheme="minorHAnsi" w:cstheme="minorBidi"/>
          <w:sz w:val="22"/>
          <w:szCs w:val="22"/>
        </w:rPr>
        <w:t xml:space="preserve"> compared with observed concentrations by calculating relative bias (</w:t>
      </w:r>
      <w:proofErr w:type="spellStart"/>
      <w:r w:rsidRPr="00D5002C">
        <w:rPr>
          <w:rFonts w:asciiTheme="minorHAnsi" w:eastAsiaTheme="minorHAnsi" w:hAnsiTheme="minorHAnsi" w:cstheme="minorBidi"/>
          <w:sz w:val="22"/>
          <w:szCs w:val="22"/>
        </w:rPr>
        <w:t>rBias</w:t>
      </w:r>
      <w:proofErr w:type="spellEnd"/>
      <w:r w:rsidRPr="00D5002C">
        <w:rPr>
          <w:rFonts w:asciiTheme="minorHAnsi" w:eastAsiaTheme="minorHAnsi" w:hAnsiTheme="minorHAnsi" w:cstheme="minorBidi"/>
          <w:sz w:val="22"/>
          <w:szCs w:val="22"/>
        </w:rPr>
        <w:t>) and relative root mean squared error (</w:t>
      </w:r>
      <w:proofErr w:type="spellStart"/>
      <w:r w:rsidRPr="00D5002C">
        <w:rPr>
          <w:rFonts w:asciiTheme="minorHAnsi" w:eastAsiaTheme="minorHAnsi" w:hAnsiTheme="minorHAnsi" w:cstheme="minorBidi"/>
          <w:sz w:val="22"/>
          <w:szCs w:val="22"/>
        </w:rPr>
        <w:t>rRMSE</w:t>
      </w:r>
      <w:proofErr w:type="spellEnd"/>
      <w:r w:rsidRPr="00D5002C">
        <w:rPr>
          <w:rFonts w:asciiTheme="minorHAnsi" w:eastAsiaTheme="minorHAnsi" w:hAnsiTheme="minorHAnsi" w:cstheme="minorBidi"/>
          <w:sz w:val="22"/>
          <w:szCs w:val="22"/>
        </w:rPr>
        <w:t>) as follows:</w:t>
      </w:r>
    </w:p>
    <w:p w14:paraId="4F4B7655" w14:textId="77777777" w:rsidR="00D5002C" w:rsidRPr="00D5002C" w:rsidRDefault="00D5002C" w:rsidP="00D5002C">
      <w:pPr>
        <w:jc w:val="both"/>
      </w:pPr>
      <m:oMathPara>
        <m:oMath>
          <m:r>
            <w:rPr>
              <w:rFonts w:ascii="Cambria Math" w:hAnsi="Cambria Math"/>
            </w:rPr>
            <m:t>rBias=</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1</m:t>
              </m:r>
            </m:sub>
            <m:sup>
              <m:r>
                <w:rPr>
                  <w:rFonts w:ascii="Cambria Math" w:hAnsi="Cambria Math"/>
                </w:rPr>
                <m:t>i</m:t>
              </m:r>
            </m:sup>
            <m:e>
              <m:f>
                <m:fPr>
                  <m:ctrlPr>
                    <w:rPr>
                      <w:rFonts w:ascii="Cambria Math" w:hAnsi="Cambria Math"/>
                      <w:i/>
                    </w:rPr>
                  </m:ctrlPr>
                </m:fPr>
                <m:num>
                  <m:sSub>
                    <m:sSubPr>
                      <m:ctrlPr>
                        <w:rPr>
                          <w:rFonts w:ascii="Cambria Math" w:hAnsi="Cambria Math"/>
                          <w:i/>
                        </w:rPr>
                      </m:ctrlPr>
                    </m:sSubPr>
                    <m:e>
                      <m:r>
                        <w:rPr>
                          <w:rFonts w:ascii="Cambria Math" w:hAnsi="Cambria Math"/>
                        </w:rPr>
                        <m:t>predicted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observed</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predicted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observed</m:t>
                      </m:r>
                    </m:e>
                    <m:sub>
                      <m:r>
                        <w:rPr>
                          <w:rFonts w:ascii="Cambria Math" w:hAnsi="Cambria Math"/>
                        </w:rPr>
                        <m:t>i</m:t>
                      </m:r>
                    </m:sub>
                  </m:sSub>
                  <m:r>
                    <w:rPr>
                      <w:rFonts w:ascii="Cambria Math" w:hAnsi="Cambria Math"/>
                    </w:rPr>
                    <m:t>)/2</m:t>
                  </m:r>
                </m:den>
              </m:f>
            </m:e>
          </m:nary>
          <m:r>
            <w:rPr>
              <w:rFonts w:ascii="Cambria Math" w:hAnsi="Cambria Math"/>
            </w:rPr>
            <m:t>*100</m:t>
          </m:r>
        </m:oMath>
      </m:oMathPara>
    </w:p>
    <w:p w14:paraId="1D077DB6" w14:textId="77777777" w:rsidR="00D5002C" w:rsidRPr="00D5002C" w:rsidRDefault="00D5002C" w:rsidP="00D5002C">
      <w:pPr>
        <w:jc w:val="both"/>
      </w:pPr>
    </w:p>
    <w:p w14:paraId="436E78FF" w14:textId="77777777" w:rsidR="00D5002C" w:rsidRPr="00D5002C" w:rsidRDefault="00D5002C" w:rsidP="00D5002C">
      <w:pPr>
        <w:jc w:val="both"/>
      </w:pPr>
      <m:oMathPara>
        <m:oMath>
          <m:r>
            <w:rPr>
              <w:rFonts w:ascii="Cambria Math" w:hAnsi="Cambria Math"/>
            </w:rPr>
            <m:t>rRMSE=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1</m:t>
                  </m:r>
                </m:sub>
                <m:sup>
                  <m:r>
                    <w:rPr>
                      <w:rFonts w:ascii="Cambria Math" w:hAnsi="Cambria Math"/>
                    </w:rPr>
                    <m:t>i</m:t>
                  </m:r>
                </m:sup>
                <m:e>
                  <m:f>
                    <m:fPr>
                      <m:ctrlPr>
                        <w:rPr>
                          <w:rFonts w:ascii="Cambria Math" w:hAnsi="Cambria Math"/>
                          <w:i/>
                        </w:rPr>
                      </m:ctrlPr>
                    </m:fPr>
                    <m:num>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predicted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observed</m:t>
                              </m:r>
                            </m:e>
                            <m:sub>
                              <m:r>
                                <w:rPr>
                                  <w:rFonts w:ascii="Cambria Math" w:hAnsi="Cambria Math"/>
                                </w:rPr>
                                <m:t>i</m:t>
                              </m:r>
                            </m:sub>
                          </m:sSub>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predicted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observed</m:t>
                              </m:r>
                            </m:e>
                            <m:sub>
                              <m:r>
                                <w:rPr>
                                  <w:rFonts w:ascii="Cambria Math" w:hAnsi="Cambria Math"/>
                                </w:rPr>
                                <m:t>i</m:t>
                              </m:r>
                            </m:sub>
                          </m:sSub>
                          <m:r>
                            <w:rPr>
                              <w:rFonts w:ascii="Cambria Math" w:hAnsi="Cambria Math"/>
                            </w:rPr>
                            <m:t>)/2)</m:t>
                          </m:r>
                        </m:e>
                        <m:sup>
                          <m:r>
                            <w:rPr>
                              <w:rFonts w:ascii="Cambria Math" w:hAnsi="Cambria Math"/>
                            </w:rPr>
                            <m:t>2</m:t>
                          </m:r>
                        </m:sup>
                      </m:sSup>
                    </m:den>
                  </m:f>
                </m:e>
              </m:nary>
            </m:e>
          </m:rad>
          <m:r>
            <w:rPr>
              <w:rFonts w:ascii="Cambria Math" w:hAnsi="Cambria Math"/>
            </w:rPr>
            <m:t>*100</m:t>
          </m:r>
        </m:oMath>
      </m:oMathPara>
    </w:p>
    <w:p w14:paraId="0024AC3A" w14:textId="77777777" w:rsidR="00D5002C" w:rsidRPr="00D5002C" w:rsidRDefault="00D5002C" w:rsidP="00D5002C">
      <w:pPr>
        <w:jc w:val="both"/>
      </w:pPr>
    </w:p>
    <w:p w14:paraId="19EFDB87" w14:textId="77777777" w:rsidR="00D5002C" w:rsidRPr="00D5002C" w:rsidRDefault="00D5002C" w:rsidP="00D5002C">
      <w:pPr>
        <w:jc w:val="both"/>
      </w:pPr>
      <w:r w:rsidRPr="00D5002C">
        <w:t xml:space="preserve">Where  </w:t>
      </w:r>
      <m:oMath>
        <m:r>
          <w:rPr>
            <w:rFonts w:ascii="Cambria Math" w:hAnsi="Cambria Math"/>
          </w:rPr>
          <m:t>N</m:t>
        </m:r>
      </m:oMath>
      <w:r w:rsidRPr="00D5002C">
        <w:t xml:space="preserve"> is the number of observed vancomycin concentration values. For Bayesian estimation of population PK parameters, the </w:t>
      </w:r>
      <w:proofErr w:type="spellStart"/>
      <w:r w:rsidRPr="00D5002C">
        <w:t>posologyr</w:t>
      </w:r>
      <w:proofErr w:type="spellEnd"/>
      <w:r w:rsidRPr="00D5002C">
        <w:t xml:space="preserve"> package was used. </w:t>
      </w:r>
    </w:p>
    <w:p w14:paraId="643F2A4F" w14:textId="77777777" w:rsidR="00D5002C" w:rsidRDefault="00D5002C" w:rsidP="00D5002C">
      <w:pPr>
        <w:jc w:val="both"/>
        <w:rPr>
          <w:lang w:val="en-US"/>
        </w:rPr>
      </w:pPr>
    </w:p>
    <w:p w14:paraId="3E6F0DBE" w14:textId="65F95C56" w:rsidR="009E69EC" w:rsidRPr="00C17E9E" w:rsidRDefault="009E69EC" w:rsidP="00D5002C">
      <w:pPr>
        <w:jc w:val="both"/>
        <w:rPr>
          <w:rFonts w:eastAsiaTheme="minorHAnsi"/>
          <w:sz w:val="22"/>
          <w:szCs w:val="22"/>
        </w:rPr>
      </w:pPr>
    </w:p>
    <w:sectPr w:rsidR="009E69EC" w:rsidRPr="00C17E9E">
      <w:type w:val="continuous"/>
      <w:pgSz w:w="11952" w:h="16848"/>
      <w:pgMar w:top="1440" w:right="1440" w:bottom="1440" w:left="1440" w:header="720" w:footer="720" w:gut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Titolo1"/>
      <w:lvlText w:val="%1."/>
      <w:lvlJc w:val="left"/>
      <w:pPr>
        <w:ind w:left="360"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AF26D6D"/>
    <w:multiLevelType w:val="multilevel"/>
    <w:tmpl w:val="77D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B15529A"/>
    <w:multiLevelType w:val="hybridMultilevel"/>
    <w:tmpl w:val="380484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787465F"/>
    <w:multiLevelType w:val="multilevel"/>
    <w:tmpl w:val="CB5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656826">
    <w:abstractNumId w:val="2"/>
  </w:num>
  <w:num w:numId="2" w16cid:durableId="635182039">
    <w:abstractNumId w:val="3"/>
  </w:num>
  <w:num w:numId="3" w16cid:durableId="560600589">
    <w:abstractNumId w:val="0"/>
  </w:num>
  <w:num w:numId="4" w16cid:durableId="408119265">
    <w:abstractNumId w:val="5"/>
  </w:num>
  <w:num w:numId="5" w16cid:durableId="1584408297">
    <w:abstractNumId w:val="4"/>
  </w:num>
  <w:num w:numId="6" w16cid:durableId="426510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C51"/>
    <w:rsid w:val="0006474C"/>
    <w:rsid w:val="000E4C51"/>
    <w:rsid w:val="00326AB6"/>
    <w:rsid w:val="0033403D"/>
    <w:rsid w:val="0035421A"/>
    <w:rsid w:val="00390701"/>
    <w:rsid w:val="003F5FBF"/>
    <w:rsid w:val="00422E77"/>
    <w:rsid w:val="00500F49"/>
    <w:rsid w:val="00767D5C"/>
    <w:rsid w:val="007C1CC6"/>
    <w:rsid w:val="008B5E43"/>
    <w:rsid w:val="009D1FA3"/>
    <w:rsid w:val="009E69EC"/>
    <w:rsid w:val="00BF2763"/>
    <w:rsid w:val="00C17E9E"/>
    <w:rsid w:val="00CC17D8"/>
    <w:rsid w:val="00D5002C"/>
    <w:rsid w:val="00F20F7A"/>
    <w:rsid w:val="00FB509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2B75"/>
  <w15:docId w15:val="{C3643440-8E2B-4E3A-A771-DA6FDE21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olo2">
    <w:name w:val="heading 2"/>
    <w:basedOn w:val="Normale"/>
    <w:next w:val="Normale"/>
    <w:link w:val="Titolo2Carattere"/>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olo3">
    <w:name w:val="heading 3"/>
    <w:basedOn w:val="Normale"/>
    <w:next w:val="Normale"/>
    <w:link w:val="Titolo3Carattere"/>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Enfasigrassetto1">
    <w:name w:val="Enfasi (grassetto)1"/>
    <w:basedOn w:val="Carpredefinitoparagrafo"/>
    <w:uiPriority w:val="1"/>
    <w:qFormat/>
    <w:rsid w:val="007B3E96"/>
    <w:rPr>
      <w:b/>
    </w:rPr>
  </w:style>
  <w:style w:type="paragraph" w:customStyle="1" w:styleId="centered">
    <w:name w:val="centered"/>
    <w:basedOn w:val="Normale"/>
    <w:qFormat/>
    <w:rsid w:val="001D75AB"/>
    <w:pPr>
      <w:jc w:val="center"/>
    </w:pPr>
  </w:style>
  <w:style w:type="table" w:customStyle="1" w:styleId="tabletemplate">
    <w:name w:val="table_template"/>
    <w:basedOn w:val="Tabellanormale"/>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Elencochiaro-Colore2">
    <w:name w:val="Light List Accent 2"/>
    <w:basedOn w:val="Tabellanormale"/>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olo1Carattere">
    <w:name w:val="Titolo 1 Carattere"/>
    <w:basedOn w:val="Carpredefinitoparagrafo"/>
    <w:link w:val="Titolo1"/>
    <w:uiPriority w:val="9"/>
    <w:rsid w:val="00362E65"/>
    <w:rPr>
      <w:rFonts w:asciiTheme="majorHAnsi" w:eastAsiaTheme="majorEastAsia" w:hAnsiTheme="majorHAnsi" w:cstheme="majorBidi"/>
      <w:b/>
      <w:bCs/>
      <w:sz w:val="32"/>
      <w:szCs w:val="32"/>
    </w:rPr>
  </w:style>
  <w:style w:type="character" w:customStyle="1" w:styleId="Titolo2Carattere">
    <w:name w:val="Titolo 2 Carattere"/>
    <w:basedOn w:val="Carpredefinitoparagrafo"/>
    <w:link w:val="Titolo2"/>
    <w:uiPriority w:val="9"/>
    <w:semiHidden/>
    <w:rsid w:val="00362E65"/>
    <w:rPr>
      <w:rFonts w:asciiTheme="majorHAnsi" w:eastAsiaTheme="majorEastAsia" w:hAnsiTheme="majorHAnsi" w:cstheme="majorBidi"/>
      <w:b/>
      <w:bCs/>
      <w:sz w:val="26"/>
      <w:szCs w:val="26"/>
    </w:rPr>
  </w:style>
  <w:style w:type="character" w:customStyle="1" w:styleId="Titolo3Carattere">
    <w:name w:val="Titolo 3 Carattere"/>
    <w:basedOn w:val="Carpredefinitoparagrafo"/>
    <w:link w:val="Titolo3"/>
    <w:uiPriority w:val="9"/>
    <w:semiHidden/>
    <w:rsid w:val="00362E65"/>
    <w:rPr>
      <w:rFonts w:asciiTheme="majorHAnsi" w:eastAsiaTheme="majorEastAsia" w:hAnsiTheme="majorHAnsi" w:cstheme="majorBidi"/>
      <w:b/>
      <w:bCs/>
    </w:rPr>
  </w:style>
  <w:style w:type="paragraph" w:customStyle="1" w:styleId="ImageCaption">
    <w:name w:val="Image Caption"/>
    <w:basedOn w:val="Normale"/>
    <w:qFormat/>
    <w:rsid w:val="00AE18EF"/>
    <w:pPr>
      <w:jc w:val="center"/>
    </w:pPr>
    <w:rPr>
      <w:b/>
      <w:i/>
    </w:rPr>
  </w:style>
  <w:style w:type="paragraph" w:customStyle="1" w:styleId="TableCaption">
    <w:name w:val="Table Caption"/>
    <w:basedOn w:val="ImageCaption"/>
    <w:qFormat/>
    <w:rsid w:val="00AE18EF"/>
  </w:style>
  <w:style w:type="table" w:styleId="Tabellaprofessionale">
    <w:name w:val="Table Professional"/>
    <w:basedOn w:val="Tabellanormale"/>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Sommario1">
    <w:name w:val="toc 1"/>
    <w:basedOn w:val="Normale"/>
    <w:next w:val="Normale"/>
    <w:autoRedefine/>
    <w:uiPriority w:val="39"/>
    <w:unhideWhenUsed/>
    <w:rsid w:val="00FB63E7"/>
    <w:pPr>
      <w:spacing w:after="100"/>
    </w:pPr>
  </w:style>
  <w:style w:type="paragraph" w:styleId="Sommario2">
    <w:name w:val="toc 2"/>
    <w:basedOn w:val="Normale"/>
    <w:next w:val="Normale"/>
    <w:autoRedefine/>
    <w:uiPriority w:val="39"/>
    <w:unhideWhenUsed/>
    <w:rsid w:val="00FB63E7"/>
    <w:pPr>
      <w:spacing w:after="100"/>
      <w:ind w:left="240"/>
    </w:pPr>
  </w:style>
  <w:style w:type="paragraph" w:styleId="Testofumetto">
    <w:name w:val="Balloon Text"/>
    <w:basedOn w:val="Normale"/>
    <w:link w:val="TestofumettoCarattere"/>
    <w:uiPriority w:val="99"/>
    <w:semiHidden/>
    <w:unhideWhenUsed/>
    <w:rsid w:val="00FB63E7"/>
    <w:rPr>
      <w:rFonts w:ascii="Lucida Grande" w:hAnsi="Lucida Grande"/>
      <w:sz w:val="18"/>
      <w:szCs w:val="18"/>
    </w:rPr>
  </w:style>
  <w:style w:type="character" w:customStyle="1" w:styleId="TestofumettoCarattere">
    <w:name w:val="Testo fumetto Carattere"/>
    <w:basedOn w:val="Carpredefinitoparagrafo"/>
    <w:link w:val="Testofumetto"/>
    <w:uiPriority w:val="99"/>
    <w:semiHidden/>
    <w:rsid w:val="00FB63E7"/>
    <w:rPr>
      <w:rFonts w:ascii="Lucida Grande" w:hAnsi="Lucida Grande"/>
      <w:sz w:val="18"/>
      <w:szCs w:val="18"/>
    </w:rPr>
  </w:style>
  <w:style w:type="character" w:customStyle="1" w:styleId="referenceid">
    <w:name w:val="reference_id"/>
    <w:basedOn w:val="Carpredefinitoparagrafo"/>
    <w:uiPriority w:val="1"/>
    <w:rsid w:val="00457CF1"/>
    <w:rPr>
      <w:vertAlign w:val="superscript"/>
    </w:rPr>
  </w:style>
  <w:style w:type="paragraph" w:customStyle="1" w:styleId="graphictitle">
    <w:name w:val="graphic title"/>
    <w:basedOn w:val="ImageCaption"/>
    <w:next w:val="Normale"/>
    <w:rsid w:val="0035500D"/>
  </w:style>
  <w:style w:type="paragraph" w:customStyle="1" w:styleId="tabletitle">
    <w:name w:val="table title"/>
    <w:basedOn w:val="TableCaption"/>
    <w:next w:val="Normale"/>
    <w:rsid w:val="00901463"/>
  </w:style>
  <w:style w:type="character" w:customStyle="1" w:styleId="normaltextrun">
    <w:name w:val="normaltextrun"/>
    <w:basedOn w:val="Carpredefinitoparagrafo"/>
    <w:rsid w:val="00390701"/>
  </w:style>
  <w:style w:type="character" w:customStyle="1" w:styleId="eop">
    <w:name w:val="eop"/>
    <w:basedOn w:val="Carpredefinitoparagrafo"/>
    <w:rsid w:val="00390701"/>
  </w:style>
  <w:style w:type="paragraph" w:styleId="NormaleWeb">
    <w:name w:val="Normal (Web)"/>
    <w:basedOn w:val="Normale"/>
    <w:uiPriority w:val="99"/>
    <w:unhideWhenUsed/>
    <w:rsid w:val="00F20F7A"/>
    <w:pPr>
      <w:spacing w:before="100" w:beforeAutospacing="1" w:after="100" w:afterAutospacing="1"/>
    </w:pPr>
    <w:rPr>
      <w:rFonts w:ascii="Times New Roman" w:eastAsia="Times New Roman" w:hAnsi="Times New Roman" w:cs="Times New Roman"/>
    </w:rPr>
  </w:style>
  <w:style w:type="character" w:styleId="Testosegnaposto">
    <w:name w:val="Placeholder Text"/>
    <w:basedOn w:val="Carpredefinitoparagrafo"/>
    <w:uiPriority w:val="99"/>
    <w:semiHidden/>
    <w:rsid w:val="00C17E9E"/>
    <w:rPr>
      <w:color w:val="666666"/>
    </w:rPr>
  </w:style>
  <w:style w:type="paragraph" w:styleId="Paragrafoelenco">
    <w:name w:val="List Paragraph"/>
    <w:basedOn w:val="Normale"/>
    <w:uiPriority w:val="34"/>
    <w:qFormat/>
    <w:rsid w:val="00767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69289">
      <w:bodyDiv w:val="1"/>
      <w:marLeft w:val="0"/>
      <w:marRight w:val="0"/>
      <w:marTop w:val="0"/>
      <w:marBottom w:val="0"/>
      <w:divBdr>
        <w:top w:val="none" w:sz="0" w:space="0" w:color="auto"/>
        <w:left w:val="none" w:sz="0" w:space="0" w:color="auto"/>
        <w:bottom w:val="none" w:sz="0" w:space="0" w:color="auto"/>
        <w:right w:val="none" w:sz="0" w:space="0" w:color="auto"/>
      </w:divBdr>
      <w:divsChild>
        <w:div w:id="1175724071">
          <w:marLeft w:val="0"/>
          <w:marRight w:val="0"/>
          <w:marTop w:val="0"/>
          <w:marBottom w:val="0"/>
          <w:divBdr>
            <w:top w:val="none" w:sz="0" w:space="0" w:color="auto"/>
            <w:left w:val="none" w:sz="0" w:space="0" w:color="auto"/>
            <w:bottom w:val="none" w:sz="0" w:space="0" w:color="auto"/>
            <w:right w:val="none" w:sz="0" w:space="0" w:color="auto"/>
          </w:divBdr>
          <w:divsChild>
            <w:div w:id="1902133044">
              <w:marLeft w:val="0"/>
              <w:marRight w:val="0"/>
              <w:marTop w:val="0"/>
              <w:marBottom w:val="0"/>
              <w:divBdr>
                <w:top w:val="none" w:sz="0" w:space="0" w:color="auto"/>
                <w:left w:val="none" w:sz="0" w:space="0" w:color="auto"/>
                <w:bottom w:val="none" w:sz="0" w:space="0" w:color="auto"/>
                <w:right w:val="none" w:sz="0" w:space="0" w:color="auto"/>
              </w:divBdr>
              <w:divsChild>
                <w:div w:id="1368333687">
                  <w:marLeft w:val="0"/>
                  <w:marRight w:val="0"/>
                  <w:marTop w:val="0"/>
                  <w:marBottom w:val="0"/>
                  <w:divBdr>
                    <w:top w:val="none" w:sz="0" w:space="0" w:color="auto"/>
                    <w:left w:val="none" w:sz="0" w:space="0" w:color="auto"/>
                    <w:bottom w:val="none" w:sz="0" w:space="0" w:color="auto"/>
                    <w:right w:val="none" w:sz="0" w:space="0" w:color="auto"/>
                  </w:divBdr>
                  <w:divsChild>
                    <w:div w:id="1820725291">
                      <w:marLeft w:val="0"/>
                      <w:marRight w:val="0"/>
                      <w:marTop w:val="0"/>
                      <w:marBottom w:val="0"/>
                      <w:divBdr>
                        <w:top w:val="none" w:sz="0" w:space="0" w:color="auto"/>
                        <w:left w:val="none" w:sz="0" w:space="0" w:color="auto"/>
                        <w:bottom w:val="none" w:sz="0" w:space="0" w:color="auto"/>
                        <w:right w:val="none" w:sz="0" w:space="0" w:color="auto"/>
                      </w:divBdr>
                      <w:divsChild>
                        <w:div w:id="1675523860">
                          <w:marLeft w:val="0"/>
                          <w:marRight w:val="0"/>
                          <w:marTop w:val="0"/>
                          <w:marBottom w:val="0"/>
                          <w:divBdr>
                            <w:top w:val="none" w:sz="0" w:space="0" w:color="auto"/>
                            <w:left w:val="none" w:sz="0" w:space="0" w:color="auto"/>
                            <w:bottom w:val="none" w:sz="0" w:space="0" w:color="auto"/>
                            <w:right w:val="none" w:sz="0" w:space="0" w:color="auto"/>
                          </w:divBdr>
                          <w:divsChild>
                            <w:div w:id="2169303">
                              <w:marLeft w:val="0"/>
                              <w:marRight w:val="0"/>
                              <w:marTop w:val="0"/>
                              <w:marBottom w:val="0"/>
                              <w:divBdr>
                                <w:top w:val="none" w:sz="0" w:space="0" w:color="auto"/>
                                <w:left w:val="none" w:sz="0" w:space="0" w:color="auto"/>
                                <w:bottom w:val="none" w:sz="0" w:space="0" w:color="auto"/>
                                <w:right w:val="none" w:sz="0" w:space="0" w:color="auto"/>
                              </w:divBdr>
                              <w:divsChild>
                                <w:div w:id="2092504966">
                                  <w:marLeft w:val="0"/>
                                  <w:marRight w:val="0"/>
                                  <w:marTop w:val="0"/>
                                  <w:marBottom w:val="0"/>
                                  <w:divBdr>
                                    <w:top w:val="none" w:sz="0" w:space="0" w:color="auto"/>
                                    <w:left w:val="none" w:sz="0" w:space="0" w:color="auto"/>
                                    <w:bottom w:val="none" w:sz="0" w:space="0" w:color="auto"/>
                                    <w:right w:val="none" w:sz="0" w:space="0" w:color="auto"/>
                                  </w:divBdr>
                                  <w:divsChild>
                                    <w:div w:id="18880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566204">
      <w:bodyDiv w:val="1"/>
      <w:marLeft w:val="0"/>
      <w:marRight w:val="0"/>
      <w:marTop w:val="0"/>
      <w:marBottom w:val="0"/>
      <w:divBdr>
        <w:top w:val="none" w:sz="0" w:space="0" w:color="auto"/>
        <w:left w:val="none" w:sz="0" w:space="0" w:color="auto"/>
        <w:bottom w:val="none" w:sz="0" w:space="0" w:color="auto"/>
        <w:right w:val="none" w:sz="0" w:space="0" w:color="auto"/>
      </w:divBdr>
    </w:div>
    <w:div w:id="450515786">
      <w:bodyDiv w:val="1"/>
      <w:marLeft w:val="0"/>
      <w:marRight w:val="0"/>
      <w:marTop w:val="0"/>
      <w:marBottom w:val="0"/>
      <w:divBdr>
        <w:top w:val="none" w:sz="0" w:space="0" w:color="auto"/>
        <w:left w:val="none" w:sz="0" w:space="0" w:color="auto"/>
        <w:bottom w:val="none" w:sz="0" w:space="0" w:color="auto"/>
        <w:right w:val="none" w:sz="0" w:space="0" w:color="auto"/>
      </w:divBdr>
      <w:divsChild>
        <w:div w:id="1681851199">
          <w:marLeft w:val="0"/>
          <w:marRight w:val="0"/>
          <w:marTop w:val="0"/>
          <w:marBottom w:val="0"/>
          <w:divBdr>
            <w:top w:val="none" w:sz="0" w:space="0" w:color="auto"/>
            <w:left w:val="none" w:sz="0" w:space="0" w:color="auto"/>
            <w:bottom w:val="none" w:sz="0" w:space="0" w:color="auto"/>
            <w:right w:val="none" w:sz="0" w:space="0" w:color="auto"/>
          </w:divBdr>
          <w:divsChild>
            <w:div w:id="259071074">
              <w:marLeft w:val="0"/>
              <w:marRight w:val="0"/>
              <w:marTop w:val="0"/>
              <w:marBottom w:val="0"/>
              <w:divBdr>
                <w:top w:val="none" w:sz="0" w:space="0" w:color="auto"/>
                <w:left w:val="none" w:sz="0" w:space="0" w:color="auto"/>
                <w:bottom w:val="none" w:sz="0" w:space="0" w:color="auto"/>
                <w:right w:val="none" w:sz="0" w:space="0" w:color="auto"/>
              </w:divBdr>
              <w:divsChild>
                <w:div w:id="47803240">
                  <w:marLeft w:val="0"/>
                  <w:marRight w:val="0"/>
                  <w:marTop w:val="0"/>
                  <w:marBottom w:val="0"/>
                  <w:divBdr>
                    <w:top w:val="none" w:sz="0" w:space="0" w:color="auto"/>
                    <w:left w:val="none" w:sz="0" w:space="0" w:color="auto"/>
                    <w:bottom w:val="none" w:sz="0" w:space="0" w:color="auto"/>
                    <w:right w:val="none" w:sz="0" w:space="0" w:color="auto"/>
                  </w:divBdr>
                  <w:divsChild>
                    <w:div w:id="233666959">
                      <w:marLeft w:val="0"/>
                      <w:marRight w:val="0"/>
                      <w:marTop w:val="0"/>
                      <w:marBottom w:val="0"/>
                      <w:divBdr>
                        <w:top w:val="none" w:sz="0" w:space="0" w:color="auto"/>
                        <w:left w:val="none" w:sz="0" w:space="0" w:color="auto"/>
                        <w:bottom w:val="none" w:sz="0" w:space="0" w:color="auto"/>
                        <w:right w:val="none" w:sz="0" w:space="0" w:color="auto"/>
                      </w:divBdr>
                      <w:divsChild>
                        <w:div w:id="878784472">
                          <w:marLeft w:val="0"/>
                          <w:marRight w:val="0"/>
                          <w:marTop w:val="0"/>
                          <w:marBottom w:val="0"/>
                          <w:divBdr>
                            <w:top w:val="none" w:sz="0" w:space="0" w:color="auto"/>
                            <w:left w:val="none" w:sz="0" w:space="0" w:color="auto"/>
                            <w:bottom w:val="none" w:sz="0" w:space="0" w:color="auto"/>
                            <w:right w:val="none" w:sz="0" w:space="0" w:color="auto"/>
                          </w:divBdr>
                          <w:divsChild>
                            <w:div w:id="1175730241">
                              <w:marLeft w:val="0"/>
                              <w:marRight w:val="0"/>
                              <w:marTop w:val="0"/>
                              <w:marBottom w:val="0"/>
                              <w:divBdr>
                                <w:top w:val="none" w:sz="0" w:space="0" w:color="auto"/>
                                <w:left w:val="none" w:sz="0" w:space="0" w:color="auto"/>
                                <w:bottom w:val="none" w:sz="0" w:space="0" w:color="auto"/>
                                <w:right w:val="none" w:sz="0" w:space="0" w:color="auto"/>
                              </w:divBdr>
                              <w:divsChild>
                                <w:div w:id="33702041">
                                  <w:marLeft w:val="0"/>
                                  <w:marRight w:val="0"/>
                                  <w:marTop w:val="0"/>
                                  <w:marBottom w:val="0"/>
                                  <w:divBdr>
                                    <w:top w:val="none" w:sz="0" w:space="0" w:color="auto"/>
                                    <w:left w:val="none" w:sz="0" w:space="0" w:color="auto"/>
                                    <w:bottom w:val="none" w:sz="0" w:space="0" w:color="auto"/>
                                    <w:right w:val="none" w:sz="0" w:space="0" w:color="auto"/>
                                  </w:divBdr>
                                  <w:divsChild>
                                    <w:div w:id="5179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166918">
      <w:bodyDiv w:val="1"/>
      <w:marLeft w:val="0"/>
      <w:marRight w:val="0"/>
      <w:marTop w:val="0"/>
      <w:marBottom w:val="0"/>
      <w:divBdr>
        <w:top w:val="none" w:sz="0" w:space="0" w:color="auto"/>
        <w:left w:val="none" w:sz="0" w:space="0" w:color="auto"/>
        <w:bottom w:val="none" w:sz="0" w:space="0" w:color="auto"/>
        <w:right w:val="none" w:sz="0" w:space="0" w:color="auto"/>
      </w:divBdr>
    </w:div>
    <w:div w:id="1096096872">
      <w:bodyDiv w:val="1"/>
      <w:marLeft w:val="0"/>
      <w:marRight w:val="0"/>
      <w:marTop w:val="0"/>
      <w:marBottom w:val="0"/>
      <w:divBdr>
        <w:top w:val="none" w:sz="0" w:space="0" w:color="auto"/>
        <w:left w:val="none" w:sz="0" w:space="0" w:color="auto"/>
        <w:bottom w:val="none" w:sz="0" w:space="0" w:color="auto"/>
        <w:right w:val="none" w:sz="0" w:space="0" w:color="auto"/>
      </w:divBdr>
    </w:div>
    <w:div w:id="1940411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730</Words>
  <Characters>4165</Characters>
  <Application>Microsoft Office Word</Application>
  <DocSecurity>0</DocSecurity>
  <Lines>34</Lines>
  <Paragraphs>9</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4886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MORRA</dc:creator>
  <cp:keywords/>
  <dc:description/>
  <cp:lastModifiedBy>Matteo Morra</cp:lastModifiedBy>
  <cp:revision>3</cp:revision>
  <dcterms:created xsi:type="dcterms:W3CDTF">2025-06-04T19:24:00Z</dcterms:created>
  <dcterms:modified xsi:type="dcterms:W3CDTF">2025-06-05T08:28:00Z</dcterms:modified>
  <cp:category/>
</cp:coreProperties>
</file>