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media/image1.png" ContentType="image/png"/>
  <Override PartName="/word/media/image2.png" ContentType="image/png"/>
  <Override PartName="/word/media/image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Optimizing Antimicrobial Therapy Through Model-Informed Precision Dosing: A PK/PD-Based Translational Approach</w:t>
      </w:r>
    </w:p>
    <w:p>
      <w:pPr>
        <w:pStyle w:val="Author"/>
      </w:pPr>
      <w:r>
        <w:t xml:space="preserve">Matteo Morra</w:t>
      </w:r>
    </w:p>
    <w:p>
      <w:pPr>
        <w:pStyle w:val="Date"/>
      </w:pPr>
      <w:r>
        <w:t xml:space="preserve">05 January, 2026</w:t>
      </w:r>
    </w:p>
    <w:sdt>
      <w:sdtPr>
        <w:docPartObj>
          <w:docPartGallery w:val="Table of Contents"/>
          <w:docPartUnique/>
        </w:docPartObj>
      </w:sdtPr>
      <w:sdtContent>
        <w:p>
          <w:pPr>
            <w:pStyle w:val="Titolosommario"/>
          </w:pPr>
          <w:r>
            <w:t xml:space="preserve">Table of contents</w:t>
          </w:r>
        </w:p>
        <w:p>
          <w:r>
            <w:fldChar w:fldCharType="begin" w:dirty="true"/>
            <w:instrText xml:space="preserve">TOC \o "1-2" \h \z \u</w:instrText>
            <w:fldChar w:fldCharType="separate"/>
            <w:fldChar w:fldCharType="end"/>
          </w:r>
        </w:p>
      </w:sdtContent>
    </w:sdt>
    <w:bookmarkStart w:id="20" w:name="abbreviations"/>
    <w:p>
      <w:pPr>
        <w:pStyle w:val="Titolo1"/>
      </w:pPr>
      <w:r>
        <w:t xml:space="preserve">1. Abbreviations</w:t>
      </w:r>
    </w:p>
    <w:p>
      <w:pPr>
        <w:pStyle w:val="FirstParagraph"/>
      </w:pPr>
      <w:r>
        <w:t xml:space="preserve">Acronyms and abbreviations are listed in alphabetical order. Abbreviations of antibiotic compounds refer to those reported in WHONET Antimicrobials Codes (https://whonet.org/WebDocs/WHONET_Antimicrobial_Codes.pdf)</w:t>
      </w:r>
    </w:p>
    <w:tbl>
      <w:tblPr>
        <w:tblStyle w:val="Table"/>
        <w:tblW w:type="auto" w:w="0"/>
        <w:tblLook w:firstRow="0" w:lastRow="0" w:firstColumn="0" w:lastColumn="0" w:noHBand="0" w:noVBand="0" w:val="0000"/>
      </w:tblPr>
      <w:tblGrid>
        <w:gridCol w:w="3960"/>
        <w:gridCol w:w="3960"/>
      </w:tblGrid>
      <w:tr>
        <w:tc>
          <w:tcPr/>
          <w:p>
            <w:pPr>
              <w:pStyle w:val="Compact"/>
            </w:pPr>
            <w:r>
              <w:t xml:space="preserve">GDPR</w:t>
            </w:r>
          </w:p>
        </w:tc>
        <w:tc>
          <w:tcPr/>
          <w:p>
            <w:pPr>
              <w:pStyle w:val="Compact"/>
            </w:pPr>
            <w:r>
              <w:t xml:space="preserve">General Data Protection Regulation</w:t>
            </w:r>
          </w:p>
        </w:tc>
      </w:tr>
      <w:tr>
        <w:tc>
          <w:tcPr/>
          <w:p>
            <w:pPr>
              <w:pStyle w:val="Compact"/>
            </w:pPr>
            <w:r>
              <w:t xml:space="preserve">MDR-GNB</w:t>
            </w:r>
          </w:p>
        </w:tc>
        <w:tc>
          <w:tcPr/>
          <w:p>
            <w:pPr>
              <w:pStyle w:val="Compact"/>
            </w:pPr>
            <w:r>
              <w:t xml:space="preserve">Multi drug resistant Gram negatie bacteria</w:t>
            </w:r>
          </w:p>
        </w:tc>
      </w:tr>
      <w:tr>
        <w:tc>
          <w:tcPr/>
          <w:p>
            <w:pPr>
              <w:pStyle w:val="Compact"/>
            </w:pPr>
            <w:r>
              <w:t xml:space="preserve">MIPD</w:t>
            </w:r>
          </w:p>
        </w:tc>
        <w:tc>
          <w:tcPr/>
          <w:p>
            <w:pPr>
              <w:pStyle w:val="Compact"/>
            </w:pPr>
            <w:r>
              <w:t xml:space="preserve">Model informed presion dosing</w:t>
            </w:r>
          </w:p>
        </w:tc>
      </w:tr>
      <w:tr>
        <w:tc>
          <w:tcPr/>
          <w:p>
            <w:pPr>
              <w:pStyle w:val="Compact"/>
            </w:pPr>
            <w:r>
              <w:t xml:space="preserve">popPK</w:t>
            </w:r>
          </w:p>
        </w:tc>
        <w:tc>
          <w:tcPr/>
          <w:p>
            <w:pPr>
              <w:pStyle w:val="Compact"/>
            </w:pPr>
            <w:r>
              <w:t xml:space="preserve">Population pharmacokinetic</w:t>
            </w:r>
          </w:p>
        </w:tc>
      </w:tr>
      <w:tr>
        <w:tc>
          <w:tcPr/>
          <w:p>
            <w:pPr>
              <w:pStyle w:val="Compact"/>
            </w:pPr>
            <w:r>
              <w:t xml:space="preserve">PK/PD</w:t>
            </w:r>
          </w:p>
        </w:tc>
        <w:tc>
          <w:tcPr/>
          <w:p>
            <w:pPr>
              <w:pStyle w:val="Compact"/>
            </w:pPr>
            <w:r>
              <w:t xml:space="preserve">Pharmacokinetics/Pharmacodynamics</w:t>
            </w:r>
          </w:p>
        </w:tc>
      </w:tr>
      <w:tr>
        <w:tc>
          <w:tcPr/>
          <w:p>
            <w:pPr>
              <w:pStyle w:val="Compact"/>
            </w:pPr>
            <w:r>
              <w:t xml:space="preserve">TDM</w:t>
            </w:r>
          </w:p>
        </w:tc>
        <w:tc>
          <w:tcPr/>
          <w:p>
            <w:pPr>
              <w:pStyle w:val="Compact"/>
            </w:pPr>
            <w:r>
              <w:t xml:space="preserve">Therapeutic drug monitoring</w:t>
            </w:r>
          </w:p>
        </w:tc>
      </w:tr>
    </w:tbl>
    <w:bookmarkEnd w:id="20"/>
    <w:bookmarkStart w:id="24" w:name="overview"/>
    <w:p>
      <w:pPr>
        <w:pStyle w:val="Titolo1"/>
      </w:pPr>
      <w:r>
        <w:t xml:space="preserve">2. Overview</w:t>
      </w:r>
    </w:p>
    <w:p>
      <w:pPr>
        <w:pStyle w:val="FirstParagraph"/>
      </w:pPr>
      <w:r>
        <w:t xml:space="preserve">This document describes the research protocol for a PhD project focused on the development and clinical translation of pharmacokinetic/pharmacodynamic (PK/PD) models using model-informed precision dosing (MIPD) approaches.</w:t>
      </w:r>
    </w:p>
    <w:p>
      <w:pPr>
        <w:pStyle w:val="Corpotesto"/>
      </w:pPr>
      <w:r>
        <w:t xml:space="preserve">The project addresses the need for individualized antimicrobial dosing in the context of high interindividual variability in drug exposure. It aims to bridge the gap between published pharmacometric models and their practical use in clinical decision-making by systematically reviewing the literature, reconstructing population PK models, and implementing them into interactive tools.</w:t>
      </w:r>
    </w:p>
    <w:p>
      <w:pPr>
        <w:pStyle w:val="Corpotesto"/>
      </w:pPr>
      <w:r>
        <w:t xml:space="preserve">The initial focus will be on selected antimicrobial agents, including dalbavancin and beta-lactam antibiotics, with planned expansion to novel antimicrobial or antiviral drugs as new evidence emerges. A central component of the work is the validation of literature-derived models using real-world clinical data to assess their predictive performance and clinical applicability.</w:t>
      </w:r>
    </w:p>
    <w:bookmarkStart w:id="21" w:name="aims-and-objectives"/>
    <w:p>
      <w:pPr>
        <w:pStyle w:val="Titolo2"/>
      </w:pPr>
      <w:r>
        <w:t xml:space="preserve">2.1 Aims and Objectives</w:t>
      </w:r>
    </w:p>
    <w:p>
      <w:pPr>
        <w:pStyle w:val="FirstParagraph"/>
      </w:pPr>
      <w:r>
        <w:t xml:space="preserve">The primary aim of this PhD project is to develop reproducible and validated PK/PD tools to support model-informed precision dosing in clinical practice.</w:t>
      </w:r>
    </w:p>
    <w:p>
      <w:pPr>
        <w:pStyle w:val="Corpotesto"/>
      </w:pPr>
      <w:r>
        <w:t xml:space="preserve">Specific objectives are to:</w:t>
      </w:r>
    </w:p>
    <w:p>
      <w:pPr>
        <w:pStyle w:val="Compact"/>
        <w:numPr>
          <w:ilvl w:val="0"/>
          <w:numId w:val="1001"/>
        </w:numPr>
      </w:pPr>
      <w:r>
        <w:t xml:space="preserve">Perform systematic and repeatable reviews of population PK models for selected drugs</w:t>
      </w:r>
    </w:p>
    <w:p>
      <w:pPr>
        <w:pStyle w:val="Compact"/>
        <w:numPr>
          <w:ilvl w:val="0"/>
          <w:numId w:val="1001"/>
        </w:numPr>
      </w:pPr>
      <w:r>
        <w:t xml:space="preserve">Reconstruct and harmonize published PK/PD models using contemporary pharmacometric methods</w:t>
      </w:r>
    </w:p>
    <w:p>
      <w:pPr>
        <w:pStyle w:val="Compact"/>
        <w:numPr>
          <w:ilvl w:val="0"/>
          <w:numId w:val="1001"/>
        </w:numPr>
      </w:pPr>
      <w:r>
        <w:t xml:space="preserve">Develop Shiny-based applications for individualized dosing support</w:t>
      </w:r>
    </w:p>
    <w:p>
      <w:pPr>
        <w:pStyle w:val="Compact"/>
        <w:numPr>
          <w:ilvl w:val="0"/>
          <w:numId w:val="1001"/>
        </w:numPr>
      </w:pPr>
      <w:r>
        <w:t xml:space="preserve">Validate model performance using real-world therapeutic drug monitoring data</w:t>
      </w:r>
    </w:p>
    <w:p>
      <w:pPr>
        <w:pStyle w:val="Compact"/>
        <w:numPr>
          <w:ilvl w:val="0"/>
          <w:numId w:val="1001"/>
        </w:numPr>
      </w:pPr>
      <w:r>
        <w:t xml:space="preserve">Establish a framework for iterative model updating as new drugs and evidence become available</w:t>
      </w:r>
    </w:p>
    <w:bookmarkEnd w:id="21"/>
    <w:bookmarkStart w:id="23" w:name="structure-of-the-protocol"/>
    <w:p>
      <w:pPr>
        <w:pStyle w:val="Titolo2"/>
      </w:pPr>
      <w:r>
        <w:t xml:space="preserve">2.2 Structure of the Protocol</w:t>
      </w:r>
    </w:p>
    <w:p>
      <w:pPr>
        <w:pStyle w:val="FirstParagraph"/>
      </w:pPr>
      <w:r>
        <w:t xml:space="preserve">This protocol includes sections describing the clinical background and rationale, the planned methodological approach, validation strategies, a three-year timeline, and the expected scientific and clinical impact of the project.</w:t>
      </w:r>
    </w:p>
    <w:p>
      <w:pPr>
        <w:pStyle w:val="Corpotesto"/>
      </w:pPr>
      <w:r>
        <w:t xml:space="preserve">All components of the PhD project, including analysis code, modeling workflows, documentation, and supporting materials, will be maintained in a dedicated version-controlled Git repository to ensure transparency, reproducibility, and traceability of the research activities. The repository is publicly available at:</w:t>
      </w:r>
    </w:p>
    <w:p>
      <w:pPr>
        <w:pStyle w:val="Corpotesto"/>
      </w:pPr>
      <w:hyperlink r:id="rId22">
        <w:r>
          <w:rPr>
            <w:rStyle w:val="Collegamentoipertestuale"/>
          </w:rPr>
          <w:t xml:space="preserve">https://github.com/mat194/PhD-thesis.git</w:t>
        </w:r>
      </w:hyperlink>
    </w:p>
    <w:p>
      <w:pPr>
        <w:pStyle w:val="Corpotesto"/>
      </w:pPr>
      <w:r>
        <w:t xml:space="preserve">This repository will serve as the central platform for managing the evolution of the project throughout the PhD, including updates to models, software tools, and documentation.</w:t>
      </w:r>
    </w:p>
    <w:bookmarkEnd w:id="23"/>
    <w:bookmarkEnd w:id="24"/>
    <w:bookmarkStart w:id="28" w:name="background-and-rationale"/>
    <w:p>
      <w:pPr>
        <w:pStyle w:val="Titolo1"/>
      </w:pPr>
      <w:r>
        <w:t xml:space="preserve">3. Background and Rationale</w:t>
      </w:r>
    </w:p>
    <w:bookmarkStart w:id="25" w:name="clinical-need"/>
    <w:p>
      <w:pPr>
        <w:pStyle w:val="Titolo2"/>
      </w:pPr>
      <w:r>
        <w:t xml:space="preserve">3.1 Clinical Need</w:t>
      </w:r>
    </w:p>
    <w:p>
      <w:pPr>
        <w:pStyle w:val="FirstParagraph"/>
      </w:pPr>
      <w:r>
        <w:t xml:space="preserve">Antimicrobial resistance represents one of the most pressing global health challenges, with increasing rates of multidrug-resistant bacterial and fungal infections leading to higher morbidity, mortality, and healthcare costs</w:t>
      </w:r>
      <w:r>
        <w:t xml:space="preserve"> </w:t>
      </w:r>
      <w:r>
        <w:t xml:space="preserve">[1,2]</w:t>
      </w:r>
      <w:r>
        <w:t xml:space="preserve">. In this context, optimizing antimicrobial therapy is essential not only to improve individual patient outcomes but also to limit the selective pressure that drives resistance</w:t>
      </w:r>
      <w:r>
        <w:t xml:space="preserve"> </w:t>
      </w:r>
      <w:r>
        <w:t xml:space="preserve">[3]</w:t>
      </w:r>
      <w:r>
        <w:t xml:space="preserve">.</w:t>
      </w:r>
    </w:p>
    <w:p>
      <w:pPr>
        <w:pStyle w:val="Corpotesto"/>
      </w:pPr>
      <w:r>
        <w:t xml:space="preserve">A major contributor to suboptimal antimicrobial therapy is the marked interindividual variability in drug exposure, particularly in critically ill patients and other special populations. Factors such as altered physiology, organ dysfunction, drug–drug interactions, and disease-related changes in pharmacokinetics can lead to unpredictable concentrations following standard dosing regimens</w:t>
      </w:r>
      <w:r>
        <w:t xml:space="preserve"> </w:t>
      </w:r>
      <w:r>
        <w:t xml:space="preserve">[4,5]</w:t>
      </w:r>
      <w:r>
        <w:t xml:space="preserve">. As a result, patients receiving the same dose may experience inadequate exposure, toxicity, or both.</w:t>
      </w:r>
    </w:p>
    <w:p>
      <w:pPr>
        <w:pStyle w:val="Corpotesto"/>
      </w:pPr>
      <w:r>
        <w:t xml:space="preserve">Despite this variability, antimicrobial dosing in routine clinical practice is still largely based on fixed dosing regimens, often derived from studies in relatively homogeneous populations. Such approaches fail to account for patient-specific determinants of exposure and are increasingly recognized as insufficient for drugs with narrow therapeutic windows, complex pharmacokinetics, or exposure–response relationships closely linked to efficacy and safety</w:t>
      </w:r>
      <w:r>
        <w:t xml:space="preserve"> </w:t>
      </w:r>
      <w:r>
        <w:t xml:space="preserve">[5]</w:t>
      </w:r>
      <w:r>
        <w:t xml:space="preserve">.</w:t>
      </w:r>
    </w:p>
    <w:bookmarkEnd w:id="25"/>
    <w:bookmarkStart w:id="26" w:name="role-of-pkpd-and-mipd"/>
    <w:p>
      <w:pPr>
        <w:pStyle w:val="Titolo2"/>
      </w:pPr>
      <w:r>
        <w:t xml:space="preserve">3.2 Role of PK/PD and MIPD</w:t>
      </w:r>
    </w:p>
    <w:p>
      <w:pPr>
        <w:pStyle w:val="FirstParagraph"/>
      </w:pPr>
      <w:r>
        <w:t xml:space="preserve">PK/PD principles provide a quantitative framework to characterize the relationship between drug dosing, systemic exposure, and antimicrobial effect. Population pharmacokinetic models, derived from clinical data, allow the identification of typical parameter values and sources of variability, enabling predictions of drug exposure across diverse patient populations.</w:t>
      </w:r>
    </w:p>
    <w:p>
      <w:pPr>
        <w:pStyle w:val="Corpotesto"/>
      </w:pPr>
      <w:r>
        <w:t xml:space="preserve">MIPD extends these concepts into clinical practice by integrating population models with individual patient data. Through Bayesian forecasting, prior knowledge from population PK models is combined with observed drug concentrations to generate individualized parameter estimates and optimize dosing in real time. This approach allows for adaptive dosing strategies that are responsive to patient-specific characteristics and dynamic clinical changes</w:t>
      </w:r>
      <w:r>
        <w:t xml:space="preserve"> </w:t>
      </w:r>
      <w:r>
        <w:t xml:space="preserve">[5]</w:t>
      </w:r>
      <w:r>
        <w:t xml:space="preserve">.</w:t>
      </w:r>
    </w:p>
    <w:p>
      <w:pPr>
        <w:pStyle w:val="Corpotesto"/>
      </w:pPr>
      <w:r>
        <w:t xml:space="preserve">Therapeutic drug monitoring (TDM) represents a key component of MIPD, providing the empirical data required to refine model-based predictions. When combined with validated PK/PD targets, TDM-supported MIPD has the potential to improve target attainment, reduce toxicity, and enhance clinical outcomes, particularly for antimicrobials with high pharmacokinetic variability.</w:t>
      </w:r>
    </w:p>
    <w:bookmarkEnd w:id="26"/>
    <w:bookmarkStart w:id="27" w:name="knowledge-gaps"/>
    <w:p>
      <w:pPr>
        <w:pStyle w:val="Titolo2"/>
      </w:pPr>
      <w:r>
        <w:t xml:space="preserve">3.3 Knowledge Gaps</w:t>
      </w:r>
    </w:p>
    <w:p>
      <w:pPr>
        <w:pStyle w:val="FirstParagraph"/>
      </w:pPr>
      <w:r>
        <w:t xml:space="preserve">Despite substantial advances in population PK modeling and MIPD methodology, several important gaps limit their widespread clinical implementation. First, PK models are often fragmented across the literature, developed using heterogeneous methodologies, populations, and reporting standards. This fragmentation complicates model comparison, reuse, and integration into unified dosing frameworks.</w:t>
      </w:r>
    </w:p>
    <w:p>
      <w:pPr>
        <w:pStyle w:val="Corpotesto"/>
      </w:pPr>
      <w:r>
        <w:t xml:space="preserve">Second, the translation of published PK/PD models into clinically usable tools remains limited. Many models are reported in a form that is difficult to reproduce or implement, and only a minority are externally validated using independent clinical datasets. As a consequence, the clinical relevance and generalizability of these models are often uncertain</w:t>
      </w:r>
      <w:r>
        <w:t xml:space="preserve"> </w:t>
      </w:r>
      <w:r>
        <w:t xml:space="preserve">[6]</w:t>
      </w:r>
      <w:r>
        <w:t xml:space="preserve">.</w:t>
      </w:r>
    </w:p>
    <w:p>
      <w:pPr>
        <w:pStyle w:val="Corpotesto"/>
      </w:pPr>
      <w:r>
        <w:t xml:space="preserve">Finally, there is a lack of openly available, validated, and user-friendly tools that bridge the gap between pharmacometric research and bedside decision-making. In particular, scalable platforms that integrate literature-derived models, real-world validation, and interactive clinical interfaces are scarce. Addressing these gaps is essential to enable the broader adoption of MIPD and to maximize the clinical impact of PK/PD research.</w:t>
      </w:r>
    </w:p>
    <w:bookmarkEnd w:id="27"/>
    <w:bookmarkEnd w:id="28"/>
    <w:bookmarkStart w:id="36" w:name="X7acb2ed094b5ba4c53c7f026a0a3104707480f6"/>
    <w:p>
      <w:pPr>
        <w:pStyle w:val="Titolo1"/>
      </w:pPr>
      <w:r>
        <w:t xml:space="preserve">4. Overall Objectives and Research Questions</w:t>
      </w:r>
    </w:p>
    <w:bookmarkStart w:id="29" w:name="primary-objective"/>
    <w:p>
      <w:pPr>
        <w:pStyle w:val="Titolo2"/>
      </w:pPr>
      <w:r>
        <w:t xml:space="preserve">4.1 Primary Objective</w:t>
      </w:r>
    </w:p>
    <w:p>
      <w:pPr>
        <w:pStyle w:val="FirstParagraph"/>
      </w:pPr>
      <w:r>
        <w:t xml:space="preserve">To develop, validate, and implement PK/PD models derived from the published literature into clinically usable MIPD tools.</w:t>
      </w:r>
    </w:p>
    <w:bookmarkEnd w:id="29"/>
    <w:bookmarkStart w:id="35" w:name="secondary-objectives"/>
    <w:p>
      <w:pPr>
        <w:pStyle w:val="Titolo2"/>
      </w:pPr>
      <w:r>
        <w:t xml:space="preserve">4.2 Secondary Objectives</w:t>
      </w:r>
    </w:p>
    <w:p>
      <w:pPr>
        <w:pStyle w:val="Compact"/>
        <w:numPr>
          <w:ilvl w:val="0"/>
          <w:numId w:val="1002"/>
        </w:numPr>
      </w:pPr>
      <w:r>
        <w:t xml:space="preserve">Conduct systematic and repeatable literature reviews of population PK/PD models for selected antimicrobial and antiviral agents.</w:t>
      </w:r>
    </w:p>
    <w:p>
      <w:pPr>
        <w:pStyle w:val="Compact"/>
        <w:numPr>
          <w:ilvl w:val="0"/>
          <w:numId w:val="1002"/>
        </w:numPr>
      </w:pPr>
      <w:r>
        <w:t xml:space="preserve">Reconstruct and harmonize published models into a reproducible computational framework.</w:t>
      </w:r>
    </w:p>
    <w:p>
      <w:pPr>
        <w:pStyle w:val="Compact"/>
        <w:numPr>
          <w:ilvl w:val="0"/>
          <w:numId w:val="1002"/>
        </w:numPr>
      </w:pPr>
      <w:r>
        <w:t xml:space="preserve">Perform external validation using real-world clinical data (e.g., TDM datasets) to assess predictive performance and clinical plausibility.</w:t>
      </w:r>
    </w:p>
    <w:p>
      <w:pPr>
        <w:pStyle w:val="Compact"/>
        <w:numPr>
          <w:ilvl w:val="0"/>
          <w:numId w:val="1002"/>
        </w:numPr>
      </w:pPr>
      <w:r>
        <w:t xml:space="preserve">Develop Shiny-based decision support tools implementing the validated models for simulation, Bayesian forecasting, and target attainment evaluation.</w:t>
      </w:r>
    </w:p>
    <w:p>
      <w:pPr>
        <w:pStyle w:val="Compact"/>
        <w:numPr>
          <w:ilvl w:val="0"/>
          <w:numId w:val="1002"/>
        </w:numPr>
      </w:pPr>
      <w:r>
        <w:t xml:space="preserve">Establish a framework for periodic evidence updating, enabling the inclusion of newly published models and emerging agents (e.g., rezafungin, cabotegravir).</w:t>
      </w:r>
    </w:p>
    <w:bookmarkStart w:id="30" w:name="literature-search-strategy"/>
    <w:p>
      <w:pPr>
        <w:pStyle w:val="Titolo3"/>
      </w:pPr>
      <w:r>
        <w:t xml:space="preserve">4.2.1 Literature Search Strategy</w:t>
      </w:r>
    </w:p>
    <w:p>
      <w:pPr>
        <w:pStyle w:val="FirstParagraph"/>
      </w:pPr>
      <w:r>
        <w:t xml:space="preserve">Systematic searches will be performed in PubMed/MEDLINE and Embase to identify parametric population pharmacokinetic (popPK) models for the selected agents. Searches will be adapted to each database’s syntax and controlled vocabulary when applicable. The strategy will focus on retrieving studies that report parametric nonlinear mixed-effects models (e.g., NONMEM-style approaches).</w:t>
      </w:r>
    </w:p>
    <w:p>
      <w:pPr>
        <w:pStyle w:val="Corpotesto"/>
      </w:pPr>
      <w:r>
        <w:t xml:space="preserve">The methodological search block described below will be applied consistently across all antibiotics.</w:t>
      </w:r>
    </w:p>
    <w:p>
      <w:pPr>
        <w:pStyle w:val="Corpotesto"/>
      </w:pPr>
      <w:r>
        <w:rPr>
          <w:b/>
          <w:bCs/>
          <w:i/>
          <w:iCs/>
        </w:rPr>
        <w:t xml:space="preserve">Pubmed</w:t>
      </w:r>
    </w:p>
    <w:p>
      <w:pPr>
        <w:pStyle w:val="SourceCode"/>
      </w:pPr>
      <w:r>
        <w:rPr>
          <w:rStyle w:val="VerbatimChar"/>
        </w:rPr>
        <w:t xml:space="preserve">population pharmacokinetic OR population pharmacokinetics OR popPK OR nonlinear mixed effects OR non-linear mixed effects OR pharmacometric*</w:t>
      </w:r>
    </w:p>
    <w:p>
      <w:pPr>
        <w:pStyle w:val="FirstParagraph"/>
      </w:pPr>
      <w:r>
        <w:rPr>
          <w:b/>
          <w:bCs/>
          <w:i/>
          <w:iCs/>
        </w:rPr>
        <w:t xml:space="preserve">Embase</w:t>
      </w:r>
    </w:p>
    <w:p>
      <w:pPr>
        <w:pStyle w:val="SourceCode"/>
      </w:pPr>
      <w:r>
        <w:rPr>
          <w:rStyle w:val="VerbatimChar"/>
        </w:rPr>
        <w:t xml:space="preserve">population pharmacokinetic OR population pharmacokinetics OR poppk OR nonlinear mixed effects OR non-linear mixed effects OR pharmacometric*</w:t>
      </w:r>
    </w:p>
    <w:p>
      <w:pPr>
        <w:pStyle w:val="FirstParagraph"/>
      </w:pPr>
      <w:r>
        <w:t xml:space="preserve">This methodological block will be combined with drug-specific terms to generate individual search strategies for each antibiotic of interest, including:</w:t>
      </w:r>
    </w:p>
    <w:p>
      <w:pPr>
        <w:pStyle w:val="Compact"/>
        <w:numPr>
          <w:ilvl w:val="0"/>
          <w:numId w:val="1003"/>
        </w:numPr>
      </w:pPr>
      <w:r>
        <w:t xml:space="preserve">Dalbavancin</w:t>
      </w:r>
    </w:p>
    <w:p>
      <w:pPr>
        <w:pStyle w:val="Compact"/>
        <w:numPr>
          <w:ilvl w:val="0"/>
          <w:numId w:val="1003"/>
        </w:numPr>
      </w:pPr>
      <w:r>
        <w:t xml:space="preserve">Vancomycin</w:t>
      </w:r>
    </w:p>
    <w:p>
      <w:pPr>
        <w:pStyle w:val="Compact"/>
        <w:numPr>
          <w:ilvl w:val="0"/>
          <w:numId w:val="1003"/>
        </w:numPr>
      </w:pPr>
      <w:r>
        <w:t xml:space="preserve">Piperacillin/tazobactam</w:t>
      </w:r>
    </w:p>
    <w:p>
      <w:pPr>
        <w:pStyle w:val="Compact"/>
        <w:numPr>
          <w:ilvl w:val="0"/>
          <w:numId w:val="1003"/>
        </w:numPr>
      </w:pPr>
      <w:r>
        <w:t xml:space="preserve">Ceftazidime</w:t>
      </w:r>
    </w:p>
    <w:p>
      <w:pPr>
        <w:pStyle w:val="Compact"/>
        <w:numPr>
          <w:ilvl w:val="0"/>
          <w:numId w:val="1003"/>
        </w:numPr>
      </w:pPr>
      <w:r>
        <w:t xml:space="preserve">Cefepime</w:t>
      </w:r>
    </w:p>
    <w:p>
      <w:pPr>
        <w:pStyle w:val="Compact"/>
        <w:numPr>
          <w:ilvl w:val="0"/>
          <w:numId w:val="1003"/>
        </w:numPr>
      </w:pPr>
      <w:r>
        <w:t xml:space="preserve">Meropenem</w:t>
      </w:r>
    </w:p>
    <w:p>
      <w:pPr>
        <w:pStyle w:val="FirstParagraph"/>
      </w:pPr>
      <w:r>
        <w:t xml:space="preserve">Each antibiotic will therefore be associated with its own dedicated search.</w:t>
      </w:r>
    </w:p>
    <w:bookmarkEnd w:id="30"/>
    <w:bookmarkStart w:id="31" w:name="model-construction"/>
    <w:p>
      <w:pPr>
        <w:pStyle w:val="Titolo3"/>
      </w:pPr>
      <w:r>
        <w:t xml:space="preserve">4.2.2 Model Construction</w:t>
      </w:r>
    </w:p>
    <w:p>
      <w:pPr>
        <w:pStyle w:val="FirstParagraph"/>
      </w:pPr>
      <w:r>
        <w:t xml:space="preserve">For each antibiotic identified through the systematic literature review, published parametric population PK/PD models will be reconstructed using a standardized and reproducible computational workflow. Model reconstruction will be based exclusively on information reported in the original publications, including structural model definitions, parameter estimates, interindividual variability terms, residual error models, and covariate relationships.</w:t>
      </w:r>
    </w:p>
    <w:p>
      <w:pPr>
        <w:pStyle w:val="Corpotesto"/>
      </w:pPr>
      <w:r>
        <w:t xml:space="preserve">Published models will be translated into a common modeling framework using R-based tools. Here is an example of a published dalbavancin model</w:t>
      </w:r>
      <w:r>
        <w:t xml:space="preserve"> </w:t>
      </w:r>
      <w:r>
        <w:t xml:space="preserve">[7]</w:t>
      </w:r>
      <w:r>
        <w:t xml:space="preserve"> </w:t>
      </w:r>
      <w:r>
        <w:t xml:space="preserve">structure written in</w:t>
      </w:r>
      <w:r>
        <w:t xml:space="preserve"> </w:t>
      </w:r>
      <w:r>
        <w:rPr>
          <w:rStyle w:val="VerbatimChar"/>
        </w:rPr>
        <w:t xml:space="preserve">rxode2</w:t>
      </w:r>
      <w:r>
        <w:t xml:space="preserve"> </w:t>
      </w:r>
      <w:r>
        <w:t xml:space="preserve">syntax</w:t>
      </w:r>
      <w:r>
        <w:t xml:space="preserve"> </w:t>
      </w:r>
      <w:r>
        <w:t xml:space="preserve">[8]</w:t>
      </w:r>
      <w:r>
        <w:t xml:space="preserve">.</w:t>
      </w:r>
    </w:p>
    <w:p>
      <w:pPr>
        <w:pStyle w:val="Corpotesto"/>
      </w:pPr>
      <w:r>
        <w:t xml:space="preserve">The model is a two-compartment parametric model with first-order elimination, incorporating covariate effect of  estimated glomerular filtration rate, calculated using the CKD-EPI formula. It was developed using data from 15 critically ill adult patients with bloodstream infections or endocarditis, with serial plasma samples collected up to 21 days post-infusion.</w:t>
      </w:r>
    </w:p>
    <w:p>
      <w:pPr>
        <w:pStyle w:val="SourceCode"/>
      </w:pPr>
      <w:r>
        <w:rPr>
          <w:rStyle w:val="NormalTok"/>
        </w:rPr>
        <w:t xml:space="preserve"> Cojutti2022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ppk_model =</w:t>
      </w:r>
      <w:r>
        <w:rPr>
          <w:rStyle w:val="NormalTok"/>
        </w:rPr>
        <w:t xml:space="preserve"> rxode2</w:t>
      </w:r>
      <w:r>
        <w:rPr>
          <w:rStyle w:val="SpecialCharTok"/>
        </w:rPr>
        <w:t xml:space="preserve">::</w:t>
      </w:r>
      <w:r>
        <w:rPr>
          <w:rStyle w:val="FunctionTok"/>
        </w:rPr>
        <w:t xml:space="preserve">rxode2</w:t>
      </w:r>
      <w:r>
        <w:rPr>
          <w:rStyle w:val="NormalTok"/>
        </w:rPr>
        <w:t xml:space="preserve">({</w:t>
      </w:r>
      <w:r>
        <w:br/>
      </w:r>
      <w:r>
        <w:rPr>
          <w:rStyle w:val="NormalTok"/>
        </w:rPr>
        <w:t xml:space="preserve">    </w:t>
      </w:r>
      <w:r>
        <w:rPr>
          <w:rStyle w:val="FunctionTok"/>
        </w:rPr>
        <w:t xml:space="preserve">AUC</w:t>
      </w:r>
      <w:r>
        <w:rPr>
          <w:rStyle w:val="NormalTok"/>
        </w:rPr>
        <w:t xml:space="preserve">(</w:t>
      </w:r>
      <w:r>
        <w:rPr>
          <w:rStyle w:val="DecValTok"/>
        </w:rPr>
        <w:t xml:space="preserve">0</w:t>
      </w:r>
      <w:r>
        <w:rPr>
          <w:rStyle w:val="NormalTok"/>
        </w:rPr>
        <w:t xml:space="preserve">) </w:t>
      </w:r>
      <w:r>
        <w:rPr>
          <w:rStyle w:val="OtherTok"/>
        </w:rPr>
        <w:t xml:space="preserve">&lt;-</w:t>
      </w:r>
      <w:r>
        <w:rPr>
          <w:rStyle w:val="NormalTok"/>
        </w:rPr>
        <w:t xml:space="preserve"> </w:t>
      </w:r>
      <w:r>
        <w:rPr>
          <w:rStyle w:val="DecValTok"/>
        </w:rPr>
        <w:t xml:space="preserve">0</w:t>
      </w:r>
      <w:r>
        <w:rPr>
          <w:rStyle w:val="NormalTok"/>
        </w:rPr>
        <w:t xml:space="preserve">          </w:t>
      </w:r>
      <w:r>
        <w:rPr>
          <w:rStyle w:val="CommentTok"/>
        </w:rPr>
        <w:t xml:space="preserve">#  AUC at time 0</w:t>
      </w:r>
      <w:r>
        <w:br/>
      </w:r>
      <w:r>
        <w:rPr>
          <w:rStyle w:val="NormalTok"/>
        </w:rPr>
        <w:t xml:space="preserve">    </w:t>
      </w:r>
      <w:r>
        <w:rPr>
          <w:rStyle w:val="FunctionTok"/>
        </w:rPr>
        <w:t xml:space="preserve">centr</w:t>
      </w:r>
      <w:r>
        <w:rPr>
          <w:rStyle w:val="NormalTok"/>
        </w:rPr>
        <w:t xml:space="preserve">(</w:t>
      </w:r>
      <w:r>
        <w:rPr>
          <w:rStyle w:val="DecValTok"/>
        </w:rPr>
        <w:t xml:space="preserve">0</w:t>
      </w:r>
      <w:r>
        <w:rPr>
          <w:rStyle w:val="NormalTok"/>
        </w:rPr>
        <w:t xml:space="preserve">) </w:t>
      </w:r>
      <w:r>
        <w:rPr>
          <w:rStyle w:val="OtherTok"/>
        </w:rPr>
        <w:t xml:space="preserve">&lt;-</w:t>
      </w:r>
      <w:r>
        <w:rPr>
          <w:rStyle w:val="NormalTok"/>
        </w:rPr>
        <w:t xml:space="preserve"> </w:t>
      </w:r>
      <w:r>
        <w:rPr>
          <w:rStyle w:val="DecValTok"/>
        </w:rPr>
        <w:t xml:space="preserve">0</w:t>
      </w:r>
      <w:r>
        <w:rPr>
          <w:rStyle w:val="NormalTok"/>
        </w:rPr>
        <w:t xml:space="preserve">        </w:t>
      </w:r>
      <w:r>
        <w:rPr>
          <w:rStyle w:val="CommentTok"/>
        </w:rPr>
        <w:t xml:space="preserve">#  Central compartment</w:t>
      </w:r>
      <w:r>
        <w:br/>
      </w:r>
      <w:r>
        <w:rPr>
          <w:rStyle w:val="NormalTok"/>
        </w:rPr>
        <w:t xml:space="preserve">    </w:t>
      </w:r>
      <w:r>
        <w:rPr>
          <w:rStyle w:val="FunctionTok"/>
        </w:rPr>
        <w:t xml:space="preserve">periph</w:t>
      </w:r>
      <w:r>
        <w:rPr>
          <w:rStyle w:val="NormalTok"/>
        </w:rPr>
        <w:t xml:space="preserve">(</w:t>
      </w:r>
      <w:r>
        <w:rPr>
          <w:rStyle w:val="DecValTok"/>
        </w:rPr>
        <w:t xml:space="preserve">0</w:t>
      </w:r>
      <w:r>
        <w:rPr>
          <w:rStyle w:val="NormalTok"/>
        </w:rPr>
        <w:t xml:space="preserve">) </w:t>
      </w:r>
      <w:r>
        <w:rPr>
          <w:rStyle w:val="OtherTok"/>
        </w:rPr>
        <w:t xml:space="preserve">&lt;-</w:t>
      </w:r>
      <w:r>
        <w:rPr>
          <w:rStyle w:val="NormalTok"/>
        </w:rPr>
        <w:t xml:space="preserve"> </w:t>
      </w:r>
      <w:r>
        <w:rPr>
          <w:rStyle w:val="DecValTok"/>
        </w:rPr>
        <w:t xml:space="preserve">0</w:t>
      </w:r>
      <w:r>
        <w:rPr>
          <w:rStyle w:val="NormalTok"/>
        </w:rPr>
        <w:t xml:space="preserve">       </w:t>
      </w:r>
      <w:r>
        <w:rPr>
          <w:rStyle w:val="CommentTok"/>
        </w:rPr>
        <w:t xml:space="preserve">#  Peripheral compartment</w:t>
      </w:r>
      <w:r>
        <w:br/>
      </w:r>
      <w:r>
        <w:rPr>
          <w:rStyle w:val="CommentTok"/>
        </w:rPr>
        <w:t xml:space="preserve"># Typical clearance including normalized eGFR as a covariate</w:t>
      </w:r>
      <w:r>
        <w:br/>
      </w:r>
      <w:r>
        <w:rPr>
          <w:rStyle w:val="NormalTok"/>
        </w:rPr>
        <w:t xml:space="preserve">    TVCl </w:t>
      </w:r>
      <w:r>
        <w:rPr>
          <w:rStyle w:val="OtherTok"/>
        </w:rPr>
        <w:t xml:space="preserve">&lt;-</w:t>
      </w:r>
      <w:r>
        <w:rPr>
          <w:rStyle w:val="NormalTok"/>
        </w:rPr>
        <w:t xml:space="preserve"> THETA_Cl </w:t>
      </w:r>
      <w:r>
        <w:rPr>
          <w:rStyle w:val="SpecialCharTok"/>
        </w:rPr>
        <w:t xml:space="preserve">*</w:t>
      </w:r>
      <w:r>
        <w:rPr>
          <w:rStyle w:val="NormalTok"/>
        </w:rPr>
        <w:t xml:space="preserve"> (eGFR </w:t>
      </w:r>
      <w:r>
        <w:rPr>
          <w:rStyle w:val="SpecialCharTok"/>
        </w:rPr>
        <w:t xml:space="preserve">/</w:t>
      </w:r>
      <w:r>
        <w:rPr>
          <w:rStyle w:val="NormalTok"/>
        </w:rPr>
        <w:t xml:space="preserve"> </w:t>
      </w:r>
      <w:r>
        <w:rPr>
          <w:rStyle w:val="DecValTok"/>
        </w:rPr>
        <w:t xml:space="preserve">93</w:t>
      </w:r>
      <w:r>
        <w:rPr>
          <w:rStyle w:val="NormalTok"/>
        </w:rPr>
        <w:t xml:space="preserve">)</w:t>
      </w:r>
      <w:r>
        <w:rPr>
          <w:rStyle w:val="SpecialCharTok"/>
        </w:rPr>
        <w:t xml:space="preserve">^</w:t>
      </w:r>
      <w:r>
        <w:rPr>
          <w:rStyle w:val="FloatTok"/>
        </w:rPr>
        <w:t xml:space="preserve">0.0043</w:t>
      </w:r>
      <w:r>
        <w:rPr>
          <w:rStyle w:val="NormalTok"/>
        </w:rPr>
        <w:t xml:space="preserve">   </w:t>
      </w:r>
      <w:r>
        <w:br/>
      </w:r>
      <w:r>
        <w:rPr>
          <w:rStyle w:val="CommentTok"/>
        </w:rPr>
        <w:t xml:space="preserve"># Central volume of distribution with interindividual variability</w:t>
      </w:r>
      <w:r>
        <w:br/>
      </w:r>
      <w:r>
        <w:rPr>
          <w:rStyle w:val="NormalTok"/>
        </w:rPr>
        <w:t xml:space="preserve">    V1 </w:t>
      </w:r>
      <w:r>
        <w:rPr>
          <w:rStyle w:val="OtherTok"/>
        </w:rPr>
        <w:t xml:space="preserve">&lt;-</w:t>
      </w:r>
      <w:r>
        <w:rPr>
          <w:rStyle w:val="NormalTok"/>
        </w:rPr>
        <w:t xml:space="preserve"> THETA_V1 </w:t>
      </w:r>
      <w:r>
        <w:rPr>
          <w:rStyle w:val="SpecialCharTok"/>
        </w:rPr>
        <w:t xml:space="preserve">*</w:t>
      </w:r>
      <w:r>
        <w:rPr>
          <w:rStyle w:val="NormalTok"/>
        </w:rPr>
        <w:t xml:space="preserve"> </w:t>
      </w:r>
      <w:r>
        <w:rPr>
          <w:rStyle w:val="FunctionTok"/>
        </w:rPr>
        <w:t xml:space="preserve">exp</w:t>
      </w:r>
      <w:r>
        <w:rPr>
          <w:rStyle w:val="NormalTok"/>
        </w:rPr>
        <w:t xml:space="preserve">(ETA_V1)</w:t>
      </w:r>
      <w:r>
        <w:br/>
      </w:r>
      <w:r>
        <w:rPr>
          <w:rStyle w:val="CommentTok"/>
        </w:rPr>
        <w:t xml:space="preserve"># Peripheral volume of distribution</w:t>
      </w:r>
      <w:r>
        <w:br/>
      </w:r>
      <w:r>
        <w:rPr>
          <w:rStyle w:val="NormalTok"/>
        </w:rPr>
        <w:t xml:space="preserve">    V2 </w:t>
      </w:r>
      <w:r>
        <w:rPr>
          <w:rStyle w:val="OtherTok"/>
        </w:rPr>
        <w:t xml:space="preserve">&lt;-</w:t>
      </w:r>
      <w:r>
        <w:rPr>
          <w:rStyle w:val="NormalTok"/>
        </w:rPr>
        <w:t xml:space="preserve"> THETA_V2 </w:t>
      </w:r>
      <w:r>
        <w:rPr>
          <w:rStyle w:val="SpecialCharTok"/>
        </w:rPr>
        <w:t xml:space="preserve">*</w:t>
      </w:r>
      <w:r>
        <w:rPr>
          <w:rStyle w:val="NormalTok"/>
        </w:rPr>
        <w:t xml:space="preserve"> </w:t>
      </w:r>
      <w:r>
        <w:rPr>
          <w:rStyle w:val="FunctionTok"/>
        </w:rPr>
        <w:t xml:space="preserve">exp</w:t>
      </w:r>
      <w:r>
        <w:rPr>
          <w:rStyle w:val="NormalTok"/>
        </w:rPr>
        <w:t xml:space="preserve">(ETA_V2)  </w:t>
      </w:r>
      <w:r>
        <w:br/>
      </w:r>
      <w:r>
        <w:rPr>
          <w:rStyle w:val="CommentTok"/>
        </w:rPr>
        <w:t xml:space="preserve"># Intercompartmental clearance</w:t>
      </w:r>
      <w:r>
        <w:br/>
      </w:r>
      <w:r>
        <w:rPr>
          <w:rStyle w:val="NormalTok"/>
        </w:rPr>
        <w:t xml:space="preserve">    Q  </w:t>
      </w:r>
      <w:r>
        <w:rPr>
          <w:rStyle w:val="OtherTok"/>
        </w:rPr>
        <w:t xml:space="preserve">&lt;-</w:t>
      </w:r>
      <w:r>
        <w:rPr>
          <w:rStyle w:val="NormalTok"/>
        </w:rPr>
        <w:t xml:space="preserve"> THETA_Q  </w:t>
      </w:r>
      <w:r>
        <w:rPr>
          <w:rStyle w:val="SpecialCharTok"/>
        </w:rPr>
        <w:t xml:space="preserve">*</w:t>
      </w:r>
      <w:r>
        <w:rPr>
          <w:rStyle w:val="NormalTok"/>
        </w:rPr>
        <w:t xml:space="preserve"> </w:t>
      </w:r>
      <w:r>
        <w:rPr>
          <w:rStyle w:val="FunctionTok"/>
        </w:rPr>
        <w:t xml:space="preserve">exp</w:t>
      </w:r>
      <w:r>
        <w:rPr>
          <w:rStyle w:val="NormalTok"/>
        </w:rPr>
        <w:t xml:space="preserve">(ETA_Q) </w:t>
      </w:r>
      <w:r>
        <w:br/>
      </w:r>
      <w:r>
        <w:rPr>
          <w:rStyle w:val="CommentTok"/>
        </w:rPr>
        <w:t xml:space="preserve"># Individual clearance incorporating both covariate and random effect</w:t>
      </w:r>
      <w:r>
        <w:br/>
      </w:r>
      <w:r>
        <w:rPr>
          <w:rStyle w:val="NormalTok"/>
        </w:rPr>
        <w:t xml:space="preserve">    Cl </w:t>
      </w:r>
      <w:r>
        <w:rPr>
          <w:rStyle w:val="OtherTok"/>
        </w:rPr>
        <w:t xml:space="preserve">&lt;-</w:t>
      </w:r>
      <w:r>
        <w:rPr>
          <w:rStyle w:val="NormalTok"/>
        </w:rPr>
        <w:t xml:space="preserve"> TVCl     </w:t>
      </w:r>
      <w:r>
        <w:rPr>
          <w:rStyle w:val="SpecialCharTok"/>
        </w:rPr>
        <w:t xml:space="preserve">*</w:t>
      </w:r>
      <w:r>
        <w:rPr>
          <w:rStyle w:val="NormalTok"/>
        </w:rPr>
        <w:t xml:space="preserve"> </w:t>
      </w:r>
      <w:r>
        <w:rPr>
          <w:rStyle w:val="FunctionTok"/>
        </w:rPr>
        <w:t xml:space="preserve">exp</w:t>
      </w:r>
      <w:r>
        <w:rPr>
          <w:rStyle w:val="NormalTok"/>
        </w:rPr>
        <w:t xml:space="preserve">(ETA_Cl)            </w:t>
      </w:r>
      <w:r>
        <w:br/>
      </w:r>
      <w:r>
        <w:rPr>
          <w:rStyle w:val="CommentTok"/>
        </w:rPr>
        <w:t xml:space="preserve"># Elimination rate constant</w:t>
      </w:r>
      <w:r>
        <w:br/>
      </w:r>
      <w:r>
        <w:rPr>
          <w:rStyle w:val="NormalTok"/>
        </w:rPr>
        <w:t xml:space="preserve">    ke  </w:t>
      </w:r>
      <w:r>
        <w:rPr>
          <w:rStyle w:val="OtherTok"/>
        </w:rPr>
        <w:t xml:space="preserve">&lt;-</w:t>
      </w:r>
      <w:r>
        <w:rPr>
          <w:rStyle w:val="NormalTok"/>
        </w:rPr>
        <w:t xml:space="preserve"> Cl </w:t>
      </w:r>
      <w:r>
        <w:rPr>
          <w:rStyle w:val="SpecialCharTok"/>
        </w:rPr>
        <w:t xml:space="preserve">/</w:t>
      </w:r>
      <w:r>
        <w:rPr>
          <w:rStyle w:val="NormalTok"/>
        </w:rPr>
        <w:t xml:space="preserve"> V1 </w:t>
      </w:r>
      <w:r>
        <w:br/>
      </w:r>
      <w:r>
        <w:rPr>
          <w:rStyle w:val="CommentTok"/>
        </w:rPr>
        <w:t xml:space="preserve"># Distribution rate from central to peripheral compartment</w:t>
      </w:r>
      <w:r>
        <w:br/>
      </w:r>
      <w:r>
        <w:rPr>
          <w:rStyle w:val="NormalTok"/>
        </w:rPr>
        <w:t xml:space="preserve">    k12 </w:t>
      </w:r>
      <w:r>
        <w:rPr>
          <w:rStyle w:val="OtherTok"/>
        </w:rPr>
        <w:t xml:space="preserve">&lt;-</w:t>
      </w:r>
      <w:r>
        <w:rPr>
          <w:rStyle w:val="NormalTok"/>
        </w:rPr>
        <w:t xml:space="preserve"> Q  </w:t>
      </w:r>
      <w:r>
        <w:rPr>
          <w:rStyle w:val="SpecialCharTok"/>
        </w:rPr>
        <w:t xml:space="preserve">/</w:t>
      </w:r>
      <w:r>
        <w:rPr>
          <w:rStyle w:val="NormalTok"/>
        </w:rPr>
        <w:t xml:space="preserve"> V1   </w:t>
      </w:r>
      <w:r>
        <w:br/>
      </w:r>
      <w:r>
        <w:rPr>
          <w:rStyle w:val="CommentTok"/>
        </w:rPr>
        <w:t xml:space="preserve"># Redistribution rate from peripheral to central compartment</w:t>
      </w:r>
      <w:r>
        <w:br/>
      </w:r>
      <w:r>
        <w:rPr>
          <w:rStyle w:val="NormalTok"/>
        </w:rPr>
        <w:t xml:space="preserve">    k21 </w:t>
      </w:r>
      <w:r>
        <w:rPr>
          <w:rStyle w:val="OtherTok"/>
        </w:rPr>
        <w:t xml:space="preserve">&lt;-</w:t>
      </w:r>
      <w:r>
        <w:rPr>
          <w:rStyle w:val="NormalTok"/>
        </w:rPr>
        <w:t xml:space="preserve"> Q  </w:t>
      </w:r>
      <w:r>
        <w:rPr>
          <w:rStyle w:val="SpecialCharTok"/>
        </w:rPr>
        <w:t xml:space="preserve">/</w:t>
      </w:r>
      <w:r>
        <w:rPr>
          <w:rStyle w:val="NormalTok"/>
        </w:rPr>
        <w:t xml:space="preserve"> V2                          </w:t>
      </w:r>
      <w:r>
        <w:br/>
      </w:r>
      <w:r>
        <w:rPr>
          <w:rStyle w:val="CommentTok"/>
        </w:rPr>
        <w:t xml:space="preserve"># Central compartment concentration</w:t>
      </w:r>
      <w:r>
        <w:br/>
      </w:r>
      <w:r>
        <w:rPr>
          <w:rStyle w:val="NormalTok"/>
        </w:rPr>
        <w:t xml:space="preserve">    Cc </w:t>
      </w:r>
      <w:r>
        <w:rPr>
          <w:rStyle w:val="OtherTok"/>
        </w:rPr>
        <w:t xml:space="preserve">&lt;-</w:t>
      </w:r>
      <w:r>
        <w:rPr>
          <w:rStyle w:val="NormalTok"/>
        </w:rPr>
        <w:t xml:space="preserve"> centr  </w:t>
      </w:r>
      <w:r>
        <w:rPr>
          <w:rStyle w:val="SpecialCharTok"/>
        </w:rPr>
        <w:t xml:space="preserve">/</w:t>
      </w:r>
      <w:r>
        <w:rPr>
          <w:rStyle w:val="NormalTok"/>
        </w:rPr>
        <w:t xml:space="preserve"> V1</w:t>
      </w:r>
      <w:r>
        <w:br/>
      </w:r>
      <w:r>
        <w:rPr>
          <w:rStyle w:val="CommentTok"/>
        </w:rPr>
        <w:t xml:space="preserve"># Peripheral compartment concentration</w:t>
      </w:r>
      <w:r>
        <w:br/>
      </w:r>
      <w:r>
        <w:rPr>
          <w:rStyle w:val="NormalTok"/>
        </w:rPr>
        <w:t xml:space="preserve">    Cp </w:t>
      </w:r>
      <w:r>
        <w:rPr>
          <w:rStyle w:val="OtherTok"/>
        </w:rPr>
        <w:t xml:space="preserve">&lt;-</w:t>
      </w:r>
      <w:r>
        <w:rPr>
          <w:rStyle w:val="NormalTok"/>
        </w:rPr>
        <w:t xml:space="preserve"> periph </w:t>
      </w:r>
      <w:r>
        <w:rPr>
          <w:rStyle w:val="SpecialCharTok"/>
        </w:rPr>
        <w:t xml:space="preserve">/</w:t>
      </w:r>
      <w:r>
        <w:rPr>
          <w:rStyle w:val="NormalTok"/>
        </w:rPr>
        <w:t xml:space="preserve"> V2                       </w:t>
      </w:r>
      <w:r>
        <w:br/>
      </w:r>
      <w:r>
        <w:rPr>
          <w:rStyle w:val="CommentTok"/>
        </w:rPr>
        <w:t xml:space="preserve"># Differential equation describing compartments kinetics</w:t>
      </w:r>
      <w:r>
        <w:br/>
      </w:r>
      <w:r>
        <w:rPr>
          <w:rStyle w:val="NormalTok"/>
        </w:rPr>
        <w:t xml:space="preserve">    d</w:t>
      </w:r>
      <w:r>
        <w:rPr>
          <w:rStyle w:val="SpecialCharTok"/>
        </w:rPr>
        <w:t xml:space="preserve">/</w:t>
      </w:r>
      <w:r>
        <w:rPr>
          <w:rStyle w:val="FunctionTok"/>
        </w:rPr>
        <w:t xml:space="preserve">dt</w:t>
      </w:r>
      <w:r>
        <w:rPr>
          <w:rStyle w:val="NormalTok"/>
        </w:rPr>
        <w:t xml:space="preserve">(centr)  </w:t>
      </w:r>
      <w:r>
        <w:rPr>
          <w:rStyle w:val="OtherTok"/>
        </w:rPr>
        <w:t xml:space="preserve">&lt;-</w:t>
      </w:r>
      <w:r>
        <w:rPr>
          <w:rStyle w:val="NormalTok"/>
        </w:rPr>
        <w:t xml:space="preserve"> </w:t>
      </w:r>
      <w:r>
        <w:rPr>
          <w:rStyle w:val="SpecialCharTok"/>
        </w:rPr>
        <w:t xml:space="preserve">-</w:t>
      </w:r>
      <w:r>
        <w:rPr>
          <w:rStyle w:val="NormalTok"/>
        </w:rPr>
        <w:t xml:space="preserve">ke </w:t>
      </w:r>
      <w:r>
        <w:rPr>
          <w:rStyle w:val="SpecialCharTok"/>
        </w:rPr>
        <w:t xml:space="preserve">*</w:t>
      </w:r>
      <w:r>
        <w:rPr>
          <w:rStyle w:val="NormalTok"/>
        </w:rPr>
        <w:t xml:space="preserve"> centr </w:t>
      </w:r>
      <w:r>
        <w:rPr>
          <w:rStyle w:val="SpecialCharTok"/>
        </w:rPr>
        <w:t xml:space="preserve">-</w:t>
      </w:r>
      <w:r>
        <w:rPr>
          <w:rStyle w:val="NormalTok"/>
        </w:rPr>
        <w:t xml:space="preserve"> k12 </w:t>
      </w:r>
      <w:r>
        <w:rPr>
          <w:rStyle w:val="SpecialCharTok"/>
        </w:rPr>
        <w:t xml:space="preserve">*</w:t>
      </w:r>
      <w:r>
        <w:rPr>
          <w:rStyle w:val="NormalTok"/>
        </w:rPr>
        <w:t xml:space="preserve"> centr </w:t>
      </w:r>
      <w:r>
        <w:rPr>
          <w:rStyle w:val="SpecialCharTok"/>
        </w:rPr>
        <w:t xml:space="preserve">+</w:t>
      </w:r>
      <w:r>
        <w:rPr>
          <w:rStyle w:val="NormalTok"/>
        </w:rPr>
        <w:t xml:space="preserve"> k21 </w:t>
      </w:r>
      <w:r>
        <w:rPr>
          <w:rStyle w:val="SpecialCharTok"/>
        </w:rPr>
        <w:t xml:space="preserve">*</w:t>
      </w:r>
      <w:r>
        <w:rPr>
          <w:rStyle w:val="NormalTok"/>
        </w:rPr>
        <w:t xml:space="preserve"> periph </w:t>
      </w:r>
      <w:r>
        <w:br/>
      </w:r>
      <w:r>
        <w:rPr>
          <w:rStyle w:val="NormalTok"/>
        </w:rPr>
        <w:t xml:space="preserve">    d</w:t>
      </w:r>
      <w:r>
        <w:rPr>
          <w:rStyle w:val="SpecialCharTok"/>
        </w:rPr>
        <w:t xml:space="preserve">/</w:t>
      </w:r>
      <w:r>
        <w:rPr>
          <w:rStyle w:val="FunctionTok"/>
        </w:rPr>
        <w:t xml:space="preserve">dt</w:t>
      </w:r>
      <w:r>
        <w:rPr>
          <w:rStyle w:val="NormalTok"/>
        </w:rPr>
        <w:t xml:space="preserve">(periph) </w:t>
      </w:r>
      <w:r>
        <w:rPr>
          <w:rStyle w:val="OtherTok"/>
        </w:rPr>
        <w:t xml:space="preserve">&lt;-</w:t>
      </w:r>
      <w:r>
        <w:rPr>
          <w:rStyle w:val="NormalTok"/>
        </w:rPr>
        <w:t xml:space="preserve">  k12 </w:t>
      </w:r>
      <w:r>
        <w:rPr>
          <w:rStyle w:val="SpecialCharTok"/>
        </w:rPr>
        <w:t xml:space="preserve">*</w:t>
      </w:r>
      <w:r>
        <w:rPr>
          <w:rStyle w:val="NormalTok"/>
        </w:rPr>
        <w:t xml:space="preserve"> centr </w:t>
      </w:r>
      <w:r>
        <w:rPr>
          <w:rStyle w:val="SpecialCharTok"/>
        </w:rPr>
        <w:t xml:space="preserve">-</w:t>
      </w:r>
      <w:r>
        <w:rPr>
          <w:rStyle w:val="NormalTok"/>
        </w:rPr>
        <w:t xml:space="preserve"> k21 </w:t>
      </w:r>
      <w:r>
        <w:rPr>
          <w:rStyle w:val="SpecialCharTok"/>
        </w:rPr>
        <w:t xml:space="preserve">*</w:t>
      </w:r>
      <w:r>
        <w:rPr>
          <w:rStyle w:val="NormalTok"/>
        </w:rPr>
        <w:t xml:space="preserve"> periph                </w:t>
      </w:r>
      <w:r>
        <w:br/>
      </w:r>
      <w:r>
        <w:rPr>
          <w:rStyle w:val="NormalTok"/>
        </w:rPr>
        <w:t xml:space="preserve">    d</w:t>
      </w:r>
      <w:r>
        <w:rPr>
          <w:rStyle w:val="SpecialCharTok"/>
        </w:rPr>
        <w:t xml:space="preserve">/</w:t>
      </w:r>
      <w:r>
        <w:rPr>
          <w:rStyle w:val="FunctionTok"/>
        </w:rPr>
        <w:t xml:space="preserve">dt</w:t>
      </w:r>
      <w:r>
        <w:rPr>
          <w:rStyle w:val="NormalTok"/>
        </w:rPr>
        <w:t xml:space="preserve">(AUC) </w:t>
      </w:r>
      <w:r>
        <w:rPr>
          <w:rStyle w:val="OtherTok"/>
        </w:rPr>
        <w:t xml:space="preserve">&lt;-</w:t>
      </w:r>
      <w:r>
        <w:rPr>
          <w:rStyle w:val="NormalTok"/>
        </w:rPr>
        <w:t xml:space="preserve"> Cc                         </w:t>
      </w:r>
      <w:r>
        <w:rPr>
          <w:rStyle w:val="CommentTok"/>
        </w:rPr>
        <w:t xml:space="preserve">#</w:t>
      </w:r>
      <w:r>
        <w:br/>
      </w:r>
      <w:r>
        <w:rPr>
          <w:rStyle w:val="NormalTok"/>
        </w:rPr>
        <w:t xml:space="preserve">  }),</w:t>
      </w:r>
      <w:r>
        <w:br/>
      </w:r>
      <w:r>
        <w:rPr>
          <w:rStyle w:val="CommentTok"/>
        </w:rPr>
        <w:t xml:space="preserve"># Combined additive and proportional residual error model</w:t>
      </w:r>
      <w:r>
        <w:br/>
      </w:r>
      <w:r>
        <w:rPr>
          <w:rStyle w:val="NormalTok"/>
        </w:rPr>
        <w:t xml:space="preserve">  </w:t>
      </w:r>
      <w:r>
        <w:rPr>
          <w:rStyle w:val="AttributeTok"/>
        </w:rPr>
        <w:t xml:space="preserve">error_model =</w:t>
      </w:r>
      <w:r>
        <w:rPr>
          <w:rStyle w:val="NormalTok"/>
        </w:rPr>
        <w:t xml:space="preserve"> </w:t>
      </w:r>
      <w:r>
        <w:rPr>
          <w:rStyle w:val="ControlFlowTok"/>
        </w:rPr>
        <w:t xml:space="preserve">function</w:t>
      </w:r>
      <w:r>
        <w:rPr>
          <w:rStyle w:val="NormalTok"/>
        </w:rPr>
        <w:t xml:space="preserve">(f, sigma) {        </w:t>
      </w:r>
      <w:r>
        <w:br/>
      </w:r>
      <w:r>
        <w:rPr>
          <w:rStyle w:val="NormalTok"/>
        </w:rPr>
        <w:t xml:space="preserve">    sigma[</w:t>
      </w:r>
      <w:r>
        <w:rPr>
          <w:rStyle w:val="DecValTok"/>
        </w:rPr>
        <w:t xml:space="preserve">1</w:t>
      </w:r>
      <w:r>
        <w:rPr>
          <w:rStyle w:val="NormalTok"/>
        </w:rPr>
        <w:t xml:space="preserve">] </w:t>
      </w:r>
      <w:r>
        <w:rPr>
          <w:rStyle w:val="SpecialCharTok"/>
        </w:rPr>
        <w:t xml:space="preserve">+</w:t>
      </w:r>
      <w:r>
        <w:rPr>
          <w:rStyle w:val="NormalTok"/>
        </w:rPr>
        <w:t xml:space="preserve"> sigma[</w:t>
      </w:r>
      <w:r>
        <w:rPr>
          <w:rStyle w:val="DecValTok"/>
        </w:rPr>
        <w:t xml:space="preserve">2</w:t>
      </w:r>
      <w:r>
        <w:rPr>
          <w:rStyle w:val="NormalTok"/>
        </w:rPr>
        <w:t xml:space="preserve">] </w:t>
      </w:r>
      <w:r>
        <w:rPr>
          <w:rStyle w:val="SpecialCharTok"/>
        </w:rPr>
        <w:t xml:space="preserve">*</w:t>
      </w:r>
      <w:r>
        <w:rPr>
          <w:rStyle w:val="NormalTok"/>
        </w:rPr>
        <w:t xml:space="preserve"> f</w:t>
      </w:r>
      <w:r>
        <w:br/>
      </w:r>
      <w:r>
        <w:rPr>
          <w:rStyle w:val="NormalTok"/>
        </w:rPr>
        <w:t xml:space="preserve">  },</w:t>
      </w:r>
      <w:r>
        <w:br/>
      </w:r>
      <w:r>
        <w:rPr>
          <w:rStyle w:val="CommentTok"/>
        </w:rPr>
        <w:t xml:space="preserve"># Fixed-effect parameters</w:t>
      </w:r>
      <w:r>
        <w:br/>
      </w:r>
      <w:r>
        <w:rPr>
          <w:rStyle w:val="NormalTok"/>
        </w:rPr>
        <w:t xml:space="preserve">  </w:t>
      </w:r>
      <w:r>
        <w:rPr>
          <w:rStyle w:val="AttributeTok"/>
        </w:rPr>
        <w:t xml:space="preserve">theta =</w:t>
      </w:r>
      <w:r>
        <w:rPr>
          <w:rStyle w:val="NormalTok"/>
        </w:rPr>
        <w:t xml:space="preserve"> </w:t>
      </w:r>
      <w:r>
        <w:rPr>
          <w:rStyle w:val="FunctionTok"/>
        </w:rPr>
        <w:t xml:space="preserve">c</w:t>
      </w:r>
      <w:r>
        <w:rPr>
          <w:rStyle w:val="NormalTok"/>
        </w:rPr>
        <w:t xml:space="preserve">(                                 </w:t>
      </w:r>
      <w:r>
        <w:br/>
      </w:r>
      <w:r>
        <w:rPr>
          <w:rStyle w:val="NormalTok"/>
        </w:rPr>
        <w:t xml:space="preserve">    </w:t>
      </w:r>
      <w:r>
        <w:rPr>
          <w:rStyle w:val="AttributeTok"/>
        </w:rPr>
        <w:t xml:space="preserve">THETA_Cl =</w:t>
      </w:r>
      <w:r>
        <w:rPr>
          <w:rStyle w:val="NormalTok"/>
        </w:rPr>
        <w:t xml:space="preserve"> </w:t>
      </w:r>
      <w:r>
        <w:rPr>
          <w:rStyle w:val="FloatTok"/>
        </w:rPr>
        <w:t xml:space="preserve">0.029</w:t>
      </w:r>
      <w:r>
        <w:rPr>
          <w:rStyle w:val="NormalTok"/>
        </w:rPr>
        <w:t xml:space="preserve">,</w:t>
      </w:r>
      <w:r>
        <w:br/>
      </w:r>
      <w:r>
        <w:rPr>
          <w:rStyle w:val="NormalTok"/>
        </w:rPr>
        <w:t xml:space="preserve">    </w:t>
      </w:r>
      <w:r>
        <w:rPr>
          <w:rStyle w:val="AttributeTok"/>
        </w:rPr>
        <w:t xml:space="preserve">THETA_V1 =</w:t>
      </w:r>
      <w:r>
        <w:rPr>
          <w:rStyle w:val="NormalTok"/>
        </w:rPr>
        <w:t xml:space="preserve"> </w:t>
      </w:r>
      <w:r>
        <w:rPr>
          <w:rStyle w:val="FloatTok"/>
        </w:rPr>
        <w:t xml:space="preserve">6.14</w:t>
      </w:r>
      <w:r>
        <w:rPr>
          <w:rStyle w:val="NormalTok"/>
        </w:rPr>
        <w:t xml:space="preserve">,</w:t>
      </w:r>
      <w:r>
        <w:br/>
      </w:r>
      <w:r>
        <w:rPr>
          <w:rStyle w:val="NormalTok"/>
        </w:rPr>
        <w:t xml:space="preserve">    </w:t>
      </w:r>
      <w:r>
        <w:rPr>
          <w:rStyle w:val="AttributeTok"/>
        </w:rPr>
        <w:t xml:space="preserve">THETA_V2 =</w:t>
      </w:r>
      <w:r>
        <w:rPr>
          <w:rStyle w:val="NormalTok"/>
        </w:rPr>
        <w:t xml:space="preserve"> </w:t>
      </w:r>
      <w:r>
        <w:rPr>
          <w:rStyle w:val="FloatTok"/>
        </w:rPr>
        <w:t xml:space="preserve">9.52</w:t>
      </w:r>
      <w:r>
        <w:rPr>
          <w:rStyle w:val="NormalTok"/>
        </w:rPr>
        <w:t xml:space="preserve">,</w:t>
      </w:r>
      <w:r>
        <w:br/>
      </w:r>
      <w:r>
        <w:rPr>
          <w:rStyle w:val="NormalTok"/>
        </w:rPr>
        <w:t xml:space="preserve">    </w:t>
      </w:r>
      <w:r>
        <w:rPr>
          <w:rStyle w:val="AttributeTok"/>
        </w:rPr>
        <w:t xml:space="preserve">THETA_Q  =</w:t>
      </w:r>
      <w:r>
        <w:rPr>
          <w:rStyle w:val="NormalTok"/>
        </w:rPr>
        <w:t xml:space="preserve"> </w:t>
      </w:r>
      <w:r>
        <w:rPr>
          <w:rStyle w:val="FloatTok"/>
        </w:rPr>
        <w:t xml:space="preserve">0.026</w:t>
      </w:r>
      <w:r>
        <w:br/>
      </w:r>
      <w:r>
        <w:rPr>
          <w:rStyle w:val="NormalTok"/>
        </w:rPr>
        <w:t xml:space="preserve">  ),                                        </w:t>
      </w:r>
      <w:r>
        <w:br/>
      </w:r>
      <w:r>
        <w:rPr>
          <w:rStyle w:val="CommentTok"/>
        </w:rPr>
        <w:t xml:space="preserve"># Model covariates required for simulation and estimation</w:t>
      </w:r>
      <w:r>
        <w:br/>
      </w:r>
      <w:r>
        <w:rPr>
          <w:rStyle w:val="NormalTok"/>
        </w:rPr>
        <w:t xml:space="preserve">  </w:t>
      </w:r>
      <w:r>
        <w:rPr>
          <w:rStyle w:val="AttributeTok"/>
        </w:rPr>
        <w:t xml:space="preserve">covariates =</w:t>
      </w:r>
      <w:r>
        <w:rPr>
          <w:rStyle w:val="NormalTok"/>
        </w:rPr>
        <w:t xml:space="preserve"> </w:t>
      </w:r>
      <w:r>
        <w:rPr>
          <w:rStyle w:val="FunctionTok"/>
        </w:rPr>
        <w:t xml:space="preserve">c</w:t>
      </w:r>
      <w:r>
        <w:rPr>
          <w:rStyle w:val="NormalTok"/>
        </w:rPr>
        <w:t xml:space="preserve">(</w:t>
      </w:r>
      <w:r>
        <w:rPr>
          <w:rStyle w:val="StringTok"/>
        </w:rPr>
        <w:t xml:space="preserve">"eGFR"</w:t>
      </w:r>
      <w:r>
        <w:rPr>
          <w:rStyle w:val="NormalTok"/>
        </w:rPr>
        <w:t xml:space="preserve">),                   </w:t>
      </w:r>
      <w:r>
        <w:br/>
      </w:r>
      <w:r>
        <w:rPr>
          <w:rStyle w:val="CommentTok"/>
        </w:rPr>
        <w:t xml:space="preserve"># Interindividual variability structure</w:t>
      </w:r>
      <w:r>
        <w:br/>
      </w:r>
      <w:r>
        <w:rPr>
          <w:rStyle w:val="NormalTok"/>
        </w:rPr>
        <w:t xml:space="preserve">  </w:t>
      </w:r>
      <w:r>
        <w:rPr>
          <w:rStyle w:val="AttributeTok"/>
        </w:rPr>
        <w:t xml:space="preserve">omega =</w:t>
      </w:r>
      <w:r>
        <w:rPr>
          <w:rStyle w:val="NormalTok"/>
        </w:rPr>
        <w:t xml:space="preserve"> lotri</w:t>
      </w:r>
      <w:r>
        <w:rPr>
          <w:rStyle w:val="SpecialCharTok"/>
        </w:rPr>
        <w:t xml:space="preserve">::</w:t>
      </w:r>
      <w:r>
        <w:rPr>
          <w:rStyle w:val="FunctionTok"/>
        </w:rPr>
        <w:t xml:space="preserve">lotri</w:t>
      </w:r>
      <w:r>
        <w:rPr>
          <w:rStyle w:val="NormalTok"/>
        </w:rPr>
        <w:t xml:space="preserve">({                     </w:t>
      </w:r>
      <w:r>
        <w:br/>
      </w:r>
      <w:r>
        <w:rPr>
          <w:rStyle w:val="NormalTok"/>
        </w:rPr>
        <w:t xml:space="preserve">    ETA_Cl </w:t>
      </w:r>
      <w:r>
        <w:rPr>
          <w:rStyle w:val="SpecialCharTok"/>
        </w:rPr>
        <w:t xml:space="preserve">+</w:t>
      </w:r>
      <w:r>
        <w:rPr>
          <w:rStyle w:val="NormalTok"/>
        </w:rPr>
        <w:t xml:space="preserve"> ETA_V1 </w:t>
      </w:r>
      <w:r>
        <w:rPr>
          <w:rStyle w:val="SpecialCharTok"/>
        </w:rPr>
        <w:t xml:space="preserve">+</w:t>
      </w:r>
      <w:r>
        <w:rPr>
          <w:rStyle w:val="NormalTok"/>
        </w:rPr>
        <w:t xml:space="preserve"> ETA_V2 </w:t>
      </w:r>
      <w:r>
        <w:rPr>
          <w:rStyle w:val="SpecialCharTok"/>
        </w:rPr>
        <w:t xml:space="preserve">+</w:t>
      </w:r>
      <w:r>
        <w:rPr>
          <w:rStyle w:val="NormalTok"/>
        </w:rPr>
        <w:t xml:space="preserve"> ETA_Q </w:t>
      </w:r>
      <w:r>
        <w:rPr>
          <w:rStyle w:val="SpecialCharTok"/>
        </w:rPr>
        <w:t xml:space="preserve">~</w:t>
      </w:r>
      <w:r>
        <w:br/>
      </w:r>
      <w:r>
        <w:rPr>
          <w:rStyle w:val="NormalTok"/>
        </w:rPr>
        <w:t xml:space="preserve">      </w:t>
      </w:r>
      <w:r>
        <w:rPr>
          <w:rStyle w:val="FunctionTok"/>
        </w:rPr>
        <w:t xml:space="preserve">c</w:t>
      </w:r>
      <w:r>
        <w:rPr>
          <w:rStyle w:val="NormalTok"/>
        </w:rPr>
        <w:t xml:space="preserve">(</w:t>
      </w:r>
      <w:r>
        <w:rPr>
          <w:rStyle w:val="FloatTok"/>
        </w:rPr>
        <w:t xml:space="preserve">0.0654</w:t>
      </w:r>
      <w:r>
        <w:rPr>
          <w:rStyle w:val="NormalTok"/>
        </w:rPr>
        <w:t xml:space="preserve">, </w:t>
      </w:r>
      <w:r>
        <w:rPr>
          <w:rStyle w:val="DecValTok"/>
        </w:rPr>
        <w:t xml:space="preserve">0</w:t>
      </w:r>
      <w:r>
        <w:rPr>
          <w:rStyle w:val="NormalTok"/>
        </w:rPr>
        <w:t xml:space="preserve">, </w:t>
      </w:r>
      <w:r>
        <w:rPr>
          <w:rStyle w:val="FloatTok"/>
        </w:rPr>
        <w:t xml:space="preserve">0.0255</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FloatTok"/>
        </w:rPr>
        <w:t xml:space="preserve">0.1213</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FloatTok"/>
        </w:rPr>
        <w:t xml:space="preserve">0.2063</w:t>
      </w:r>
      <w:r>
        <w:rPr>
          <w:rStyle w:val="NormalTok"/>
        </w:rPr>
        <w:t xml:space="preserve">)</w:t>
      </w:r>
      <w:r>
        <w:br/>
      </w:r>
      <w:r>
        <w:rPr>
          <w:rStyle w:val="NormalTok"/>
        </w:rPr>
        <w:t xml:space="preserve">  }),</w:t>
      </w:r>
      <w:r>
        <w:br/>
      </w:r>
      <w:r>
        <w:rPr>
          <w:rStyle w:val="CommentTok"/>
        </w:rPr>
        <w:t xml:space="preserve"># Residual variability parameters</w:t>
      </w:r>
      <w:r>
        <w:br/>
      </w:r>
      <w:r>
        <w:rPr>
          <w:rStyle w:val="NormalTok"/>
        </w:rPr>
        <w:t xml:space="preserve">  </w:t>
      </w:r>
      <w:r>
        <w:rPr>
          <w:rStyle w:val="AttributeTok"/>
        </w:rPr>
        <w:t xml:space="preserve">sigma =</w:t>
      </w:r>
      <w:r>
        <w:rPr>
          <w:rStyle w:val="NormalTok"/>
        </w:rPr>
        <w:t xml:space="preserve"> </w:t>
      </w:r>
      <w:r>
        <w:rPr>
          <w:rStyle w:val="FunctionTok"/>
        </w:rPr>
        <w:t xml:space="preserve">c</w:t>
      </w:r>
      <w:r>
        <w:rPr>
          <w:rStyle w:val="NormalTok"/>
        </w:rPr>
        <w:t xml:space="preserve">(                                 </w:t>
      </w:r>
      <w:r>
        <w:rPr>
          <w:rStyle w:val="CommentTok"/>
        </w:rPr>
        <w:t xml:space="preserve">#</w:t>
      </w:r>
      <w:r>
        <w:br/>
      </w:r>
      <w:r>
        <w:rPr>
          <w:rStyle w:val="NormalTok"/>
        </w:rPr>
        <w:t xml:space="preserve">    </w:t>
      </w:r>
      <w:r>
        <w:rPr>
          <w:rStyle w:val="AttributeTok"/>
        </w:rPr>
        <w:t xml:space="preserve">additive_a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proportional_b =</w:t>
      </w:r>
      <w:r>
        <w:rPr>
          <w:rStyle w:val="NormalTok"/>
        </w:rPr>
        <w:t xml:space="preserve"> </w:t>
      </w:r>
      <w:r>
        <w:rPr>
          <w:rStyle w:val="FloatTok"/>
        </w:rPr>
        <w:t xml:space="preserve">0.3392</w:t>
      </w:r>
      <w:r>
        <w:rPr>
          <w:rStyle w:val="NormalTok"/>
        </w:rPr>
        <w:t xml:space="preserve">          </w:t>
      </w:r>
      <w:r>
        <w:br/>
      </w:r>
      <w:r>
        <w:rPr>
          <w:rStyle w:val="NormalTok"/>
        </w:rPr>
        <w:t xml:space="preserve">  )                                       </w:t>
      </w:r>
      <w:r>
        <w:br/>
      </w:r>
      <w:r>
        <w:rPr>
          <w:rStyle w:val="NormalTok"/>
        </w:rPr>
        <w:t xml:space="preserve">)</w:t>
      </w:r>
    </w:p>
    <w:p>
      <w:pPr>
        <w:pStyle w:val="FirstParagraph"/>
      </w:pPr>
      <w:r>
        <w:t xml:space="preserve">The</w:t>
      </w:r>
      <w:r>
        <w:t xml:space="preserve"> </w:t>
      </w:r>
      <w:r>
        <w:rPr>
          <w:rStyle w:val="VerbatimChar"/>
        </w:rPr>
        <w:t xml:space="preserve">rxode2</w:t>
      </w:r>
      <w:r>
        <w:t xml:space="preserve"> </w:t>
      </w:r>
      <w:r>
        <w:t xml:space="preserve">model implements the following items:</w:t>
      </w:r>
    </w:p>
    <w:p>
      <w:pPr>
        <w:numPr>
          <w:ilvl w:val="0"/>
          <w:numId w:val="1004"/>
        </w:numPr>
      </w:pPr>
      <w:r>
        <w:t xml:space="preserve">structural population model component with the individual model (</w:t>
      </w:r>
      <w:r>
        <w:rPr>
          <w:i/>
          <w:iCs/>
        </w:rPr>
        <w:t xml:space="preserve">i.e.</w:t>
      </w:r>
      <w:r>
        <w:t xml:space="preserve"> </w:t>
      </w:r>
      <w:r>
        <w:t xml:space="preserve">the model of inter-individual variability) and the covariates.</w:t>
      </w:r>
    </w:p>
    <w:p>
      <w:pPr>
        <w:numPr>
          <w:ilvl w:val="0"/>
          <w:numId w:val="1004"/>
        </w:numPr>
      </w:pPr>
      <w:r>
        <w:t xml:space="preserve">A function of the residual error model</w:t>
      </w:r>
    </w:p>
    <w:p>
      <w:pPr>
        <w:numPr>
          <w:ilvl w:val="0"/>
          <w:numId w:val="1004"/>
        </w:numPr>
      </w:pPr>
      <w:r>
        <w:t xml:space="preserve">A character vector of the covariates of the model</w:t>
      </w:r>
    </w:p>
    <w:p>
      <w:pPr>
        <w:numPr>
          <w:ilvl w:val="0"/>
          <w:numId w:val="1004"/>
        </w:numPr>
      </w:pPr>
      <w:r>
        <w:t xml:space="preserve">A named vector of the population estimates of the fixed effects parameters (called theta)</w:t>
      </w:r>
    </w:p>
    <w:p>
      <w:pPr>
        <w:numPr>
          <w:ilvl w:val="0"/>
          <w:numId w:val="1004"/>
        </w:numPr>
      </w:pPr>
      <w:r>
        <w:t xml:space="preserve">A named square variance-covariance matrix of the population parameters inter-individual variability (called omega). In general, the estimates of the variances of the random effects can be given under different parameterizations depending on the authors. In this case the coefficiente of variation (</w:t>
      </w:r>
      <w:r>
        <w:t xml:space="preserve"> </w:t>
      </w:r>
      <m:oMath>
        <m:r>
          <m:t>C</m:t>
        </m:r>
        <m:r>
          <m:t>V</m:t>
        </m:r>
      </m:oMath>
      <w:r>
        <w:t xml:space="preserve"> </w:t>
      </w:r>
      <w:r>
        <w:t xml:space="preserve">) was available and the variance was computed back as</w:t>
      </w:r>
      <w:r>
        <w:t xml:space="preserve"> </w:t>
      </w:r>
      <m:oMath>
        <m:r>
          <m:t>l</m:t>
        </m:r>
        <m:r>
          <m:t>o</m:t>
        </m:r>
        <m:r>
          <m:t>g</m:t>
        </m:r>
        <m:d>
          <m:dPr>
            <m:begChr m:val="("/>
            <m:endChr m:val=")"/>
            <m:sepChr m:val=""/>
            <m:grow/>
          </m:dPr>
          <m:e>
            <m:r>
              <m:t>C</m:t>
            </m:r>
            <m:sSup>
              <m:e>
                <m:r>
                  <m:t>V</m:t>
                </m:r>
              </m:e>
              <m:sup>
                <m:r>
                  <m:t>2</m:t>
                </m:r>
              </m:sup>
            </m:sSup>
            <m:r>
              <m:rPr>
                <m:sty m:val="p"/>
              </m:rPr>
              <m:t>+</m:t>
            </m:r>
            <m:r>
              <m:t>1</m:t>
            </m:r>
          </m:e>
        </m:d>
      </m:oMath>
    </w:p>
    <w:p>
      <w:pPr>
        <w:numPr>
          <w:ilvl w:val="0"/>
          <w:numId w:val="1004"/>
        </w:numPr>
      </w:pPr>
      <w:r>
        <w:t xml:space="preserve">The estimates of the parameters of the residual error model (called sigma)</w:t>
      </w:r>
    </w:p>
    <w:bookmarkEnd w:id="31"/>
    <w:bookmarkStart w:id="32" w:name="model-averaging-and-selection"/>
    <w:p>
      <w:pPr>
        <w:pStyle w:val="Titolo3"/>
      </w:pPr>
      <w:r>
        <w:t xml:space="preserve">4.2.3 Model averaging and selection</w:t>
      </w:r>
    </w:p>
    <w:p>
      <w:pPr>
        <w:pStyle w:val="FirstParagraph"/>
      </w:pPr>
      <w:r>
        <w:t xml:space="preserve">When multiple models are identified for the same drug, model averaging techniques will be employed to integrate information across models. This approach acknowledges model uncertainty and allows predictions to reflect variability across plausible model structures. In the present project, model averaging will be implemented using a log-likelihood–based weighting approach, derived from the objective function values (OFV). For each model</w:t>
      </w:r>
      <w:r>
        <w:t xml:space="preserve"> </w:t>
      </w:r>
      <m:oMath>
        <m:r>
          <m:t>i</m:t>
        </m:r>
      </m:oMath>
      <w:r>
        <w:t xml:space="preserve"> </w:t>
      </w:r>
      <w:r>
        <w:t xml:space="preserve">the likelihood</w:t>
      </w:r>
      <w:r>
        <w:t xml:space="preserve"> </w:t>
      </w:r>
      <m:oMath>
        <m:sSub>
          <m:e>
            <m:r>
              <m:t>L</m:t>
            </m:r>
          </m:e>
          <m:sub>
            <m:r>
              <m:t>i</m:t>
            </m:r>
          </m:sub>
        </m:sSub>
      </m:oMath>
      <w:r>
        <w:t xml:space="preserve"> </w:t>
      </w:r>
      <w:r>
        <w:t xml:space="preserve">is computed as:</w:t>
      </w:r>
    </w:p>
    <w:p>
      <w:pPr>
        <w:pStyle w:val="Corpotesto"/>
      </w:pPr>
      <m:oMathPara>
        <m:oMathParaPr>
          <m:jc m:val="center"/>
        </m:oMathParaPr>
        <m:oMath>
          <m:sSub>
            <m:e>
              <m:r>
                <m:t>L</m:t>
              </m:r>
            </m:e>
            <m:sub>
              <m:r>
                <m:t>i</m:t>
              </m:r>
            </m:sub>
          </m:sSub>
          <m:r>
            <m:rPr>
              <m:sty m:val="p"/>
            </m:rPr>
            <m:t>=</m:t>
          </m:r>
          <m:r>
            <m:t>e</m:t>
          </m:r>
          <m:r>
            <m:t>x</m:t>
          </m:r>
          <m:r>
            <m:t>p</m:t>
          </m:r>
          <m:d>
            <m:dPr>
              <m:begChr m:val="("/>
              <m:endChr m:val=")"/>
              <m:sepChr m:val=""/>
              <m:grow/>
            </m:dPr>
            <m:e>
              <m:r>
                <m:rPr>
                  <m:sty m:val="p"/>
                </m:rPr>
                <m:t>−</m:t>
              </m:r>
              <m:r>
                <m:t>O</m:t>
              </m:r>
              <m:r>
                <m:t>F</m:t>
              </m:r>
              <m:sSub>
                <m:e>
                  <m:r>
                    <m:t>V</m:t>
                  </m:r>
                </m:e>
                <m:sub>
                  <m:r>
                    <m:t>i</m:t>
                  </m:r>
                </m:sub>
              </m:sSub>
              <m:r>
                <m:rPr>
                  <m:sty m:val="p"/>
                </m:rPr>
                <m:t>/</m:t>
              </m:r>
              <m:r>
                <m:t>2</m:t>
              </m:r>
            </m:e>
          </m:d>
        </m:oMath>
      </m:oMathPara>
    </w:p>
    <w:p>
      <w:pPr>
        <w:pStyle w:val="FirstParagraph"/>
      </w:pPr>
      <w:r>
        <w:t xml:space="preserve">The weights for each model are then calculated as:</w:t>
      </w:r>
    </w:p>
    <w:p>
      <w:pPr>
        <w:pStyle w:val="Corpotesto"/>
      </w:pPr>
      <m:oMathPara>
        <m:oMathParaPr>
          <m:jc m:val="center"/>
        </m:oMathParaPr>
        <m:oMath>
          <m:sSub>
            <m:e>
              <m:r>
                <m:t>w</m:t>
              </m:r>
            </m:e>
            <m:sub>
              <m:r>
                <m:t>i</m:t>
              </m:r>
            </m:sub>
          </m:sSub>
          <m:r>
            <m:rPr>
              <m:sty m:val="p"/>
            </m:rPr>
            <m:t>=</m:t>
          </m:r>
          <m:f>
            <m:fPr>
              <m:type m:val="bar"/>
            </m:fPr>
            <m:num>
              <m:sSub>
                <m:e>
                  <m:r>
                    <m:t>L</m:t>
                  </m:r>
                </m:e>
                <m:sub>
                  <m:r>
                    <m:t>i</m:t>
                  </m:r>
                </m:sub>
              </m:sSub>
            </m:num>
            <m:den>
              <m:nary>
                <m:naryPr>
                  <m:chr m:val="∑"/>
                  <m:limLoc m:val="undOvr"/>
                  <m:subHide m:val="off"/>
                  <m:supHide m:val="off"/>
                </m:naryPr>
                <m:sub>
                  <m:r>
                    <m:t>j</m:t>
                  </m:r>
                  <m:r>
                    <m:rPr>
                      <m:sty m:val="p"/>
                    </m:rPr>
                    <m:t>=</m:t>
                  </m:r>
                  <m:r>
                    <m:t>1</m:t>
                  </m:r>
                </m:sub>
                <m:sup>
                  <m:r>
                    <m:t>n</m:t>
                  </m:r>
                </m:sup>
                <m:e>
                  <m:sSub>
                    <m:e>
                      <m:r>
                        <m:t>L</m:t>
                      </m:r>
                    </m:e>
                    <m:sub>
                      <m:r>
                        <m:t>j</m:t>
                      </m:r>
                    </m:sub>
                  </m:sSub>
                </m:e>
              </m:nary>
            </m:den>
          </m:f>
        </m:oMath>
      </m:oMathPara>
    </w:p>
    <w:p>
      <w:pPr>
        <w:pStyle w:val="FirstParagraph"/>
      </w:pPr>
      <w:r>
        <w:t xml:space="preserve">where</w:t>
      </w:r>
      <w:r>
        <w:t xml:space="preserve"> </w:t>
      </w:r>
      <m:oMath>
        <m:r>
          <m:t>n</m:t>
        </m:r>
      </m:oMath>
      <w:r>
        <w:t xml:space="preserve"> </w:t>
      </w:r>
      <w:r>
        <w:t xml:space="preserve">is the total number of models considered. These weights are subsequently used to combine model predictions, such that the final prediction for a given outcome is a weighted average of the predictions from each individual model.</w:t>
      </w:r>
    </w:p>
    <w:p>
      <w:pPr>
        <w:pStyle w:val="Corpotesto"/>
      </w:pPr>
      <w:r>
        <w:t xml:space="preserve">The inclusion of AIC-based or alternative weighting schemes is planned as a future methodological extension, following the completion of model reconstruction and external validation activities.</w:t>
      </w:r>
    </w:p>
    <w:bookmarkEnd w:id="32"/>
    <w:bookmarkStart w:id="33" w:name="external-model-validation"/>
    <w:p>
      <w:pPr>
        <w:pStyle w:val="Titolo3"/>
      </w:pPr>
      <w:r>
        <w:t xml:space="preserve">4.2.4 External Model Validation</w:t>
      </w:r>
    </w:p>
    <w:p>
      <w:pPr>
        <w:pStyle w:val="FirstParagraph"/>
      </w:pPr>
      <w:r>
        <w:t xml:space="preserve">External validation will be performed using retrospective clinical datasets containing TDM data for the selected antimicrobial agents. Key steps in the validation process include: - Data Preparation: Clinical datasets will be curated to ensure data quality and consistency. Relevant patient-level covariates (e.g., demographics, body weight, renal function) will be extracted and, where necessary, transformed to match the covariate definitions and parameterizations used in the reconstructed models. Records with implausible values or insufficient information for model evaluation will be discarded.</w:t>
      </w:r>
    </w:p>
    <w:p>
      <w:pPr>
        <w:pStyle w:val="Compact"/>
        <w:numPr>
          <w:ilvl w:val="0"/>
          <w:numId w:val="1005"/>
        </w:numPr>
      </w:pPr>
      <w:r>
        <w:t xml:space="preserve">Predictive Performance Assessment: Model-predicted concentrations will be compared with observed TDM measurements using both numerical and graphical diagnostics. Quantitative metrics will include the mean prediction error (MPE) to assess bias and the root mean square error (RMSE) to assess precision. Graphical evaluations will include goodness-of-fit plots to assess the agreement between simulated and observed concentration–time profiles.</w:t>
      </w:r>
    </w:p>
    <w:p>
      <w:pPr>
        <w:pStyle w:val="Compact"/>
        <w:numPr>
          <w:ilvl w:val="0"/>
          <w:numId w:val="1005"/>
        </w:numPr>
      </w:pPr>
      <w:r>
        <w:t xml:space="preserve">Bayesian Forecasting: Individual predictions will be refined using Bayesian forecasting approaches, whereby prior information from the population model is updated with individual TDM observations.</w:t>
      </w:r>
    </w:p>
    <w:bookmarkEnd w:id="33"/>
    <w:bookmarkStart w:id="34" w:name="development-of-mipd-tools"/>
    <w:p>
      <w:pPr>
        <w:pStyle w:val="Titolo3"/>
      </w:pPr>
      <w:r>
        <w:t xml:space="preserve">4.2.5 Development of MIPD Tools</w:t>
      </w:r>
    </w:p>
    <w:p>
      <w:pPr>
        <w:pStyle w:val="FirstParagraph"/>
      </w:pPr>
      <w:r>
        <w:t xml:space="preserve">Validated models will be implemented into user-friendly Shiny applications to facilitate clinical decision support. These applications will enable clinicians to input patient-specific data and receive individualized dosing recommendations based on model simulations and target attainment analyses. Key features of the applications will include:</w:t>
      </w:r>
    </w:p>
    <w:p>
      <w:pPr>
        <w:pStyle w:val="Compact"/>
        <w:numPr>
          <w:ilvl w:val="0"/>
          <w:numId w:val="1006"/>
        </w:numPr>
      </w:pPr>
      <w:r>
        <w:t xml:space="preserve">Interactive interfaces for data input and visualization of simulation results.</w:t>
      </w:r>
    </w:p>
    <w:p>
      <w:pPr>
        <w:pStyle w:val="Compact"/>
        <w:numPr>
          <w:ilvl w:val="0"/>
          <w:numId w:val="1006"/>
        </w:numPr>
      </w:pPr>
      <w:r>
        <w:t xml:space="preserve">Functionality for performing Bayesian forecasting to update individual predictions based on TDM data.</w:t>
      </w:r>
    </w:p>
    <w:p>
      <w:pPr>
        <w:pStyle w:val="Compact"/>
        <w:numPr>
          <w:ilvl w:val="0"/>
          <w:numId w:val="1006"/>
        </w:numPr>
      </w:pPr>
      <w:r>
        <w:t xml:space="preserve">Tools for evaluating the probability of target attainment (PTA) for various dosing regimens</w:t>
      </w:r>
    </w:p>
    <w:bookmarkEnd w:id="34"/>
    <w:bookmarkEnd w:id="35"/>
    <w:bookmarkEnd w:id="36"/>
    <w:bookmarkStart w:id="37" w:name="ethical-considerations"/>
    <w:p>
      <w:pPr>
        <w:pStyle w:val="Titolo1"/>
      </w:pPr>
      <w:r>
        <w:t xml:space="preserve">5. Ethical Considerations</w:t>
      </w:r>
    </w:p>
    <w:p>
      <w:pPr>
        <w:pStyle w:val="FirstParagraph"/>
      </w:pPr>
      <w:r>
        <w:t xml:space="preserve">This PhD project is primarily methodological in nature and focuses on the systematic review of the literature, the reconstruction and evaluation of published PK/PD models, and the development of MIPD tools. These components do not involve direct patient contact or prospective intervention and therefore do not raise ethical concerns related to participant safety or informed consent.</w:t>
      </w:r>
    </w:p>
    <w:p>
      <w:pPr>
        <w:pStyle w:val="Corpotesto"/>
      </w:pPr>
      <w:r>
        <w:t xml:space="preserve">Where real-world clinical data are used for model validation purposes, analyses will be conducted on retrospective, anonymized or pseudonymized datasets collected as part of routine clinical care. No additional procedures, sampling, or changes to standard patient management will be required for the purposes of this research. Data handling will comply with applicable institutional policies and national and international data protection regulations, including the General Data Protection Regulation (GDPR), where applicable.</w:t>
      </w:r>
    </w:p>
    <w:p>
      <w:pPr>
        <w:pStyle w:val="Corpotesto"/>
      </w:pPr>
      <w:r>
        <w:t xml:space="preserve">Access to clinical data will be granted only after approval by the relevant institutional review boards or ethics committees, where required. All datasets will be stored securely, and access will be restricted to authorized members of the research team. The development of software tools and Shiny applications within this project is intended for research and educational purposes. These tools will not be deployed for direct clinical decision-making without appropriate clinical validation, regulatory approval, and institutional authorization. Any future clinical implementation would be subject to separate ethical review.</w:t>
      </w:r>
    </w:p>
    <w:bookmarkEnd w:id="37"/>
    <w:bookmarkStart w:id="38" w:name="section"/>
    <w:p>
      <w:pPr>
        <w:pStyle w:val="Titolo1"/>
      </w:pPr>
      <w:r>
        <w:t xml:space="preserve">6. </w:t>
      </w:r>
    </w:p>
    <w:bookmarkEnd w:id="38"/>
    <w:bookmarkStart w:id="56" w:name="references"/>
    <w:p>
      <w:pPr>
        <w:pStyle w:val="Titolo1"/>
      </w:pPr>
      <w:r>
        <w:t xml:space="preserve">References</w:t>
      </w:r>
    </w:p>
    <w:bookmarkStart w:id="55" w:name="refs"/>
    <w:bookmarkStart w:id="40" w:name="ref-who_amr_fact_sheet"/>
    <w:p>
      <w:pPr>
        <w:pStyle w:val="Bibliografia"/>
      </w:pPr>
      <w:r>
        <w:t xml:space="preserve">[1]</w:t>
      </w:r>
      <w:r>
        <w:t xml:space="preserve"> </w:t>
      </w:r>
      <w:r>
        <w:t xml:space="preserve">	</w:t>
      </w:r>
      <w:hyperlink r:id="rId39">
        <w:r>
          <w:rPr>
            <w:rStyle w:val="Collegamentoipertestuale"/>
          </w:rPr>
          <w:t xml:space="preserve">Antimicrobial resistance (AMR)</w:t>
        </w:r>
      </w:hyperlink>
      <w:r>
        <w:t xml:space="preserve">. World Health Organization; 2023.</w:t>
      </w:r>
    </w:p>
    <w:bookmarkEnd w:id="40"/>
    <w:bookmarkStart w:id="42" w:name="ref-naghavi2024global"/>
    <w:p>
      <w:pPr>
        <w:pStyle w:val="Bibliografia"/>
      </w:pPr>
      <w:r>
        <w:t xml:space="preserve">[2]</w:t>
      </w:r>
      <w:r>
        <w:t xml:space="preserve"> </w:t>
      </w:r>
      <w:r>
        <w:t xml:space="preserve">	</w:t>
      </w:r>
      <w:r>
        <w:t xml:space="preserve">Naghavi M et al. Global burden of bacterial antimicrobial resistance 1990–2021: A systematic analysis. The Lancet 2024.</w:t>
      </w:r>
      <w:r>
        <w:t xml:space="preserve"> </w:t>
      </w:r>
      <w:hyperlink r:id="rId41">
        <w:r>
          <w:rPr>
            <w:rStyle w:val="Collegamentoipertestuale"/>
          </w:rPr>
          <w:t xml:space="preserve">https://doi.org/10.1016/S0140-6736(24)01867-1</w:t>
        </w:r>
      </w:hyperlink>
      <w:r>
        <w:t xml:space="preserve">.</w:t>
      </w:r>
    </w:p>
    <w:bookmarkEnd w:id="42"/>
    <w:bookmarkStart w:id="44" w:name="ref-hong2023"/>
    <w:p>
      <w:pPr>
        <w:pStyle w:val="Bibliografia"/>
      </w:pPr>
      <w:r>
        <w:t xml:space="preserve">[3]</w:t>
      </w:r>
      <w:r>
        <w:t xml:space="preserve"> </w:t>
      </w:r>
      <w:r>
        <w:t xml:space="preserve">	</w:t>
      </w:r>
      <w:r>
        <w:t xml:space="preserve">Hong LT, Downes KJ, FakhriRavari A, Abdul-Mutakabbir JC, Kuti JL, Jorgensen S, et al. International consensus recommendations for the use of prolonged-infusion beta-lactam antibiotics: Endorsed by the American College of Clinical Pharmacy, British Society for Antimicrobial Chemotherapy, Cystic Fibrosis Foundation, European Society of Clinical Microbiology and Infectious Diseases, Infectious Diseases Society of America, Society of Critical Care Medicine, and Society of Infectious Diseases Pharmacists. Pharmacotherapy: The Journal of Human Pharmacology and Drug Therapy 2023;43:740–77.</w:t>
      </w:r>
      <w:r>
        <w:t xml:space="preserve"> </w:t>
      </w:r>
      <w:hyperlink r:id="rId43">
        <w:r>
          <w:rPr>
            <w:rStyle w:val="Collegamentoipertestuale"/>
          </w:rPr>
          <w:t xml:space="preserve">https://doi.org/10.1002/phar.2842</w:t>
        </w:r>
      </w:hyperlink>
      <w:r>
        <w:t xml:space="preserve">.</w:t>
      </w:r>
    </w:p>
    <w:bookmarkEnd w:id="44"/>
    <w:bookmarkStart w:id="46" w:name="ref-roberts2011"/>
    <w:p>
      <w:pPr>
        <w:pStyle w:val="Bibliografia"/>
      </w:pPr>
      <w:r>
        <w:t xml:space="preserve">[4]</w:t>
      </w:r>
      <w:r>
        <w:t xml:space="preserve"> </w:t>
      </w:r>
      <w:r>
        <w:t xml:space="preserve">	</w:t>
      </w:r>
      <w:r>
        <w:t xml:space="preserve">Roberts JA. Using PK/PD to optimize antibiotic dosing for critically ill patients. Current Pharmaceutical Biotechnology 2011;12:2070–9.</w:t>
      </w:r>
      <w:r>
        <w:t xml:space="preserve"> </w:t>
      </w:r>
      <w:hyperlink r:id="rId45">
        <w:r>
          <w:rPr>
            <w:rStyle w:val="Collegamentoipertestuale"/>
          </w:rPr>
          <w:t xml:space="preserve">https://doi.org/10.2174/138920111798808329</w:t>
        </w:r>
      </w:hyperlink>
      <w:r>
        <w:t xml:space="preserve">.</w:t>
      </w:r>
    </w:p>
    <w:bookmarkEnd w:id="46"/>
    <w:bookmarkStart w:id="48" w:name="ref-wicha2021"/>
    <w:p>
      <w:pPr>
        <w:pStyle w:val="Bibliografia"/>
      </w:pPr>
      <w:r>
        <w:t xml:space="preserve">[5]</w:t>
      </w:r>
      <w:r>
        <w:t xml:space="preserve"> </w:t>
      </w:r>
      <w:r>
        <w:t xml:space="preserve">	</w:t>
      </w:r>
      <w:r>
        <w:t xml:space="preserve">Wicha SG, Märtson A-G, Nielsen EI, Koch BCP, Friberg LE, Alffenaar J-W, et al. From Therapeutic Drug Monitoring to Model-Informed Precision Dosing for Antibiotics. Clinical Pharmacology &amp; Therapeutics 2021;109:928–41.</w:t>
      </w:r>
      <w:r>
        <w:t xml:space="preserve"> </w:t>
      </w:r>
      <w:hyperlink r:id="rId47">
        <w:r>
          <w:rPr>
            <w:rStyle w:val="Collegamentoipertestuale"/>
          </w:rPr>
          <w:t xml:space="preserve">https://doi.org/10.1002/cpt.2202</w:t>
        </w:r>
      </w:hyperlink>
      <w:r>
        <w:t xml:space="preserve">.</w:t>
      </w:r>
    </w:p>
    <w:bookmarkEnd w:id="48"/>
    <w:bookmarkStart w:id="50" w:name="ref-delvalle-moreno2023"/>
    <w:p>
      <w:pPr>
        <w:pStyle w:val="Bibliografia"/>
      </w:pPr>
      <w:r>
        <w:t xml:space="preserve">[6]</w:t>
      </w:r>
      <w:r>
        <w:t xml:space="preserve"> </w:t>
      </w:r>
      <w:r>
        <w:t xml:space="preserve">	</w:t>
      </w:r>
      <w:r>
        <w:t xml:space="preserve">Del Valle-Moreno P, Suarez-Casillas P, Mejías-Trueba M, Ciudad-Gutiérrez P, Guisado-Gil AB, Gil-Navarro MV, et al. Model-Informed Precision Dosing Software Tools for Dosage Regimen Individualization: A Scoping Review. Pharmaceutics 2023;15:1859.</w:t>
      </w:r>
      <w:r>
        <w:t xml:space="preserve"> </w:t>
      </w:r>
      <w:hyperlink r:id="rId49">
        <w:r>
          <w:rPr>
            <w:rStyle w:val="Collegamentoipertestuale"/>
          </w:rPr>
          <w:t xml:space="preserve">https://doi.org/10.3390/pharmaceutics15071859</w:t>
        </w:r>
      </w:hyperlink>
      <w:r>
        <w:t xml:space="preserve">.</w:t>
      </w:r>
    </w:p>
    <w:bookmarkEnd w:id="50"/>
    <w:bookmarkStart w:id="52" w:name="ref-cojutti2022"/>
    <w:p>
      <w:pPr>
        <w:pStyle w:val="Bibliografia"/>
      </w:pPr>
      <w:r>
        <w:t xml:space="preserve">[7]</w:t>
      </w:r>
      <w:r>
        <w:t xml:space="preserve"> </w:t>
      </w:r>
      <w:r>
        <w:t xml:space="preserve">	</w:t>
      </w:r>
      <w:r>
        <w:t xml:space="preserve">Cojutti PG, Tedeschi S, Gatti M, Zamparini E, Meschiari M, Siega PD, et al. Population Pharmacokinetic and Pharmacodynamic Analysis of Dalbavancin for Long-Term Treatment of Subacute and/or Chronic Infectious Diseases: The Major Role of Therapeutic Drug Monitoring. Antibiotics 2022;11:996.</w:t>
      </w:r>
      <w:r>
        <w:t xml:space="preserve"> </w:t>
      </w:r>
      <w:hyperlink r:id="rId51">
        <w:r>
          <w:rPr>
            <w:rStyle w:val="Collegamentoipertestuale"/>
          </w:rPr>
          <w:t xml:space="preserve">https://doi.org/10.3390/antibiotics11080996</w:t>
        </w:r>
      </w:hyperlink>
      <w:r>
        <w:t xml:space="preserve">.</w:t>
      </w:r>
    </w:p>
    <w:bookmarkEnd w:id="52"/>
    <w:bookmarkStart w:id="54" w:name="ref-wang2023"/>
    <w:p>
      <w:pPr>
        <w:pStyle w:val="Bibliografia"/>
      </w:pPr>
      <w:r>
        <w:t xml:space="preserve">[8]</w:t>
      </w:r>
      <w:r>
        <w:t xml:space="preserve"> </w:t>
      </w:r>
      <w:r>
        <w:t xml:space="preserve">	</w:t>
      </w:r>
      <w:r>
        <w:t xml:space="preserve">Wang W, Harden M, Ribbing J, Hooker AC. rxode2: Accelerated solvers for ordinary differential equation systems in r. Journal of Pharmacokinetics and Pharmacodynamics 2023;50:161–78.</w:t>
      </w:r>
      <w:r>
        <w:t xml:space="preserve"> </w:t>
      </w:r>
      <w:hyperlink r:id="rId53">
        <w:r>
          <w:rPr>
            <w:rStyle w:val="Collegamentoipertestuale"/>
          </w:rPr>
          <w:t xml:space="preserve">https://doi.org/10.1007/s10928-022-09839-1</w:t>
        </w:r>
      </w:hyperlink>
      <w:r>
        <w:t xml:space="preserve">.</w:t>
      </w:r>
    </w:p>
    <w:bookmarkEnd w:id="54"/>
    <w:bookmarkEnd w:id="55"/>
    <w:bookmarkEnd w:id="56"/>
    <w:sectPr w:rsidR="006C08B6" w:rsidRPr="006C08B6" w:rsidSect="00A05882">
      <w:headerReference r:id="rId11" w:type="even"/>
      <w:headerReference r:id="rId10" w:type="default"/>
      <w:footerReference r:id="rId13" w:type="even"/>
      <w:footerReference r:id="rId12" w:type="default"/>
      <w:headerReference r:id="rId9" w:type="first"/>
      <w:footerReference r:id="rId14" w:type="first"/>
      <w:pgSz w:code="1" w:h="15840" w:w="12240"/>
      <w:pgMar w:bottom="720" w:footer="907" w:gutter="0" w:header="907" w:left="1008" w:right="1008" w:top="1008"/>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HelveticaNeueforSAS">
    <w:altName w:val="Arial"/>
    <w:charset w:val="00"/>
    <w:family w:val="swiss"/>
    <w:pitch w:val="variable"/>
    <w:sig w:usb0="A00002EF" w:usb1="5000205B"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18482" w14:textId="77777777" w:rsidR="009A2FDD" w:rsidRDefault="009A2FDD">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B973D" w14:textId="0761FCAC" w:rsidR="00BD1E19" w:rsidRPr="00414565" w:rsidRDefault="005E10E8" w:rsidP="009C221D">
    <w:pPr>
      <w:pStyle w:val="Pidipagina"/>
      <w:spacing w:before="120"/>
    </w:pPr>
    <w:r w:rsidRPr="009C221D">
      <w:rPr>
        <w:noProof/>
        <w:shd w:val="clear" w:color="auto" w:fill="FFFFFF" w:themeFill="background1"/>
      </w:rPr>
      <w:drawing>
        <wp:anchor distT="0" distB="0" distL="114300" distR="114300" simplePos="0" relativeHeight="251655166" behindDoc="1" locked="0" layoutInCell="1" allowOverlap="1" wp14:anchorId="7D44BB56" wp14:editId="1C11CDD9">
          <wp:simplePos x="0" y="0"/>
          <wp:positionH relativeFrom="column">
            <wp:posOffset>-78105</wp:posOffset>
          </wp:positionH>
          <wp:positionV relativeFrom="paragraph">
            <wp:posOffset>-127000</wp:posOffset>
          </wp:positionV>
          <wp:extent cx="5648325" cy="640080"/>
          <wp:effectExtent l="0" t="0" r="9525" b="7620"/>
          <wp:wrapNone/>
          <wp:docPr id="19286434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
                    <a:extLst>
                      <a:ext uri="{28A0092B-C50C-407E-A947-70E740481C1C}">
                        <a14:useLocalDpi xmlns:a14="http://schemas.microsoft.com/office/drawing/2010/main" val="0"/>
                      </a:ext>
                    </a:extLst>
                  </a:blip>
                  <a:srcRect r="48031"/>
                  <a:stretch/>
                </pic:blipFill>
                <pic:spPr bwMode="auto">
                  <a:xfrm>
                    <a:off x="0" y="0"/>
                    <a:ext cx="5648325" cy="6400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C221D">
      <w:rPr>
        <w:noProof/>
        <w:shd w:val="clear" w:color="auto" w:fill="FFFFFF" w:themeFill="background1"/>
      </w:rPr>
      <w:drawing>
        <wp:anchor distT="0" distB="0" distL="114300" distR="114300" simplePos="0" relativeHeight="251653116" behindDoc="1" locked="0" layoutInCell="1" allowOverlap="1" wp14:anchorId="2D11DB61" wp14:editId="75354ECE">
          <wp:simplePos x="0" y="0"/>
          <wp:positionH relativeFrom="column">
            <wp:posOffset>5179695</wp:posOffset>
          </wp:positionH>
          <wp:positionV relativeFrom="paragraph">
            <wp:posOffset>-117475</wp:posOffset>
          </wp:positionV>
          <wp:extent cx="1933575" cy="639445"/>
          <wp:effectExtent l="0" t="0" r="9525" b="8255"/>
          <wp:wrapNone/>
          <wp:docPr id="3252114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
                    <a:extLst>
                      <a:ext uri="{28A0092B-C50C-407E-A947-70E740481C1C}">
                        <a14:useLocalDpi xmlns:a14="http://schemas.microsoft.com/office/drawing/2010/main" val="0"/>
                      </a:ext>
                    </a:extLst>
                  </a:blip>
                  <a:srcRect l="44938" r="48031"/>
                  <a:stretch/>
                </pic:blipFill>
                <pic:spPr bwMode="auto">
                  <a:xfrm>
                    <a:off x="0" y="0"/>
                    <a:ext cx="1933575" cy="6394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C221D" w:rsidRPr="009C221D">
      <w:rPr>
        <w:noProof/>
        <w:shd w:val="clear" w:color="auto" w:fill="FFFFFF" w:themeFill="background1"/>
      </w:rPr>
      <w:drawing>
        <wp:anchor distT="0" distB="0" distL="114300" distR="114300" simplePos="0" relativeHeight="251654141" behindDoc="1" locked="0" layoutInCell="1" allowOverlap="1" wp14:anchorId="663AD3D1" wp14:editId="41579D43">
          <wp:simplePos x="0" y="0"/>
          <wp:positionH relativeFrom="column">
            <wp:posOffset>-716280</wp:posOffset>
          </wp:positionH>
          <wp:positionV relativeFrom="paragraph">
            <wp:posOffset>-127000</wp:posOffset>
          </wp:positionV>
          <wp:extent cx="1600200" cy="639445"/>
          <wp:effectExtent l="0" t="0" r="0" b="8255"/>
          <wp:wrapNone/>
          <wp:docPr id="6461713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
                    <a:extLst>
                      <a:ext uri="{28A0092B-C50C-407E-A947-70E740481C1C}">
                        <a14:useLocalDpi xmlns:a14="http://schemas.microsoft.com/office/drawing/2010/main" val="0"/>
                      </a:ext>
                    </a:extLst>
                  </a:blip>
                  <a:srcRect r="94089"/>
                  <a:stretch/>
                </pic:blipFill>
                <pic:spPr bwMode="auto">
                  <a:xfrm>
                    <a:off x="0" y="0"/>
                    <a:ext cx="1600200" cy="6394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C221D">
      <w:rPr>
        <w:shd w:val="clear" w:color="auto" w:fill="FFFFFF" w:themeFill="background1"/>
      </w:rPr>
      <w:t xml:space="preserve"> </w:t>
    </w:r>
    <w:r w:rsidRPr="005E10E8">
      <w:rPr>
        <w:color w:val="FFFFFF" w:themeColor="background1"/>
        <w:shd w:val="clear" w:color="auto" w:fill="FFFFFF" w:themeFill="background1"/>
      </w:rPr>
      <w:t>_</w:t>
    </w:r>
    <w:r w:rsidR="009C221D" w:rsidRPr="009C221D">
      <w:rPr>
        <w:shd w:val="clear" w:color="auto" w:fill="FFFFFF" w:themeFill="background1"/>
      </w:rPr>
      <w:fldChar w:fldCharType="begin"/>
    </w:r>
    <w:r w:rsidR="009C221D" w:rsidRPr="009C221D">
      <w:rPr>
        <w:shd w:val="clear" w:color="auto" w:fill="FFFFFF" w:themeFill="background1"/>
      </w:rPr>
      <w:instrText xml:space="preserve"> PAGE   \* MERGEFORMAT </w:instrText>
    </w:r>
    <w:r w:rsidR="009C221D" w:rsidRPr="009C221D">
      <w:rPr>
        <w:shd w:val="clear" w:color="auto" w:fill="FFFFFF" w:themeFill="background1"/>
      </w:rPr>
      <w:fldChar w:fldCharType="separate"/>
    </w:r>
    <w:r w:rsidR="009C221D" w:rsidRPr="009C221D">
      <w:rPr>
        <w:noProof/>
        <w:shd w:val="clear" w:color="auto" w:fill="FFFFFF" w:themeFill="background1"/>
      </w:rPr>
      <w:t>3</w:t>
    </w:r>
    <w:r w:rsidR="009C221D" w:rsidRPr="009C221D">
      <w:rPr>
        <w:shd w:val="clear" w:color="auto" w:fill="FFFFFF" w:themeFill="background1"/>
      </w:rPr>
      <w:fldChar w:fldCharType="end"/>
    </w:r>
    <w:r w:rsidRPr="005E10E8">
      <w:rPr>
        <w:color w:val="FFFFFF" w:themeColor="background1"/>
        <w:shd w:val="clear" w:color="auto" w:fill="FFFFFF" w:themeFill="background1"/>
      </w:rPr>
      <w:t>_</w:t>
    </w:r>
    <w:r w:rsidR="009C221D">
      <w:rPr>
        <w:shd w:val="clear" w:color="auto" w:fill="FFFFFF" w:themeFill="background1"/>
      </w:rPr>
      <w:t xml:space="preserve"> </w:t>
    </w:r>
    <w:r w:rsidR="009C221D" w:rsidRPr="00414565">
      <w:ptab w:relativeTo="margin" w:alignment="center" w:leader="none"/>
    </w:r>
    <w:r w:rsidR="009C221D" w:rsidRPr="00414565">
      <w:ptab w:relativeTo="margin" w:alignment="right" w:leader="none"/>
    </w:r>
    <w:r w:rsidRPr="005E10E8">
      <w:rPr>
        <w:shd w:val="clear" w:color="auto" w:fill="FFFFFF" w:themeFill="background1"/>
      </w:rPr>
      <w:t xml:space="preserve"> </w:t>
    </w:r>
    <w:r w:rsidRPr="005E10E8">
      <w:rPr>
        <w:color w:val="FFFFFF" w:themeColor="background1"/>
        <w:shd w:val="clear" w:color="auto" w:fill="FFFFFF" w:themeFill="background1"/>
      </w:rPr>
      <w:t>_</w:t>
    </w:r>
    <w:r w:rsidR="002A2463" w:rsidRPr="002A2463">
      <w:rPr>
        <w:shd w:val="clear" w:color="auto" w:fill="FFFFFF" w:themeFill="background1"/>
      </w:rPr>
      <w:t xml:space="preserve"> </w:t>
    </w:r>
    <w:r w:rsidR="002A2463" w:rsidRPr="00852A71">
      <w:rPr>
        <w:shd w:val="clear" w:color="auto" w:fill="FFFFFF" w:themeFill="background1"/>
      </w:rPr>
      <w:t>https://github.com/mat194</w:t>
    </w:r>
    <w:r w:rsidRPr="005E10E8">
      <w:rPr>
        <w:color w:val="FFFFFF" w:themeColor="background1"/>
        <w:shd w:val="clear" w:color="auto" w:fill="FFFFFF" w:themeFill="background1"/>
      </w:rPr>
      <w:t>_</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66242" w14:textId="77777777" w:rsidR="009A2FDD" w:rsidRDefault="009A2FDD">
    <w:pPr>
      <w:pStyle w:val="Pidipagina"/>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2A2F4" w14:textId="77777777" w:rsidR="009A2FDD" w:rsidRDefault="009A2FDD">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209C2" w14:textId="502DE529" w:rsidR="00BD1E19" w:rsidRPr="00280704" w:rsidRDefault="002A2463">
    <w:pPr>
      <w:pStyle w:val="Intestazione"/>
    </w:pPr>
    <w:r w:rsidRPr="000B6886">
      <w:rPr>
        <w:noProof/>
      </w:rPr>
      <w:drawing>
        <wp:anchor distT="0" distB="0" distL="114300" distR="114300" simplePos="0" relativeHeight="251660288" behindDoc="0" locked="0" layoutInCell="1" allowOverlap="1" wp14:anchorId="7CFA3625" wp14:editId="3B715421">
          <wp:simplePos x="0" y="0"/>
          <wp:positionH relativeFrom="column">
            <wp:posOffset>-76200</wp:posOffset>
          </wp:positionH>
          <wp:positionV relativeFrom="paragraph">
            <wp:posOffset>-381635</wp:posOffset>
          </wp:positionV>
          <wp:extent cx="1838582" cy="724001"/>
          <wp:effectExtent l="0" t="0" r="9525" b="0"/>
          <wp:wrapNone/>
          <wp:docPr id="529822225" name="Immagine 1" descr="Immagine che contiene testo, Carattere, bianco, Elementi grafici&#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822225" name="Immagine 1" descr="Immagine che contiene testo, Carattere, bianco, Elementi grafici&#10;&#10;Il contenuto generato dall'IA potrebbe non essere corretto."/>
                  <pic:cNvPicPr/>
                </pic:nvPicPr>
                <pic:blipFill>
                  <a:blip r:embed="rId1">
                    <a:extLst>
                      <a:ext uri="{28A0092B-C50C-407E-A947-70E740481C1C}">
                        <a14:useLocalDpi xmlns:a14="http://schemas.microsoft.com/office/drawing/2010/main" val="0"/>
                      </a:ext>
                    </a:extLst>
                  </a:blip>
                  <a:stretch>
                    <a:fillRect/>
                  </a:stretch>
                </pic:blipFill>
                <pic:spPr>
                  <a:xfrm>
                    <a:off x="0" y="0"/>
                    <a:ext cx="1838582" cy="724001"/>
                  </a:xfrm>
                  <a:prstGeom prst="rect">
                    <a:avLst/>
                  </a:prstGeom>
                </pic:spPr>
              </pic:pic>
            </a:graphicData>
          </a:graphic>
        </wp:anchor>
      </w:drawing>
    </w:r>
    <w:r w:rsidRPr="000B6886">
      <w:rPr>
        <w:noProof/>
      </w:rPr>
      <w:drawing>
        <wp:anchor distT="0" distB="0" distL="114300" distR="114300" simplePos="0" relativeHeight="251659264" behindDoc="0" locked="0" layoutInCell="1" allowOverlap="1" wp14:anchorId="46D97082" wp14:editId="05B54531">
          <wp:simplePos x="0" y="0"/>
          <wp:positionH relativeFrom="column">
            <wp:posOffset>4514850</wp:posOffset>
          </wp:positionH>
          <wp:positionV relativeFrom="paragraph">
            <wp:posOffset>-417830</wp:posOffset>
          </wp:positionV>
          <wp:extent cx="2301240" cy="796925"/>
          <wp:effectExtent l="0" t="0" r="3810" b="3175"/>
          <wp:wrapNone/>
          <wp:docPr id="1042560039" name="Immagine 1" descr="Immagine che contiene logo, testo, emblem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560039" name="Immagine 1" descr="Immagine che contiene logo, testo, emblema, Carattere&#10;&#10;Il contenuto generato dall'IA potrebbe non essere corretto."/>
                  <pic:cNvPicPr/>
                </pic:nvPicPr>
                <pic:blipFill>
                  <a:blip r:embed="rId2">
                    <a:extLst>
                      <a:ext uri="{28A0092B-C50C-407E-A947-70E740481C1C}">
                        <a14:useLocalDpi xmlns:a14="http://schemas.microsoft.com/office/drawing/2010/main" val="0"/>
                      </a:ext>
                    </a:extLst>
                  </a:blip>
                  <a:stretch>
                    <a:fillRect/>
                  </a:stretch>
                </pic:blipFill>
                <pic:spPr>
                  <a:xfrm>
                    <a:off x="0" y="0"/>
                    <a:ext cx="2301240" cy="796925"/>
                  </a:xfrm>
                  <a:prstGeom prst="rect">
                    <a:avLst/>
                  </a:prstGeom>
                </pic:spPr>
              </pic:pic>
            </a:graphicData>
          </a:graphic>
        </wp:anchor>
      </w:drawing>
    </w:r>
    <w:r w:rsidRPr="009C221D">
      <w:rPr>
        <w:noProof/>
        <w:shd w:val="clear" w:color="auto" w:fill="FFFFFF" w:themeFill="background1"/>
      </w:rPr>
      <w:drawing>
        <wp:anchor distT="0" distB="0" distL="114300" distR="114300" simplePos="0" relativeHeight="251662336" behindDoc="1" locked="0" layoutInCell="1" allowOverlap="1" wp14:anchorId="30692FDF" wp14:editId="750F6BE4">
          <wp:simplePos x="0" y="0"/>
          <wp:positionH relativeFrom="column">
            <wp:posOffset>-552450</wp:posOffset>
          </wp:positionH>
          <wp:positionV relativeFrom="margin">
            <wp:posOffset>-779145</wp:posOffset>
          </wp:positionV>
          <wp:extent cx="7724775" cy="639445"/>
          <wp:effectExtent l="0" t="0" r="9525" b="8255"/>
          <wp:wrapNone/>
          <wp:docPr id="17182166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
                    <a:extLst>
                      <a:ext uri="{28A0092B-C50C-407E-A947-70E740481C1C}">
                        <a14:useLocalDpi xmlns:a14="http://schemas.microsoft.com/office/drawing/2010/main" val="0"/>
                      </a:ext>
                    </a:extLst>
                  </a:blip>
                  <a:srcRect r="94089"/>
                  <a:stretch/>
                </pic:blipFill>
                <pic:spPr bwMode="auto">
                  <a:xfrm>
                    <a:off x="0" y="0"/>
                    <a:ext cx="7724775" cy="6394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80704" w:rsidRPr="00280704">
      <w:t xml:space="preserve"> </w:t>
    </w:r>
  </w:p>
  <w:p w14:paraId="507D0FE6" w14:textId="23663BD8" w:rsidR="00BD1E19" w:rsidRPr="00280704" w:rsidRDefault="00BD1E19">
    <w:pPr>
      <w:pStyle w:val="Intestazione"/>
      <w:rPr>
        <w:sz w:val="36"/>
        <w:szCs w:val="3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59507" w14:textId="77777777" w:rsidR="009A2FDD" w:rsidRDefault="009A2FDD">
    <w:pPr>
      <w:pStyle w:val="Intestazione"/>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89"/>
    <w:multiLevelType w:val="singleLevel"/>
    <w:tmpl w:val="A93E57AC"/>
    <w:lvl w:ilvl="0">
      <w:start w:val="1"/>
      <w:numFmt w:val="bullet"/>
      <w:pStyle w:val="Puntoelenco"/>
      <w:lvlText w:val=""/>
      <w:lvlJc w:val="left"/>
      <w:pPr>
        <w:ind w:hanging="360" w:left="360"/>
      </w:pPr>
      <w:rPr>
        <w:rFonts w:ascii="Wingdings" w:hAnsi="Wingdings" w:hint="default"/>
      </w:rPr>
    </w:lvl>
  </w:abstractNum>
  <w:abstractNum w15:restartNumberingAfterBreak="0" w:abstractNumId="1">
    <w:nsid w:val="0000A990"/>
    <w:multiLevelType w:val="multilevel"/>
    <w:tmpl w:val="2E7A7710"/>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2">
    <w:nsid w:val="065809FB"/>
    <w:multiLevelType w:val="hybridMultilevel"/>
    <w:tmpl w:val="4270269A"/>
    <w:lvl w:ilvl="0" w:tplc="04100001">
      <w:start w:val="1"/>
      <w:numFmt w:val="bullet"/>
      <w:lvlText w:val=""/>
      <w:lvlJc w:val="left"/>
      <w:pPr>
        <w:ind w:hanging="360" w:left="720"/>
      </w:pPr>
      <w:rPr>
        <w:rFonts w:ascii="Symbol" w:hAnsi="Symbol" w:hint="default"/>
      </w:rPr>
    </w:lvl>
    <w:lvl w:ilvl="1" w:tentative="1" w:tplc="04100003">
      <w:start w:val="1"/>
      <w:numFmt w:val="bullet"/>
      <w:lvlText w:val="o"/>
      <w:lvlJc w:val="left"/>
      <w:pPr>
        <w:ind w:hanging="360" w:left="1440"/>
      </w:pPr>
      <w:rPr>
        <w:rFonts w:ascii="Courier New" w:cs="Courier New" w:hAnsi="Courier New" w:hint="default"/>
      </w:rPr>
    </w:lvl>
    <w:lvl w:ilvl="2" w:tentative="1" w:tplc="04100005">
      <w:start w:val="1"/>
      <w:numFmt w:val="bullet"/>
      <w:lvlText w:val=""/>
      <w:lvlJc w:val="left"/>
      <w:pPr>
        <w:ind w:hanging="360" w:left="2160"/>
      </w:pPr>
      <w:rPr>
        <w:rFonts w:ascii="Wingdings" w:hAnsi="Wingdings" w:hint="default"/>
      </w:rPr>
    </w:lvl>
    <w:lvl w:ilvl="3" w:tentative="1" w:tplc="04100001">
      <w:start w:val="1"/>
      <w:numFmt w:val="bullet"/>
      <w:lvlText w:val=""/>
      <w:lvlJc w:val="left"/>
      <w:pPr>
        <w:ind w:hanging="360" w:left="2880"/>
      </w:pPr>
      <w:rPr>
        <w:rFonts w:ascii="Symbol" w:hAnsi="Symbol" w:hint="default"/>
      </w:rPr>
    </w:lvl>
    <w:lvl w:ilvl="4" w:tentative="1" w:tplc="04100003">
      <w:start w:val="1"/>
      <w:numFmt w:val="bullet"/>
      <w:lvlText w:val="o"/>
      <w:lvlJc w:val="left"/>
      <w:pPr>
        <w:ind w:hanging="360" w:left="3600"/>
      </w:pPr>
      <w:rPr>
        <w:rFonts w:ascii="Courier New" w:cs="Courier New" w:hAnsi="Courier New" w:hint="default"/>
      </w:rPr>
    </w:lvl>
    <w:lvl w:ilvl="5" w:tentative="1" w:tplc="04100005">
      <w:start w:val="1"/>
      <w:numFmt w:val="bullet"/>
      <w:lvlText w:val=""/>
      <w:lvlJc w:val="left"/>
      <w:pPr>
        <w:ind w:hanging="360" w:left="4320"/>
      </w:pPr>
      <w:rPr>
        <w:rFonts w:ascii="Wingdings" w:hAnsi="Wingdings" w:hint="default"/>
      </w:rPr>
    </w:lvl>
    <w:lvl w:ilvl="6" w:tentative="1" w:tplc="04100001">
      <w:start w:val="1"/>
      <w:numFmt w:val="bullet"/>
      <w:lvlText w:val=""/>
      <w:lvlJc w:val="left"/>
      <w:pPr>
        <w:ind w:hanging="360" w:left="5040"/>
      </w:pPr>
      <w:rPr>
        <w:rFonts w:ascii="Symbol" w:hAnsi="Symbol" w:hint="default"/>
      </w:rPr>
    </w:lvl>
    <w:lvl w:ilvl="7" w:tentative="1" w:tplc="04100003">
      <w:start w:val="1"/>
      <w:numFmt w:val="bullet"/>
      <w:lvlText w:val="o"/>
      <w:lvlJc w:val="left"/>
      <w:pPr>
        <w:ind w:hanging="360" w:left="5760"/>
      </w:pPr>
      <w:rPr>
        <w:rFonts w:ascii="Courier New" w:cs="Courier New" w:hAnsi="Courier New" w:hint="default"/>
      </w:rPr>
    </w:lvl>
    <w:lvl w:ilvl="8" w:tentative="1" w:tplc="04100005">
      <w:start w:val="1"/>
      <w:numFmt w:val="bullet"/>
      <w:lvlText w:val=""/>
      <w:lvlJc w:val="left"/>
      <w:pPr>
        <w:ind w:hanging="360" w:left="6480"/>
      </w:pPr>
      <w:rPr>
        <w:rFonts w:ascii="Wingdings" w:hAnsi="Wingdings" w:hint="default"/>
      </w:rPr>
    </w:lvl>
  </w:abstractNum>
  <w:abstractNum w15:restartNumberingAfterBreak="0" w:abstractNumId="3">
    <w:nsid w:val="170CD2DE"/>
    <w:multiLevelType w:val="multilevel"/>
    <w:tmpl w:val="0B3A278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4">
    <w:nsid w:val="21CF2FA6"/>
    <w:multiLevelType w:val="hybridMultilevel"/>
    <w:tmpl w:val="40FEE504"/>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5">
    <w:nsid w:val="2AF95570"/>
    <w:multiLevelType w:val="hybridMultilevel"/>
    <w:tmpl w:val="D1D203D2"/>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6">
    <w:nsid w:val="30E86033"/>
    <w:multiLevelType w:val="hybridMultilevel"/>
    <w:tmpl w:val="97D09A2A"/>
    <w:lvl w:ilvl="0" w:tplc="6264EB2E">
      <w:start w:val="1"/>
      <w:numFmt w:val="lowerRoman"/>
      <w:pStyle w:val="Elenco"/>
      <w:lvlText w:val="%1."/>
      <w:lvlJc w:val="righ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7">
    <w:nsid w:val="319441D6"/>
    <w:multiLevelType w:val="hybridMultilevel"/>
    <w:tmpl w:val="49FA527C"/>
    <w:lvl w:ilvl="0" w:tplc="CD9A4132">
      <w:start w:val="1"/>
      <w:numFmt w:val="bullet"/>
      <w:pStyle w:val="Definition"/>
      <w:lvlText w:val=""/>
      <w:lvlJc w:val="left"/>
      <w:pPr>
        <w:ind w:hanging="360" w:left="720"/>
      </w:pPr>
      <w:rPr>
        <w:rFonts w:ascii="Wingdings" w:hAnsi="Wingdings" w:hint="default"/>
      </w:rPr>
    </w:lvl>
    <w:lvl w:ilvl="1" w:tentative="1" w:tplc="FFFFFFFF">
      <w:start w:val="1"/>
      <w:numFmt w:val="bullet"/>
      <w:lvlText w:val="o"/>
      <w:lvlJc w:val="left"/>
      <w:pPr>
        <w:ind w:hanging="360" w:left="1440"/>
      </w:pPr>
      <w:rPr>
        <w:rFonts w:ascii="Courier New" w:cs="Courier New" w:hAnsi="Courier New" w:hint="default"/>
      </w:rPr>
    </w:lvl>
    <w:lvl w:ilvl="2" w:tentative="1" w:tplc="FFFFFFFF">
      <w:start w:val="1"/>
      <w:numFmt w:val="bullet"/>
      <w:lvlText w:val=""/>
      <w:lvlJc w:val="left"/>
      <w:pPr>
        <w:ind w:hanging="360" w:left="2160"/>
      </w:pPr>
      <w:rPr>
        <w:rFonts w:ascii="Wingdings" w:hAnsi="Wingdings" w:hint="default"/>
      </w:rPr>
    </w:lvl>
    <w:lvl w:ilvl="3" w:tentative="1" w:tplc="FFFFFFFF">
      <w:start w:val="1"/>
      <w:numFmt w:val="bullet"/>
      <w:lvlText w:val=""/>
      <w:lvlJc w:val="left"/>
      <w:pPr>
        <w:ind w:hanging="360" w:left="2880"/>
      </w:pPr>
      <w:rPr>
        <w:rFonts w:ascii="Symbol" w:hAnsi="Symbol" w:hint="default"/>
      </w:rPr>
    </w:lvl>
    <w:lvl w:ilvl="4" w:tentative="1" w:tplc="FFFFFFFF">
      <w:start w:val="1"/>
      <w:numFmt w:val="bullet"/>
      <w:lvlText w:val="o"/>
      <w:lvlJc w:val="left"/>
      <w:pPr>
        <w:ind w:hanging="360" w:left="3600"/>
      </w:pPr>
      <w:rPr>
        <w:rFonts w:ascii="Courier New" w:cs="Courier New" w:hAnsi="Courier New" w:hint="default"/>
      </w:rPr>
    </w:lvl>
    <w:lvl w:ilvl="5" w:tentative="1" w:tplc="FFFFFFFF">
      <w:start w:val="1"/>
      <w:numFmt w:val="bullet"/>
      <w:lvlText w:val=""/>
      <w:lvlJc w:val="left"/>
      <w:pPr>
        <w:ind w:hanging="360" w:left="4320"/>
      </w:pPr>
      <w:rPr>
        <w:rFonts w:ascii="Wingdings" w:hAnsi="Wingdings" w:hint="default"/>
      </w:rPr>
    </w:lvl>
    <w:lvl w:ilvl="6" w:tentative="1" w:tplc="FFFFFFFF">
      <w:start w:val="1"/>
      <w:numFmt w:val="bullet"/>
      <w:lvlText w:val=""/>
      <w:lvlJc w:val="left"/>
      <w:pPr>
        <w:ind w:hanging="360" w:left="5040"/>
      </w:pPr>
      <w:rPr>
        <w:rFonts w:ascii="Symbol" w:hAnsi="Symbol" w:hint="default"/>
      </w:rPr>
    </w:lvl>
    <w:lvl w:ilvl="7" w:tentative="1" w:tplc="FFFFFFFF">
      <w:start w:val="1"/>
      <w:numFmt w:val="bullet"/>
      <w:lvlText w:val="o"/>
      <w:lvlJc w:val="left"/>
      <w:pPr>
        <w:ind w:hanging="360" w:left="5760"/>
      </w:pPr>
      <w:rPr>
        <w:rFonts w:ascii="Courier New" w:cs="Courier New" w:hAnsi="Courier New" w:hint="default"/>
      </w:rPr>
    </w:lvl>
    <w:lvl w:ilvl="8" w:tentative="1" w:tplc="FFFFFFFF">
      <w:start w:val="1"/>
      <w:numFmt w:val="bullet"/>
      <w:lvlText w:val=""/>
      <w:lvlJc w:val="left"/>
      <w:pPr>
        <w:ind w:hanging="360" w:left="6480"/>
      </w:pPr>
      <w:rPr>
        <w:rFonts w:ascii="Wingdings" w:hAnsi="Wingdings" w:hint="default"/>
      </w:rPr>
    </w:lvl>
  </w:abstractNum>
  <w:abstractNum w15:restartNumberingAfterBreak="0" w:abstractNumId="8">
    <w:nsid w:val="35FB10A6"/>
    <w:multiLevelType w:val="hybridMultilevel"/>
    <w:tmpl w:val="C548ED40"/>
    <w:lvl w:ilvl="0" w:tplc="12D48B28">
      <w:start w:val="1"/>
      <w:numFmt w:val="bullet"/>
      <w:lvlText w:val=""/>
      <w:lvlJc w:val="left"/>
      <w:pPr>
        <w:ind w:hanging="360" w:left="72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9">
    <w:nsid w:val="72B31F10"/>
    <w:multiLevelType w:val="hybridMultilevel"/>
    <w:tmpl w:val="CE6A3AEC"/>
    <w:lvl w:ilvl="0" w:tplc="04100001">
      <w:start w:val="1"/>
      <w:numFmt w:val="bullet"/>
      <w:lvlText w:val=""/>
      <w:lvlJc w:val="left"/>
      <w:pPr>
        <w:ind w:hanging="360" w:left="720"/>
      </w:pPr>
      <w:rPr>
        <w:rFonts w:ascii="Symbol" w:hAnsi="Symbol" w:hint="default"/>
      </w:rPr>
    </w:lvl>
    <w:lvl w:ilvl="1" w:tentative="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12374569" w:numId="1">
    <w:abstractNumId w:val="3"/>
  </w:num>
  <w:num w16cid:durableId="1806508857" w:numId="2">
    <w:abstractNumId w:val="0"/>
  </w:num>
  <w:num w16cid:durableId="357435663" w:numId="3">
    <w:abstractNumId w:val="5"/>
  </w:num>
  <w:num w16cid:durableId="1612516564" w:numId="4">
    <w:abstractNumId w:val="7"/>
  </w:num>
  <w:num w16cid:durableId="1781297037" w:numId="5">
    <w:abstractNumId w:val="6"/>
  </w:num>
  <w:num w16cid:durableId="1364474479" w:numId="6">
    <w:abstractNumId w:val="1"/>
  </w:num>
  <w:num w16cid:durableId="298655959" w:numId="7">
    <w:abstractNumId w:val="4"/>
  </w:num>
  <w:num w16cid:durableId="139418801" w:numId="8">
    <w:abstractNumId w:val="8"/>
  </w:num>
  <w:num w16cid:durableId="563217684" w:numId="9">
    <w:abstractNumId w:val="2"/>
  </w:num>
  <w:num w16cid:durableId="1643193475" w:numId="10">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283"/>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4489"/>
    <w:rsid w:val="000053DC"/>
    <w:rsid w:val="00014D03"/>
    <w:rsid w:val="00030EC7"/>
    <w:rsid w:val="00033EFE"/>
    <w:rsid w:val="00057D52"/>
    <w:rsid w:val="00066938"/>
    <w:rsid w:val="000F40D0"/>
    <w:rsid w:val="00121D66"/>
    <w:rsid w:val="00135235"/>
    <w:rsid w:val="001366E9"/>
    <w:rsid w:val="001E58A3"/>
    <w:rsid w:val="00200383"/>
    <w:rsid w:val="00243A71"/>
    <w:rsid w:val="0027058A"/>
    <w:rsid w:val="00280704"/>
    <w:rsid w:val="002914FD"/>
    <w:rsid w:val="0029728C"/>
    <w:rsid w:val="002A2463"/>
    <w:rsid w:val="002A5504"/>
    <w:rsid w:val="002D6991"/>
    <w:rsid w:val="002D6C64"/>
    <w:rsid w:val="00322286"/>
    <w:rsid w:val="003260BA"/>
    <w:rsid w:val="0036332A"/>
    <w:rsid w:val="00400102"/>
    <w:rsid w:val="00402F0F"/>
    <w:rsid w:val="00485202"/>
    <w:rsid w:val="004B03C8"/>
    <w:rsid w:val="004D15E7"/>
    <w:rsid w:val="00504399"/>
    <w:rsid w:val="0053301D"/>
    <w:rsid w:val="00580724"/>
    <w:rsid w:val="005A1E5E"/>
    <w:rsid w:val="005E10E8"/>
    <w:rsid w:val="005E6DDA"/>
    <w:rsid w:val="006504AD"/>
    <w:rsid w:val="006C08B6"/>
    <w:rsid w:val="006E0110"/>
    <w:rsid w:val="006E18E2"/>
    <w:rsid w:val="007325D2"/>
    <w:rsid w:val="00760450"/>
    <w:rsid w:val="00773429"/>
    <w:rsid w:val="008106AD"/>
    <w:rsid w:val="0089786B"/>
    <w:rsid w:val="008E6FC7"/>
    <w:rsid w:val="008F1BEE"/>
    <w:rsid w:val="00943E7E"/>
    <w:rsid w:val="009A2FDD"/>
    <w:rsid w:val="009C221D"/>
    <w:rsid w:val="00A0141F"/>
    <w:rsid w:val="00A05882"/>
    <w:rsid w:val="00A05D41"/>
    <w:rsid w:val="00A81A52"/>
    <w:rsid w:val="00A8216F"/>
    <w:rsid w:val="00AA47E3"/>
    <w:rsid w:val="00BB0EE0"/>
    <w:rsid w:val="00BD1E19"/>
    <w:rsid w:val="00C74489"/>
    <w:rsid w:val="00CA403D"/>
    <w:rsid w:val="00CE659B"/>
    <w:rsid w:val="00D62EEF"/>
    <w:rsid w:val="00DE0857"/>
    <w:rsid w:val="00DE3A28"/>
    <w:rsid w:val="00E04FA5"/>
    <w:rsid w:val="00E72D39"/>
    <w:rsid w:val="00EC052D"/>
    <w:rsid w:val="00F75AC8"/>
    <w:rsid w:val="00F90B46"/>
    <w:rsid w:val="00FC3561"/>
    <w:rsid w:val="00FC561A"/>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toc 1" w:uiPriority="39"/>
    <w:lsdException w:name="toc 2" w:uiPriority="39"/>
    <w:lsdException w:name="toc 3" w:uiPriority="39"/>
    <w:lsdException w:name="head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e" w:type="paragraph">
    <w:name w:val="Normal"/>
    <w:rsid w:val="006C08B6"/>
    <w:rPr>
      <w:rFonts w:ascii="Verdana" w:hAnsi="Verdana"/>
    </w:rPr>
  </w:style>
  <w:style w:styleId="Titolo1" w:type="paragraph">
    <w:name w:val="heading 1"/>
    <w:basedOn w:val="Normale"/>
    <w:next w:val="Corpotesto"/>
    <w:link w:val="Titolo1Carattere"/>
    <w:uiPriority w:val="9"/>
    <w:qFormat/>
    <w:rsid w:val="0053301D"/>
    <w:pPr>
      <w:keepNext/>
      <w:keepLines/>
      <w:spacing w:after="0" w:before="480"/>
      <w:outlineLvl w:val="0"/>
    </w:pPr>
    <w:rPr>
      <w:rFonts w:cstheme="majorBidi" w:eastAsiaTheme="majorEastAsia"/>
      <w:b/>
      <w:bCs/>
      <w:sz w:val="32"/>
      <w:szCs w:val="32"/>
    </w:rPr>
  </w:style>
  <w:style w:styleId="Titolo2" w:type="paragraph">
    <w:name w:val="heading 2"/>
    <w:basedOn w:val="Normale"/>
    <w:next w:val="Corpotesto"/>
    <w:uiPriority w:val="9"/>
    <w:unhideWhenUsed/>
    <w:qFormat/>
    <w:rsid w:val="00E141B5"/>
    <w:pPr>
      <w:keepNext/>
      <w:keepLines/>
      <w:spacing w:after="0" w:before="200"/>
      <w:outlineLvl w:val="1"/>
    </w:pPr>
    <w:rPr>
      <w:rFonts w:cstheme="majorBidi" w:eastAsiaTheme="majorEastAsia"/>
      <w:b/>
      <w:bCs/>
      <w:sz w:val="28"/>
      <w:szCs w:val="28"/>
    </w:rPr>
  </w:style>
  <w:style w:styleId="Titolo3" w:type="paragraph">
    <w:name w:val="heading 3"/>
    <w:basedOn w:val="Normale"/>
    <w:next w:val="Corpotesto"/>
    <w:uiPriority w:val="9"/>
    <w:unhideWhenUsed/>
    <w:qFormat/>
    <w:rsid w:val="00E141B5"/>
    <w:pPr>
      <w:keepNext/>
      <w:keepLines/>
      <w:spacing w:after="0" w:before="200"/>
      <w:outlineLvl w:val="2"/>
    </w:pPr>
    <w:rPr>
      <w:rFonts w:cstheme="majorBidi" w:eastAsiaTheme="majorEastAsia"/>
      <w:b/>
      <w:bCs/>
    </w:rPr>
  </w:style>
  <w:style w:styleId="Titolo4" w:type="paragraph">
    <w:name w:val="heading 4"/>
    <w:basedOn w:val="Normale"/>
    <w:next w:val="Corpotesto"/>
    <w:uiPriority w:val="9"/>
    <w:unhideWhenUsed/>
    <w:qFormat/>
    <w:rsid w:val="00400102"/>
    <w:pPr>
      <w:keepNext/>
      <w:keepLines/>
      <w:pageBreakBefore/>
      <w:spacing w:after="0"/>
      <w:outlineLvl w:val="3"/>
    </w:pPr>
    <w:rPr>
      <w:rFonts w:cstheme="majorBidi" w:eastAsiaTheme="majorEastAsia"/>
      <w:bCs/>
      <w:i/>
      <w:color w:themeColor="background1" w:val="FFFFFF"/>
      <w:spacing w:val="-2"/>
      <w:w w:val="33"/>
      <w:position w:val="2"/>
      <w:sz w:val="2"/>
    </w:rPr>
  </w:style>
  <w:style w:styleId="Titolo5" w:type="paragraph">
    <w:name w:val="heading 5"/>
    <w:basedOn w:val="Normale"/>
    <w:next w:val="Corpotesto"/>
    <w:uiPriority w:val="9"/>
    <w:unhideWhenUsed/>
    <w:qFormat/>
    <w:rsid w:val="00E141B5"/>
    <w:pPr>
      <w:keepNext/>
      <w:keepLines/>
      <w:spacing w:after="0" w:before="200"/>
      <w:outlineLvl w:val="4"/>
    </w:pPr>
    <w:rPr>
      <w:rFonts w:cstheme="majorBidi" w:eastAsiaTheme="majorEastAsia"/>
      <w:iCs/>
    </w:rPr>
  </w:style>
  <w:style w:styleId="Titolo6" w:type="paragraph">
    <w:name w:val="heading 6"/>
    <w:basedOn w:val="Normale"/>
    <w:next w:val="Corpotesto"/>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Titolo7" w:type="paragraph">
    <w:name w:val="heading 7"/>
    <w:basedOn w:val="Normale"/>
    <w:next w:val="Corpotesto"/>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Titolo8" w:type="paragraph">
    <w:name w:val="heading 8"/>
    <w:basedOn w:val="Normale"/>
    <w:next w:val="Corpotesto"/>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Titolo9" w:type="paragraph">
    <w:name w:val="heading 9"/>
    <w:basedOn w:val="Normale"/>
    <w:next w:val="Corpotesto"/>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Carpredefinitoparagrafo" w:type="character">
    <w:name w:val="Default Paragraph Font"/>
    <w:uiPriority w:val="1"/>
    <w:semiHidden/>
    <w:unhideWhenUsed/>
  </w:style>
  <w:style w:default="1" w:styleId="Tabellanormale" w:type="table">
    <w:name w:val="Normal Table"/>
    <w:uiPriority w:val="99"/>
    <w:semiHidden/>
    <w:unhideWhenUsed/>
    <w:tblPr>
      <w:tblInd w:type="dxa" w:w="0"/>
      <w:tblCellMar>
        <w:top w:type="dxa" w:w="0"/>
        <w:left w:type="dxa" w:w="108"/>
        <w:bottom w:type="dxa" w:w="0"/>
        <w:right w:type="dxa" w:w="108"/>
      </w:tblCellMar>
    </w:tblPr>
  </w:style>
  <w:style w:default="1" w:styleId="Nessunelenco" w:type="numbering">
    <w:name w:val="No List"/>
    <w:uiPriority w:val="99"/>
    <w:semiHidden/>
    <w:unhideWhenUsed/>
  </w:style>
  <w:style w:styleId="Corpotesto" w:type="paragraph">
    <w:name w:val="Body Text"/>
    <w:basedOn w:val="Normale"/>
    <w:qFormat/>
    <w:rsid w:val="00E141B5"/>
    <w:pPr>
      <w:spacing w:after="180" w:before="180"/>
    </w:pPr>
  </w:style>
  <w:style w:customStyle="1" w:styleId="FirstParagraph" w:type="paragraph">
    <w:name w:val="First Paragraph"/>
    <w:basedOn w:val="Corpotesto"/>
    <w:next w:val="Corpotesto"/>
    <w:qFormat/>
    <w:rsid w:val="00E141B5"/>
  </w:style>
  <w:style w:customStyle="1" w:styleId="Compact" w:type="paragraph">
    <w:name w:val="Compact"/>
    <w:basedOn w:val="Corpotesto"/>
    <w:qFormat/>
    <w:rsid w:val="00F75AC8"/>
    <w:pPr>
      <w:spacing w:after="36" w:before="36"/>
    </w:pPr>
    <w:rPr>
      <w:rFonts w:eastAsiaTheme="minorEastAsia"/>
      <w:bCs/>
    </w:rPr>
  </w:style>
  <w:style w:styleId="Titolo" w:type="paragraph">
    <w:name w:val="Title"/>
    <w:aliases w:val="Title"/>
    <w:next w:val="Author"/>
    <w:link w:val="TitoloCarattere"/>
    <w:qFormat/>
    <w:rsid w:val="006C08B6"/>
    <w:pPr>
      <w:keepNext/>
      <w:keepLines/>
      <w:spacing w:after="240" w:before="2520"/>
    </w:pPr>
    <w:rPr>
      <w:rFonts w:ascii="Verdana" w:cstheme="majorBidi" w:eastAsiaTheme="majorEastAsia" w:hAnsi="Verdana"/>
      <w:b/>
      <w:bCs/>
      <w:smallCaps/>
      <w:sz w:val="72"/>
      <w:szCs w:val="36"/>
    </w:rPr>
  </w:style>
  <w:style w:styleId="Sottotitolo" w:type="paragraph">
    <w:name w:val="Subtitle"/>
    <w:basedOn w:val="Titolo"/>
    <w:next w:val="Corpotesto"/>
    <w:qFormat/>
    <w:rsid w:val="00716CC2"/>
    <w:pPr>
      <w:spacing w:before="240"/>
    </w:pPr>
    <w:rPr>
      <w:sz w:val="30"/>
      <w:szCs w:val="30"/>
    </w:rPr>
  </w:style>
  <w:style w:customStyle="1" w:styleId="Author" w:type="paragraph">
    <w:name w:val="Author"/>
    <w:next w:val="Data"/>
    <w:qFormat/>
    <w:rsid w:val="00716CC2"/>
    <w:pPr>
      <w:keepNext/>
      <w:keepLines/>
    </w:pPr>
    <w:rPr>
      <w:rFonts w:ascii="Verdana" w:hAnsi="Verdana"/>
      <w:b/>
    </w:rPr>
  </w:style>
  <w:style w:styleId="Data" w:type="paragraph">
    <w:name w:val="Date"/>
    <w:next w:val="Corpotesto"/>
    <w:qFormat/>
    <w:rsid w:val="00716CC2"/>
    <w:pPr>
      <w:keepNext/>
      <w:keepLines/>
    </w:pPr>
    <w:rPr>
      <w:rFonts w:ascii="Verdana" w:hAnsi="Verdana"/>
      <w:i/>
    </w:rPr>
  </w:style>
  <w:style w:customStyle="1" w:styleId="Abstract" w:type="paragraph">
    <w:name w:val="Abstract"/>
    <w:basedOn w:val="Normale"/>
    <w:next w:val="Corpotesto"/>
    <w:qFormat/>
    <w:rsid w:val="00716CC2"/>
    <w:pPr>
      <w:keepNext/>
      <w:keepLines/>
      <w:spacing w:after="300" w:before="300"/>
    </w:pPr>
    <w:rPr>
      <w:b/>
      <w:szCs w:val="20"/>
    </w:rPr>
  </w:style>
  <w:style w:styleId="Bibliografia" w:type="paragraph">
    <w:name w:val="Bibliography"/>
    <w:basedOn w:val="Normale"/>
    <w:qFormat/>
    <w:rsid w:val="008E6FC7"/>
    <w:pPr>
      <w:spacing w:after="180" w:before="180"/>
      <w:ind w:hanging="720" w:left="720"/>
    </w:pPr>
  </w:style>
  <w:style w:styleId="Testodelblocco" w:type="paragraph">
    <w:name w:val="Block Text"/>
    <w:basedOn w:val="Corpotesto"/>
    <w:next w:val="Corpotesto"/>
    <w:uiPriority w:val="9"/>
    <w:unhideWhenUsed/>
    <w:qFormat/>
    <w:rsid w:val="002A5504"/>
    <w:pPr>
      <w:spacing w:after="100" w:before="100"/>
      <w:ind w:left="480" w:right="480"/>
    </w:pPr>
    <w:rPr>
      <w:rFonts w:ascii="HelveticaNeueforSAS" w:hAnsi="HelveticaNeueforSAS"/>
      <w:sz w:val="22"/>
    </w:rPr>
  </w:style>
  <w:style w:styleId="Testonotaapidipagina" w:type="paragraph">
    <w:name w:val="footnote text"/>
    <w:basedOn w:val="Normale"/>
    <w:uiPriority w:val="9"/>
    <w:unhideWhenUsed/>
    <w:qFormat/>
    <w:rsid w:val="00E141B5"/>
    <w:rPr>
      <w:sz w:val="18"/>
    </w:rPr>
  </w:style>
  <w:style w:customStyle="1" w:styleId="Table" w:type="table">
    <w:name w:val="Table"/>
    <w:basedOn w:val="CDCTable"/>
    <w:semiHidden/>
    <w:unhideWhenUsed/>
    <w:qFormat/>
    <w:tblPr/>
    <w:tblStylePr w:type="firstRow">
      <w:rPr>
        <w:rFonts w:ascii="Consolas" w:hAnsi="Consolas"/>
        <w:b/>
        <w:sz w:val="24"/>
      </w:rPr>
      <w:tblPr>
        <w:jc w:val="left"/>
      </w:tblPr>
      <w:trPr>
        <w:jc w:val="left"/>
      </w:trPr>
      <w:tcPr>
        <w:tcBorders>
          <w:bottom w:color="auto" w:space="0" w:sz="0" w:val="single"/>
        </w:tcBorders>
        <w:shd w:color="auto" w:fill="A6A6A6" w:themeFill="background1" w:themeFillShade="A6" w:val="clear"/>
        <w:vAlign w:val="bottom"/>
      </w:tcPr>
    </w:tblStylePr>
    <w:tblStylePr w:type="firstCol">
      <w:rPr>
        <w:i w:val="0"/>
      </w:rPr>
    </w:tblStylePr>
    <w:tblStylePr w:type="band1Horz">
      <w:rPr>
        <w:rFonts w:ascii="Consolas" w:hAnsi="Consolas"/>
        <w:sz w:val="22"/>
      </w:rPr>
    </w:tblStylePr>
    <w:tblStylePr w:type="band2Horz">
      <w:rPr>
        <w:rFonts w:ascii="Consolas" w:hAnsi="Consolas"/>
        <w:sz w:val="22"/>
      </w:rPr>
      <w:tblPr/>
      <w:tcPr>
        <w:shd w:color="auto" w:fill="D9D9D9" w:themeFill="background1" w:themeFillShade="D9" w:val="clear"/>
      </w:tcPr>
    </w:tblStylePr>
  </w:style>
  <w:style w:customStyle="1" w:styleId="DefinitionTerm" w:type="paragraph">
    <w:name w:val="Definition Term"/>
    <w:basedOn w:val="Normale"/>
    <w:next w:val="Definition"/>
    <w:rsid w:val="00E141B5"/>
    <w:pPr>
      <w:keepNext/>
      <w:keepLines/>
      <w:spacing w:after="0"/>
    </w:pPr>
    <w:rPr>
      <w:b/>
    </w:rPr>
  </w:style>
  <w:style w:customStyle="1" w:styleId="Definition" w:type="paragraph">
    <w:name w:val="Definition"/>
    <w:basedOn w:val="Normale"/>
    <w:rsid w:val="00BC2C0D"/>
    <w:pPr>
      <w:numPr>
        <w:numId w:val="4"/>
      </w:numPr>
    </w:pPr>
  </w:style>
  <w:style w:styleId="Didascalia" w:type="paragraph">
    <w:name w:val="caption"/>
    <w:basedOn w:val="Normale"/>
    <w:link w:val="DidascaliaCarattere"/>
    <w:pPr>
      <w:spacing w:after="120"/>
    </w:pPr>
    <w:rPr>
      <w:i/>
    </w:rPr>
  </w:style>
  <w:style w:customStyle="1" w:styleId="TableCaption" w:type="paragraph">
    <w:name w:val="Table Caption"/>
    <w:basedOn w:val="Didascalia"/>
    <w:rsid w:val="00BB0EE0"/>
    <w:pPr>
      <w:keepNext/>
    </w:pPr>
    <w:rPr>
      <w:sz w:val="20"/>
    </w:rPr>
  </w:style>
  <w:style w:customStyle="1" w:styleId="ImageCaption" w:type="paragraph">
    <w:name w:val="Image Caption"/>
    <w:basedOn w:val="Didascalia"/>
    <w:rsid w:val="00504399"/>
    <w:rPr>
      <w:sz w:val="20"/>
    </w:rPr>
  </w:style>
  <w:style w:customStyle="1" w:styleId="Figure" w:type="paragraph">
    <w:name w:val="Figure"/>
    <w:basedOn w:val="Normale"/>
  </w:style>
  <w:style w:customStyle="1" w:styleId="CaptionedFigure" w:type="paragraph">
    <w:name w:val="Captioned Figure"/>
    <w:basedOn w:val="Figure"/>
    <w:pPr>
      <w:keepNext/>
    </w:pPr>
  </w:style>
  <w:style w:customStyle="1" w:styleId="DidascaliaCarattere" w:type="character">
    <w:name w:val="Didascalia Carattere"/>
    <w:basedOn w:val="Carpredefinitoparagrafo"/>
    <w:link w:val="Didascalia"/>
  </w:style>
  <w:style w:customStyle="1" w:styleId="VerbatimChar" w:type="character">
    <w:name w:val="Verbatim Char"/>
    <w:basedOn w:val="DidascaliaCarattere"/>
    <w:link w:val="SourceCode"/>
    <w:rPr>
      <w:rFonts w:ascii="Consolas" w:hAnsi="Consolas"/>
      <w:sz w:val="22"/>
    </w:rPr>
  </w:style>
  <w:style w:customStyle="1" w:styleId="SectionNumber" w:type="character">
    <w:name w:val="Section Number"/>
    <w:basedOn w:val="DidascaliaCarattere"/>
  </w:style>
  <w:style w:styleId="Rimandonotaapidipagina" w:type="character">
    <w:name w:val="footnote reference"/>
    <w:basedOn w:val="DidascaliaCarattere"/>
    <w:rPr>
      <w:vertAlign w:val="superscript"/>
    </w:rPr>
  </w:style>
  <w:style w:styleId="Collegamentoipertestuale" w:type="character">
    <w:name w:val="Hyperlink"/>
    <w:basedOn w:val="DidascaliaCarattere"/>
    <w:uiPriority w:val="99"/>
    <w:rsid w:val="00E141B5"/>
    <w:rPr>
      <w:rFonts w:ascii="Verdana" w:hAnsi="Verdana"/>
      <w:color w:themeColor="accent1" w:val="4F81BD"/>
      <w:sz w:val="24"/>
    </w:rPr>
  </w:style>
  <w:style w:styleId="Titolosommario" w:type="paragraph">
    <w:name w:val="TOC Heading"/>
    <w:basedOn w:val="Titolo1"/>
    <w:next w:val="Corpotesto"/>
    <w:uiPriority w:val="39"/>
    <w:unhideWhenUsed/>
    <w:qFormat/>
    <w:rsid w:val="00400102"/>
    <w:pPr>
      <w:pageBreakBefore/>
      <w:framePr w:hAnchor="text" w:vAnchor="text" w:wrap="notBeside" w:y="1"/>
      <w:spacing w:before="240" w:line="259" w:lineRule="auto"/>
      <w:outlineLvl w:val="9"/>
    </w:pPr>
    <w:rPr>
      <w:b w:val="0"/>
      <w:bCs w:val="0"/>
    </w:rPr>
  </w:style>
  <w:style w:styleId="Sommario1" w:type="paragraph">
    <w:name w:val="toc 1"/>
    <w:basedOn w:val="Normale"/>
    <w:next w:val="Normale"/>
    <w:autoRedefine/>
    <w:uiPriority w:val="39"/>
    <w:rsid w:val="008F7704"/>
    <w:pPr>
      <w:spacing w:after="100"/>
    </w:pPr>
  </w:style>
  <w:style w:styleId="Sommario2" w:type="paragraph">
    <w:name w:val="toc 2"/>
    <w:basedOn w:val="Normale"/>
    <w:next w:val="Normale"/>
    <w:autoRedefine/>
    <w:uiPriority w:val="39"/>
    <w:rsid w:val="008F7704"/>
    <w:pPr>
      <w:spacing w:after="100"/>
      <w:ind w:left="240"/>
    </w:pPr>
  </w:style>
  <w:style w:styleId="Sommario3" w:type="paragraph">
    <w:name w:val="toc 3"/>
    <w:basedOn w:val="Normale"/>
    <w:next w:val="Normale"/>
    <w:autoRedefine/>
    <w:uiPriority w:val="39"/>
    <w:rsid w:val="008F7704"/>
    <w:pPr>
      <w:spacing w:after="100"/>
      <w:ind w:left="480"/>
    </w:pPr>
  </w:style>
  <w:style w:styleId="Intestazione" w:type="paragraph">
    <w:name w:val="header"/>
    <w:basedOn w:val="Normale"/>
    <w:link w:val="IntestazioneCarattere"/>
    <w:uiPriority w:val="99"/>
    <w:rsid w:val="008C6D2B"/>
    <w:pPr>
      <w:tabs>
        <w:tab w:pos="4680" w:val="center"/>
        <w:tab w:pos="9360" w:val="right"/>
      </w:tabs>
      <w:spacing w:after="0"/>
    </w:pPr>
  </w:style>
  <w:style w:customStyle="1" w:styleId="IntestazioneCarattere" w:type="character">
    <w:name w:val="Intestazione Carattere"/>
    <w:basedOn w:val="Carpredefinitoparagrafo"/>
    <w:link w:val="Intestazione"/>
    <w:uiPriority w:val="99"/>
    <w:rsid w:val="008C6D2B"/>
  </w:style>
  <w:style w:styleId="Pidipagina" w:type="paragraph">
    <w:name w:val="footer"/>
    <w:basedOn w:val="Normale"/>
    <w:link w:val="PidipaginaCarattere"/>
    <w:rsid w:val="008C6D2B"/>
    <w:pPr>
      <w:tabs>
        <w:tab w:pos="4680" w:val="center"/>
        <w:tab w:pos="9360" w:val="right"/>
      </w:tabs>
      <w:spacing w:after="0"/>
    </w:pPr>
  </w:style>
  <w:style w:customStyle="1" w:styleId="PidipaginaCarattere" w:type="character">
    <w:name w:val="Piè di pagina Carattere"/>
    <w:basedOn w:val="Carpredefinitoparagrafo"/>
    <w:link w:val="Pidipagina"/>
    <w:rsid w:val="008C6D2B"/>
  </w:style>
  <w:style w:styleId="Grigliatab4" w:type="table">
    <w:name w:val="Grid Table 4"/>
    <w:basedOn w:val="Tabellanormale"/>
    <w:uiPriority w:val="49"/>
    <w:rsid w:val="000179F2"/>
    <w:pPr>
      <w:spacing w:after="0"/>
      <w:jc w:val="right"/>
    </w:pPr>
    <w:rPr>
      <w:rFonts w:ascii="Consolas" w:hAnsi="Consolas"/>
      <w:sz w:val="22"/>
    </w:rPr>
    <w:tblPr>
      <w:tblStyleRowBandSize w:val="1"/>
      <w:tblStyleColBandSize w:val="1"/>
    </w:tblPr>
    <w:tcPr>
      <w:shd w:color="auto" w:fill="FFFFFF" w:themeFill="background1" w:val="clear"/>
      <w:vAlign w:val="center"/>
    </w:tcPr>
    <w:tblStylePr w:type="firstRow">
      <w:rPr>
        <w:b/>
        <w:bCs/>
        <w:color w:themeColor="background1" w:val="FFFFFF"/>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val="nil"/>
          <w:insideV w:val="nil"/>
        </w:tcBorders>
        <w:shd w:color="auto" w:fill="000000" w:themeFill="text1" w:val="clear"/>
      </w:tcPr>
    </w:tblStylePr>
    <w:tblStylePr w:type="lastRow">
      <w:rPr>
        <w:b/>
        <w:bCs/>
      </w:rPr>
      <w:tblPr/>
      <w:tcPr>
        <w:tcBorders>
          <w:top w:color="000000" w:space="0" w:sz="4" w:themeColor="text1" w:val="double"/>
        </w:tcBorders>
      </w:tcPr>
    </w:tblStylePr>
    <w:tblStylePr w:type="firstCol">
      <w:pPr>
        <w:jc w:val="left"/>
      </w:pPr>
      <w:rPr>
        <w:b w:val="0"/>
        <w:bCs/>
      </w:rPr>
    </w:tblStylePr>
    <w:tblStylePr w:type="lastCol">
      <w:rPr>
        <w:b/>
        <w:bCs/>
      </w:rPr>
    </w:tblStylePr>
    <w:tblStylePr w:type="band1Vert">
      <w:tblPr/>
      <w:tcPr>
        <w:shd w:color="auto" w:fill="CCCCCC" w:themeFill="text1" w:themeFillTint="33" w:val="clear"/>
      </w:tcPr>
    </w:tblStylePr>
    <w:tblStylePr w:type="band2Horz">
      <w:tblPr/>
      <w:tcPr>
        <w:shd w:color="auto" w:fill="D9D9D9" w:themeFill="background1" w:themeFillShade="D9" w:val="clear"/>
      </w:tcPr>
    </w:tblStylePr>
  </w:style>
  <w:style w:customStyle="1" w:styleId="CDCTable" w:type="table">
    <w:name w:val="CDC_Table"/>
    <w:basedOn w:val="Tabellanormale"/>
    <w:uiPriority w:val="99"/>
    <w:rsid w:val="00F75AC8"/>
    <w:pPr>
      <w:spacing w:after="0"/>
    </w:pPr>
    <w:rPr>
      <w:rFonts w:ascii="Consolas" w:eastAsiaTheme="minorEastAsia" w:hAnsi="Consolas"/>
      <w:sz w:val="22"/>
    </w:rPr>
    <w:tblPr>
      <w:tblStyleRowBandSize w:val="1"/>
      <w:tblBorders>
        <w:top w:color="auto" w:space="0" w:sz="4" w:val="single"/>
        <w:left w:color="auto" w:space="0" w:sz="4" w:val="single"/>
        <w:bottom w:color="auto" w:space="0" w:sz="4" w:val="single"/>
        <w:right w:color="auto" w:space="0" w:sz="4" w:val="single"/>
      </w:tblBorders>
    </w:tblPr>
    <w:tblStylePr w:type="firstRow">
      <w:rPr>
        <w:rFonts w:ascii="Consolas" w:hAnsi="Consolas"/>
        <w:b/>
        <w:sz w:val="24"/>
      </w:rPr>
      <w:tblPr/>
      <w:tcPr>
        <w:shd w:color="auto" w:fill="A6A6A6" w:themeFill="background1" w:themeFillShade="A6" w:val="clear"/>
      </w:tcPr>
    </w:tblStylePr>
    <w:tblStylePr w:type="firstCol">
      <w:rPr>
        <w:i w:val="0"/>
      </w:rPr>
    </w:tblStylePr>
    <w:tblStylePr w:type="band1Horz">
      <w:rPr>
        <w:rFonts w:ascii="Consolas" w:hAnsi="Consolas"/>
        <w:sz w:val="22"/>
      </w:rPr>
    </w:tblStylePr>
    <w:tblStylePr w:type="band2Horz">
      <w:rPr>
        <w:rFonts w:ascii="Consolas" w:hAnsi="Consolas"/>
        <w:sz w:val="22"/>
      </w:rPr>
      <w:tblPr/>
      <w:tcPr>
        <w:shd w:color="auto" w:fill="D9D9D9" w:themeFill="background1" w:themeFillShade="D9" w:val="clear"/>
      </w:tcPr>
    </w:tblStylePr>
  </w:style>
  <w:style w:styleId="Elenco" w:type="paragraph">
    <w:name w:val="List"/>
    <w:basedOn w:val="Normale"/>
    <w:rsid w:val="006C08B6"/>
    <w:pPr>
      <w:numPr>
        <w:numId w:val="5"/>
      </w:numPr>
      <w:contextualSpacing/>
    </w:pPr>
  </w:style>
  <w:style w:styleId="Puntoelenco" w:type="paragraph">
    <w:name w:val="List Bullet"/>
    <w:aliases w:val="List Bullet CDC"/>
    <w:basedOn w:val="Normale"/>
    <w:link w:val="PuntoelencoCarattere"/>
    <w:rsid w:val="00927F50"/>
    <w:pPr>
      <w:numPr>
        <w:numId w:val="2"/>
      </w:numPr>
      <w:contextualSpacing/>
    </w:pPr>
  </w:style>
  <w:style w:styleId="Firma" w:type="paragraph">
    <w:name w:val="Signature"/>
    <w:basedOn w:val="Normale"/>
    <w:link w:val="FirmaCarattere"/>
    <w:rsid w:val="00833BF6"/>
    <w:pPr>
      <w:spacing w:after="0"/>
      <w:ind w:left="4320"/>
    </w:pPr>
  </w:style>
  <w:style w:customStyle="1" w:styleId="FirmaCarattere" w:type="character">
    <w:name w:val="Firma Carattere"/>
    <w:basedOn w:val="Carpredefinitoparagrafo"/>
    <w:link w:val="Firma"/>
    <w:rsid w:val="00833BF6"/>
  </w:style>
  <w:style w:customStyle="1" w:styleId="SourceCode" w:type="paragraph">
    <w:name w:val="Source Code"/>
    <w:basedOn w:val="Normale"/>
    <w:link w:val="VerbatimChar"/>
    <w:pPr>
      <w:shd w:color="auto" w:fill="F1F3F5" w:val="clear"/>
      <w:wordWrap w:val="0"/>
    </w:pPr>
  </w:style>
  <w:style w:customStyle="1" w:styleId="KeywordTok" w:type="character">
    <w:name w:val="KeywordTok"/>
    <w:basedOn w:val="VerbatimChar"/>
    <w:rPr>
      <w:rFonts w:ascii="Consolas" w:hAnsi="Consolas"/>
      <w:color w:val="003B4F"/>
      <w:sz w:val="22"/>
      <w:shd w:color="auto" w:fill="F1F3F5" w:val="clear"/>
    </w:rPr>
  </w:style>
  <w:style w:customStyle="1" w:styleId="DataTypeTok" w:type="character">
    <w:name w:val="DataTypeTok"/>
    <w:basedOn w:val="VerbatimChar"/>
    <w:rPr>
      <w:rFonts w:ascii="Consolas" w:hAnsi="Consolas"/>
      <w:color w:val="AD0000"/>
      <w:sz w:val="22"/>
      <w:shd w:color="auto" w:fill="F1F3F5" w:val="clear"/>
    </w:rPr>
  </w:style>
  <w:style w:customStyle="1" w:styleId="DecValTok" w:type="character">
    <w:name w:val="DecValTok"/>
    <w:basedOn w:val="VerbatimChar"/>
    <w:rPr>
      <w:rFonts w:ascii="Consolas" w:hAnsi="Consolas"/>
      <w:color w:val="AD0000"/>
      <w:sz w:val="22"/>
      <w:shd w:color="auto" w:fill="F1F3F5" w:val="clear"/>
    </w:rPr>
  </w:style>
  <w:style w:customStyle="1" w:styleId="BaseNTok" w:type="character">
    <w:name w:val="BaseNTok"/>
    <w:basedOn w:val="VerbatimChar"/>
    <w:rPr>
      <w:rFonts w:ascii="Consolas" w:hAnsi="Consolas"/>
      <w:color w:val="AD0000"/>
      <w:sz w:val="22"/>
      <w:shd w:color="auto" w:fill="F1F3F5" w:val="clear"/>
    </w:rPr>
  </w:style>
  <w:style w:customStyle="1" w:styleId="FloatTok" w:type="character">
    <w:name w:val="FloatTok"/>
    <w:basedOn w:val="VerbatimChar"/>
    <w:rPr>
      <w:rFonts w:ascii="Consolas" w:hAnsi="Consolas"/>
      <w:color w:val="AD0000"/>
      <w:sz w:val="22"/>
      <w:shd w:color="auto" w:fill="F1F3F5" w:val="clear"/>
    </w:rPr>
  </w:style>
  <w:style w:customStyle="1" w:styleId="ConstantTok" w:type="character">
    <w:name w:val="ConstantTok"/>
    <w:basedOn w:val="VerbatimChar"/>
    <w:rPr>
      <w:rFonts w:ascii="Consolas" w:hAnsi="Consolas"/>
      <w:color w:val="8F5902"/>
      <w:sz w:val="22"/>
      <w:shd w:color="auto" w:fill="F1F3F5" w:val="clear"/>
    </w:rPr>
  </w:style>
  <w:style w:customStyle="1" w:styleId="CharTok" w:type="character">
    <w:name w:val="CharTok"/>
    <w:basedOn w:val="VerbatimChar"/>
    <w:rPr>
      <w:rFonts w:ascii="Consolas" w:hAnsi="Consolas"/>
      <w:color w:val="20794D"/>
      <w:sz w:val="22"/>
      <w:shd w:color="auto" w:fill="F1F3F5" w:val="clear"/>
    </w:rPr>
  </w:style>
  <w:style w:customStyle="1" w:styleId="SpecialCharTok" w:type="character">
    <w:name w:val="SpecialCharTok"/>
    <w:basedOn w:val="VerbatimChar"/>
    <w:rPr>
      <w:rFonts w:ascii="Consolas" w:hAnsi="Consolas"/>
      <w:color w:val="5E5E5E"/>
      <w:sz w:val="22"/>
      <w:shd w:color="auto" w:fill="F1F3F5" w:val="clear"/>
    </w:rPr>
  </w:style>
  <w:style w:customStyle="1" w:styleId="StringTok" w:type="character">
    <w:name w:val="StringTok"/>
    <w:basedOn w:val="VerbatimChar"/>
    <w:rPr>
      <w:rFonts w:ascii="Consolas" w:hAnsi="Consolas"/>
      <w:color w:val="20794D"/>
      <w:sz w:val="22"/>
      <w:shd w:color="auto" w:fill="F1F3F5" w:val="clear"/>
    </w:rPr>
  </w:style>
  <w:style w:customStyle="1" w:styleId="VerbatimStringTok" w:type="character">
    <w:name w:val="VerbatimStringTok"/>
    <w:basedOn w:val="VerbatimChar"/>
    <w:rPr>
      <w:rFonts w:ascii="Consolas" w:hAnsi="Consolas"/>
      <w:color w:val="20794D"/>
      <w:sz w:val="22"/>
      <w:shd w:color="auto" w:fill="F1F3F5" w:val="clear"/>
    </w:rPr>
  </w:style>
  <w:style w:customStyle="1" w:styleId="SpecialStringTok" w:type="character">
    <w:name w:val="SpecialStringTok"/>
    <w:basedOn w:val="VerbatimChar"/>
    <w:rPr>
      <w:rFonts w:ascii="Consolas" w:hAnsi="Consolas"/>
      <w:color w:val="20794D"/>
      <w:sz w:val="22"/>
      <w:shd w:color="auto" w:fill="F1F3F5" w:val="clear"/>
    </w:rPr>
  </w:style>
  <w:style w:customStyle="1" w:styleId="ImportTok" w:type="character">
    <w:name w:val="ImportTok"/>
    <w:basedOn w:val="VerbatimChar"/>
    <w:rPr>
      <w:rFonts w:ascii="Consolas" w:hAnsi="Consolas"/>
      <w:color w:val="00769E"/>
      <w:sz w:val="22"/>
      <w:shd w:color="auto" w:fill="F1F3F5" w:val="clear"/>
    </w:rPr>
  </w:style>
  <w:style w:customStyle="1" w:styleId="CommentTok" w:type="character">
    <w:name w:val="CommentTok"/>
    <w:basedOn w:val="VerbatimChar"/>
    <w:rPr>
      <w:rFonts w:ascii="Consolas" w:hAnsi="Consolas"/>
      <w:color w:val="5E5E5E"/>
      <w:sz w:val="22"/>
      <w:shd w:color="auto" w:fill="F1F3F5" w:val="clear"/>
    </w:rPr>
  </w:style>
  <w:style w:customStyle="1" w:styleId="DocumentationTok" w:type="character">
    <w:name w:val="DocumentationTok"/>
    <w:basedOn w:val="VerbatimChar"/>
    <w:rPr>
      <w:rFonts w:ascii="Consolas" w:hAnsi="Consolas"/>
      <w:i/>
      <w:color w:val="5E5E5E"/>
      <w:sz w:val="22"/>
      <w:shd w:color="auto" w:fill="F1F3F5" w:val="clear"/>
    </w:rPr>
  </w:style>
  <w:style w:customStyle="1" w:styleId="AnnotationTok" w:type="character">
    <w:name w:val="AnnotationTok"/>
    <w:basedOn w:val="VerbatimChar"/>
    <w:rPr>
      <w:rFonts w:ascii="Consolas" w:hAnsi="Consolas"/>
      <w:color w:val="5E5E5E"/>
      <w:sz w:val="22"/>
      <w:shd w:color="auto" w:fill="F1F3F5" w:val="clear"/>
    </w:rPr>
  </w:style>
  <w:style w:customStyle="1" w:styleId="CommentVarTok" w:type="character">
    <w:name w:val="CommentVarTok"/>
    <w:basedOn w:val="VerbatimChar"/>
    <w:rPr>
      <w:rFonts w:ascii="Consolas" w:hAnsi="Consolas"/>
      <w:i/>
      <w:color w:val="5E5E5E"/>
      <w:sz w:val="22"/>
      <w:shd w:color="auto" w:fill="F1F3F5" w:val="clear"/>
    </w:rPr>
  </w:style>
  <w:style w:customStyle="1" w:styleId="OtherTok" w:type="character">
    <w:name w:val="OtherTok"/>
    <w:basedOn w:val="VerbatimChar"/>
    <w:rPr>
      <w:rFonts w:ascii="Consolas" w:hAnsi="Consolas"/>
      <w:color w:val="003B4F"/>
      <w:sz w:val="22"/>
      <w:shd w:color="auto" w:fill="F1F3F5" w:val="clear"/>
    </w:rPr>
  </w:style>
  <w:style w:customStyle="1" w:styleId="FunctionTok" w:type="character">
    <w:name w:val="FunctionTok"/>
    <w:basedOn w:val="VerbatimChar"/>
    <w:rPr>
      <w:rFonts w:ascii="Consolas" w:hAnsi="Consolas"/>
      <w:color w:val="4758AB"/>
      <w:sz w:val="22"/>
      <w:shd w:color="auto" w:fill="F1F3F5" w:val="clear"/>
    </w:rPr>
  </w:style>
  <w:style w:customStyle="1" w:styleId="VariableTok" w:type="character">
    <w:name w:val="VariableTok"/>
    <w:basedOn w:val="VerbatimChar"/>
    <w:rPr>
      <w:rFonts w:ascii="Consolas" w:hAnsi="Consolas"/>
      <w:color w:val="111111"/>
      <w:sz w:val="22"/>
      <w:shd w:color="auto" w:fill="F1F3F5" w:val="clear"/>
    </w:rPr>
  </w:style>
  <w:style w:customStyle="1" w:styleId="ControlFlowTok" w:type="character">
    <w:name w:val="ControlFlowTok"/>
    <w:basedOn w:val="VerbatimChar"/>
    <w:rPr>
      <w:rFonts w:ascii="Consolas" w:hAnsi="Consolas"/>
      <w:color w:val="003B4F"/>
      <w:sz w:val="22"/>
      <w:shd w:color="auto" w:fill="F1F3F5" w:val="clear"/>
    </w:rPr>
  </w:style>
  <w:style w:customStyle="1" w:styleId="OperatorTok" w:type="character">
    <w:name w:val="OperatorTok"/>
    <w:basedOn w:val="VerbatimChar"/>
    <w:rPr>
      <w:rFonts w:ascii="Consolas" w:hAnsi="Consolas"/>
      <w:color w:val="5E5E5E"/>
      <w:sz w:val="22"/>
      <w:shd w:color="auto" w:fill="F1F3F5" w:val="clear"/>
    </w:rPr>
  </w:style>
  <w:style w:customStyle="1" w:styleId="BuiltInTok" w:type="character">
    <w:name w:val="BuiltInTok"/>
    <w:basedOn w:val="VerbatimChar"/>
    <w:rPr>
      <w:rFonts w:ascii="Consolas" w:hAnsi="Consolas"/>
      <w:color w:val="003B4F"/>
      <w:sz w:val="22"/>
      <w:shd w:color="auto" w:fill="F1F3F5" w:val="clear"/>
    </w:rPr>
  </w:style>
  <w:style w:customStyle="1" w:styleId="ExtensionTok" w:type="character">
    <w:name w:val="ExtensionTok"/>
    <w:basedOn w:val="VerbatimChar"/>
    <w:rPr>
      <w:rFonts w:ascii="Consolas" w:hAnsi="Consolas"/>
      <w:color w:val="003B4F"/>
      <w:sz w:val="22"/>
      <w:shd w:color="auto" w:fill="F1F3F5" w:val="clear"/>
    </w:rPr>
  </w:style>
  <w:style w:customStyle="1" w:styleId="PreprocessorTok" w:type="character">
    <w:name w:val="PreprocessorTok"/>
    <w:basedOn w:val="VerbatimChar"/>
    <w:rPr>
      <w:rFonts w:ascii="Consolas" w:hAnsi="Consolas"/>
      <w:color w:val="AD0000"/>
      <w:sz w:val="22"/>
      <w:shd w:color="auto" w:fill="F1F3F5" w:val="clear"/>
    </w:rPr>
  </w:style>
  <w:style w:customStyle="1" w:styleId="AttributeTok" w:type="character">
    <w:name w:val="AttributeTok"/>
    <w:basedOn w:val="VerbatimChar"/>
    <w:rPr>
      <w:rFonts w:ascii="Consolas" w:hAnsi="Consolas"/>
      <w:color w:val="657422"/>
      <w:sz w:val="22"/>
      <w:shd w:color="auto" w:fill="F1F3F5" w:val="clear"/>
    </w:rPr>
  </w:style>
  <w:style w:customStyle="1" w:styleId="RegionMarkerTok" w:type="character">
    <w:name w:val="RegionMarkerTok"/>
    <w:basedOn w:val="VerbatimChar"/>
    <w:rPr>
      <w:rFonts w:ascii="Consolas" w:hAnsi="Consolas"/>
      <w:color w:val="003B4F"/>
      <w:sz w:val="22"/>
      <w:shd w:color="auto" w:fill="F1F3F5" w:val="clear"/>
    </w:rPr>
  </w:style>
  <w:style w:customStyle="1" w:styleId="InformationTok" w:type="character">
    <w:name w:val="InformationTok"/>
    <w:basedOn w:val="VerbatimChar"/>
    <w:rPr>
      <w:rFonts w:ascii="Consolas" w:hAnsi="Consolas"/>
      <w:color w:val="5E5E5E"/>
      <w:sz w:val="22"/>
      <w:shd w:color="auto" w:fill="F1F3F5" w:val="clear"/>
    </w:rPr>
  </w:style>
  <w:style w:customStyle="1" w:styleId="WarningTok" w:type="character">
    <w:name w:val="WarningTok"/>
    <w:basedOn w:val="VerbatimChar"/>
    <w:rPr>
      <w:rFonts w:ascii="Consolas" w:hAnsi="Consolas"/>
      <w:i/>
      <w:color w:val="5E5E5E"/>
      <w:sz w:val="22"/>
      <w:shd w:color="auto" w:fill="F1F3F5" w:val="clear"/>
    </w:rPr>
  </w:style>
  <w:style w:customStyle="1" w:styleId="AlertTok" w:type="character">
    <w:name w:val="AlertTok"/>
    <w:basedOn w:val="VerbatimChar"/>
    <w:rPr>
      <w:rFonts w:ascii="Consolas" w:hAnsi="Consolas"/>
      <w:color w:val="AD0000"/>
      <w:sz w:val="22"/>
      <w:shd w:color="auto" w:fill="F1F3F5" w:val="clear"/>
    </w:rPr>
  </w:style>
  <w:style w:customStyle="1" w:styleId="ErrorTok" w:type="character">
    <w:name w:val="ErrorTok"/>
    <w:basedOn w:val="VerbatimChar"/>
    <w:rPr>
      <w:rFonts w:ascii="Consolas" w:hAnsi="Consolas"/>
      <w:color w:val="AD0000"/>
      <w:sz w:val="22"/>
      <w:shd w:color="auto" w:fill="F1F3F5" w:val="clear"/>
    </w:rPr>
  </w:style>
  <w:style w:customStyle="1" w:styleId="NormalTok" w:type="character">
    <w:name w:val="NormalTok"/>
    <w:basedOn w:val="VerbatimChar"/>
    <w:rPr>
      <w:rFonts w:ascii="Consolas" w:hAnsi="Consolas"/>
      <w:color w:val="003B4F"/>
      <w:sz w:val="22"/>
      <w:shd w:color="auto" w:fill="F1F3F5" w:val="clear"/>
    </w:rPr>
  </w:style>
  <w:style w:customStyle="1" w:styleId="TableNormal" w:type="table">
    <w:name w:val="TableNormal"/>
    <w:basedOn w:val="Tabellanormale"/>
    <w:uiPriority w:val="99"/>
    <w:rsid w:val="00F75AC8"/>
    <w:pPr>
      <w:spacing w:after="0"/>
    </w:pPr>
    <w:rPr>
      <w:rFonts w:ascii="Verdana" w:eastAsiaTheme="minorEastAsia" w:hAnsi="Verdana"/>
    </w:rPr>
    <w:tblPr>
      <w:tblStyleRowBandSize w:val="1"/>
      <w:tblBorders>
        <w:top w:color="auto" w:space="0" w:sz="4" w:val="single"/>
        <w:left w:color="auto" w:space="0" w:sz="4" w:val="single"/>
        <w:bottom w:color="auto" w:space="0" w:sz="4" w:val="single"/>
        <w:right w:color="auto" w:space="0" w:sz="4" w:val="single"/>
      </w:tblBorders>
    </w:tblPr>
    <w:tblStylePr w:type="firstRow">
      <w:rPr>
        <w:rFonts w:ascii="Consolas" w:hAnsi="Consolas"/>
        <w:b/>
        <w:sz w:val="24"/>
      </w:rPr>
      <w:tblPr/>
      <w:tcPr>
        <w:shd w:color="auto" w:fill="A6A6A6" w:themeFill="background1" w:themeFillShade="A6" w:val="clear"/>
      </w:tcPr>
    </w:tblStylePr>
    <w:tblStylePr w:type="firstCol">
      <w:rPr>
        <w:i w:val="0"/>
      </w:rPr>
    </w:tblStylePr>
    <w:tblStylePr w:type="band1Horz">
      <w:rPr>
        <w:rFonts w:ascii="Consolas" w:hAnsi="Consolas"/>
        <w:sz w:val="22"/>
      </w:rPr>
    </w:tblStylePr>
    <w:tblStylePr w:type="band2Horz">
      <w:rPr>
        <w:rFonts w:ascii="Consolas" w:hAnsi="Consolas"/>
        <w:sz w:val="22"/>
      </w:rPr>
      <w:tblPr/>
      <w:tcPr>
        <w:shd w:color="auto" w:fill="D9D9D9" w:themeFill="background1" w:themeFillShade="D9" w:val="clear"/>
      </w:tcPr>
    </w:tblStylePr>
  </w:style>
  <w:style w:customStyle="1" w:styleId="Intro-PageBreak" w:type="paragraph">
    <w:name w:val="Intro-PageBreak"/>
    <w:basedOn w:val="Titolo1"/>
    <w:link w:val="Intro-PageBreakChar"/>
    <w:qFormat/>
    <w:rsid w:val="00CA403D"/>
    <w:pPr>
      <w:pageBreakBefore/>
    </w:pPr>
  </w:style>
  <w:style w:customStyle="1" w:styleId="Titolo1Carattere" w:type="character">
    <w:name w:val="Titolo 1 Carattere"/>
    <w:basedOn w:val="Carpredefinitoparagrafo"/>
    <w:link w:val="Titolo1"/>
    <w:uiPriority w:val="9"/>
    <w:rsid w:val="00CA403D"/>
    <w:rPr>
      <w:rFonts w:ascii="Verdana" w:cstheme="majorBidi" w:eastAsiaTheme="majorEastAsia" w:hAnsi="Verdana"/>
      <w:b/>
      <w:bCs/>
      <w:sz w:val="32"/>
      <w:szCs w:val="32"/>
    </w:rPr>
  </w:style>
  <w:style w:customStyle="1" w:styleId="Intro-PageBreakChar" w:type="character">
    <w:name w:val="Intro-PageBreak Char"/>
    <w:basedOn w:val="Titolo1Carattere"/>
    <w:link w:val="Intro-PageBreak"/>
    <w:rsid w:val="00CA403D"/>
    <w:rPr>
      <w:rFonts w:ascii="Verdana" w:cstheme="majorBidi" w:eastAsiaTheme="majorEastAsia" w:hAnsi="Verdana"/>
      <w:b/>
      <w:bCs/>
      <w:sz w:val="32"/>
      <w:szCs w:val="32"/>
    </w:rPr>
  </w:style>
  <w:style w:customStyle="1" w:styleId="CDC-Bullet" w:type="paragraph">
    <w:name w:val="CDC-Bullet"/>
    <w:basedOn w:val="Puntoelenco"/>
    <w:link w:val="CDC-BulletChar"/>
    <w:qFormat/>
    <w:rsid w:val="00CA403D"/>
  </w:style>
  <w:style w:customStyle="1" w:styleId="PuntoelencoCarattere" w:type="character">
    <w:name w:val="Punto elenco Carattere"/>
    <w:aliases w:val="List Bullet CDC Carattere"/>
    <w:basedOn w:val="Carpredefinitoparagrafo"/>
    <w:link w:val="Puntoelenco"/>
    <w:rsid w:val="00CA403D"/>
    <w:rPr>
      <w:rFonts w:ascii="Verdana" w:hAnsi="Verdana"/>
    </w:rPr>
  </w:style>
  <w:style w:customStyle="1" w:styleId="CDC-BulletChar" w:type="character">
    <w:name w:val="CDC-Bullet Char"/>
    <w:basedOn w:val="PuntoelencoCarattere"/>
    <w:link w:val="CDC-Bullet"/>
    <w:rsid w:val="00CA403D"/>
    <w:rPr>
      <w:rFonts w:ascii="Verdana" w:hAnsi="Verdana"/>
    </w:rPr>
  </w:style>
  <w:style w:styleId="Menzionenonrisolta" w:type="character">
    <w:name w:val="Unresolved Mention"/>
    <w:basedOn w:val="Carpredefinitoparagrafo"/>
    <w:uiPriority w:val="99"/>
    <w:semiHidden/>
    <w:unhideWhenUsed/>
    <w:rsid w:val="009A2FDD"/>
    <w:rPr>
      <w:color w:val="605E5C"/>
      <w:shd w:color="auto" w:fill="E1DFDD" w:val="clear"/>
    </w:rPr>
  </w:style>
  <w:style w:styleId="Elenco2" w:type="paragraph">
    <w:name w:val="List 2"/>
    <w:basedOn w:val="Normale"/>
    <w:rsid w:val="006C08B6"/>
    <w:pPr>
      <w:ind w:hanging="283" w:left="566"/>
      <w:contextualSpacing/>
    </w:pPr>
  </w:style>
  <w:style w:styleId="Elenco4" w:type="paragraph">
    <w:name w:val="List 4"/>
    <w:basedOn w:val="Normale"/>
    <w:rsid w:val="006C08B6"/>
    <w:pPr>
      <w:ind w:hanging="283" w:left="1132"/>
      <w:contextualSpacing/>
    </w:pPr>
  </w:style>
  <w:style w:customStyle="1" w:styleId="TitoloCarattere" w:type="character">
    <w:name w:val="Titolo Carattere"/>
    <w:aliases w:val="Title Carattere"/>
    <w:basedOn w:val="Carpredefinitoparagrafo"/>
    <w:link w:val="Titolo"/>
    <w:rsid w:val="00E04FA5"/>
    <w:rPr>
      <w:rFonts w:ascii="Verdana" w:cstheme="majorBidi" w:eastAsiaTheme="majorEastAsia" w:hAnsi="Verdana"/>
      <w:b/>
      <w:bCs/>
      <w:smallCaps/>
      <w:sz w:val="72"/>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3.xml" Type="http://schemas.openxmlformats.org/officeDocument/2006/relationships/header" /><Relationship Id="rId10" Target="header2.xml" Type="http://schemas.openxmlformats.org/officeDocument/2006/relationships/header" /><Relationship Id="rId11" Target="header1.xml" Type="http://schemas.openxmlformats.org/officeDocument/2006/relationships/header" /><Relationship Id="rId12" Target="footer2.xml" Type="http://schemas.openxmlformats.org/officeDocument/2006/relationships/footer" /><Relationship Id="rId13" Target="footer1.xml" Type="http://schemas.openxmlformats.org/officeDocument/2006/relationships/footer" /><Relationship Id="rId14" Target="footer3.xml" Type="http://schemas.openxmlformats.org/officeDocument/2006/relationships/footer" /><Relationship Type="http://schemas.openxmlformats.org/officeDocument/2006/relationships/hyperlink" Id="rId47" Target="https://doi.org/10.1002/cpt.2202" TargetMode="External" /><Relationship Type="http://schemas.openxmlformats.org/officeDocument/2006/relationships/hyperlink" Id="rId43" Target="https://doi.org/10.1002/phar.2842" TargetMode="External" /><Relationship Type="http://schemas.openxmlformats.org/officeDocument/2006/relationships/hyperlink" Id="rId53" Target="https://doi.org/10.1007/s10928-022-09839-1" TargetMode="External" /><Relationship Type="http://schemas.openxmlformats.org/officeDocument/2006/relationships/hyperlink" Id="rId41" Target="https://doi.org/10.1016/S0140-6736(24)01867-1" TargetMode="External" /><Relationship Type="http://schemas.openxmlformats.org/officeDocument/2006/relationships/hyperlink" Id="rId45" Target="https://doi.org/10.2174/138920111798808329" TargetMode="External" /><Relationship Type="http://schemas.openxmlformats.org/officeDocument/2006/relationships/hyperlink" Id="rId51" Target="https://doi.org/10.3390/antibiotics11080996" TargetMode="External" /><Relationship Type="http://schemas.openxmlformats.org/officeDocument/2006/relationships/hyperlink" Id="rId49" Target="https://doi.org/10.3390/pharmaceutics15071859" TargetMode="External" /><Relationship Type="http://schemas.openxmlformats.org/officeDocument/2006/relationships/hyperlink" Id="rId22" Target="https://github.com/mat194/PhD-thesis.git" TargetMode="External" /><Relationship Type="http://schemas.openxmlformats.org/officeDocument/2006/relationships/hyperlink" Id="rId39" Target="https://www.who.int/news-room/fact-sheets/detail/antimicrobial-resistance" TargetMode="External" /></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notes.xml.rels><?xml version="1.0" encoding="UTF-8"?><Relationships xmlns="http://schemas.openxmlformats.org/package/2006/relationships"><Relationship Type="http://schemas.openxmlformats.org/officeDocument/2006/relationships/hyperlink" Id="rId47" Target="https://doi.org/10.1002/cpt.2202" TargetMode="External" /><Relationship Type="http://schemas.openxmlformats.org/officeDocument/2006/relationships/hyperlink" Id="rId43" Target="https://doi.org/10.1002/phar.2842" TargetMode="External" /><Relationship Type="http://schemas.openxmlformats.org/officeDocument/2006/relationships/hyperlink" Id="rId53" Target="https://doi.org/10.1007/s10928-022-09839-1" TargetMode="External" /><Relationship Type="http://schemas.openxmlformats.org/officeDocument/2006/relationships/hyperlink" Id="rId41" Target="https://doi.org/10.1016/S0140-6736(24)01867-1" TargetMode="External" /><Relationship Type="http://schemas.openxmlformats.org/officeDocument/2006/relationships/hyperlink" Id="rId45" Target="https://doi.org/10.2174/138920111798808329" TargetMode="External" /><Relationship Type="http://schemas.openxmlformats.org/officeDocument/2006/relationships/hyperlink" Id="rId51" Target="https://doi.org/10.3390/antibiotics11080996" TargetMode="External" /><Relationship Type="http://schemas.openxmlformats.org/officeDocument/2006/relationships/hyperlink" Id="rId49" Target="https://doi.org/10.3390/pharmaceutics15071859" TargetMode="External" /><Relationship Type="http://schemas.openxmlformats.org/officeDocument/2006/relationships/hyperlink" Id="rId22" Target="https://github.com/mat194/PhD-thesis.git" TargetMode="External" /><Relationship Type="http://schemas.openxmlformats.org/officeDocument/2006/relationships/hyperlink" Id="rId39" Target="https://www.who.int/news-room/fact-sheets/detail/antimicrobial-resistance" TargetMode="External" /></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60</TotalTime>
  <Pages>3</Pages>
  <Words>151</Words>
  <Characters>866</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Example Dallas PD Standardized Report</vt:lpstr>
    </vt:vector>
  </TitlesOfParts>
  <Company/>
  <LinksUpToDate>false</LinksUpToDate>
  <CharactersWithSpaces>1015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Optimizing Antimicrobial Therapy Through Model-Informed Precision Dosing: A PK/PD-Based Translational Approach</dc:title>
  <dc:creator>Matteo Morra</dc:creator>
  <cp:keywords/>
  <dcterms:created xsi:type="dcterms:W3CDTF">2026-01-05T18:15:37Z</dcterms:created>
  <dcterms:modified xsi:type="dcterms:W3CDTF">2026-01-05T18:15:37Z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ook">
    <vt:lpwstr/>
  </property>
  <property fmtid="{D5CDD505-2E9C-101B-9397-08002B2CF9AE}" pid="6" name="by-author">
    <vt:lpwstr/>
  </property>
  <property fmtid="{D5CDD505-2E9C-101B-9397-08002B2CF9AE}" pid="7" name="citerefs">
    <vt:lpwstr>True</vt:lpwstr>
  </property>
  <property fmtid="{D5CDD505-2E9C-101B-9397-08002B2CF9AE}" pid="8" name="crossref">
    <vt:lpwstr/>
  </property>
  <property fmtid="{D5CDD505-2E9C-101B-9397-08002B2CF9AE}" pid="9" name="csl">
    <vt:lpwstr>Utils/elsevier-vancouver.csl</vt:lpwstr>
  </property>
  <property fmtid="{D5CDD505-2E9C-101B-9397-08002B2CF9AE}" pid="10" name="date">
    <vt:lpwstr>05 January, 2026</vt:lpwstr>
  </property>
  <property fmtid="{D5CDD505-2E9C-101B-9397-08002B2CF9AE}" pid="11" name="date-format">
    <vt:lpwstr>DD MMMM, YYYY</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template-partials">
    <vt:lpwstr/>
  </property>
  <property fmtid="{D5CDD505-2E9C-101B-9397-08002B2CF9AE}" pid="17" name="toc-title">
    <vt:lpwstr>Table of contents</vt:lpwstr>
  </property>
</Properties>
</file>