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8235" w14:textId="70D88E26" w:rsidR="00D8165D" w:rsidRPr="003736A0" w:rsidRDefault="2BE8B1FA" w:rsidP="00CE4590">
      <w:pPr>
        <w:jc w:val="center"/>
        <w:rPr>
          <w:rFonts w:ascii="Arial" w:eastAsia="Arial" w:hAnsi="Arial" w:cs="Arial"/>
          <w:b/>
          <w:bCs/>
          <w:color w:val="000000" w:themeColor="text1"/>
          <w:sz w:val="32"/>
          <w:szCs w:val="32"/>
        </w:rPr>
      </w:pPr>
      <w:r w:rsidRPr="00894911">
        <w:rPr>
          <w:rFonts w:ascii="Arial" w:eastAsia="Arial" w:hAnsi="Arial" w:cs="Arial"/>
          <w:b/>
          <w:color w:val="000000" w:themeColor="text1"/>
          <w:sz w:val="40"/>
          <w:szCs w:val="40"/>
        </w:rPr>
        <w:t>Toward model informed precision dosing for Dalbavancin</w:t>
      </w:r>
    </w:p>
    <w:p w14:paraId="2B7C4D67" w14:textId="7215E1A1" w:rsidR="001C3F1C" w:rsidRPr="0063417E" w:rsidRDefault="0051319E" w:rsidP="558DF735">
      <w:pPr>
        <w:rPr>
          <w:rFonts w:ascii="Arial" w:eastAsia="Arial" w:hAnsi="Arial" w:cs="Arial"/>
          <w:color w:val="000000" w:themeColor="text1"/>
          <w:lang w:val="it-IT"/>
          <w:rPrChange w:id="0" w:author="" w16du:dateUtc="2025-11-20T17:04:00Z">
            <w:rPr>
              <w:rFonts w:ascii="Arial" w:eastAsia="Arial" w:hAnsi="Arial" w:cs="Arial"/>
              <w:color w:val="000000" w:themeColor="text1"/>
            </w:rPr>
          </w:rPrChange>
        </w:rPr>
      </w:pPr>
      <w:r w:rsidRPr="00A722B6">
        <w:rPr>
          <w:rFonts w:ascii="Arial" w:eastAsia="Arial" w:hAnsi="Arial" w:cs="Arial"/>
          <w:color w:val="000000" w:themeColor="text1"/>
        </w:rPr>
        <w:t>M.</w:t>
      </w:r>
      <w:r w:rsidR="557067B2" w:rsidRPr="00A722B6">
        <w:rPr>
          <w:rFonts w:ascii="Arial" w:eastAsia="Arial" w:hAnsi="Arial" w:cs="Arial"/>
          <w:color w:val="000000" w:themeColor="text1"/>
        </w:rPr>
        <w:t xml:space="preserve"> </w:t>
      </w:r>
      <w:r w:rsidRPr="00A722B6">
        <w:rPr>
          <w:rFonts w:ascii="Arial" w:eastAsia="Arial" w:hAnsi="Arial" w:cs="Arial"/>
          <w:color w:val="000000" w:themeColor="text1"/>
        </w:rPr>
        <w:t xml:space="preserve">Morra, </w:t>
      </w:r>
      <w:r w:rsidR="0063417E" w:rsidRPr="00A722B6">
        <w:rPr>
          <w:rFonts w:ascii="Arial" w:hAnsi="Arial" w:cs="Arial"/>
          <w:color w:val="000000" w:themeColor="text1"/>
        </w:rPr>
        <w:t>Jason A Roberts</w:t>
      </w:r>
      <w:r w:rsidR="0063417E" w:rsidRPr="00A722B6">
        <w:rPr>
          <w:rFonts w:ascii="Arial" w:eastAsia="Arial" w:hAnsi="Arial" w:cs="Arial"/>
          <w:color w:val="000000" w:themeColor="text1"/>
        </w:rPr>
        <w:t xml:space="preserve">, </w:t>
      </w:r>
      <w:r w:rsidR="0063417E" w:rsidRPr="00A722B6">
        <w:rPr>
          <w:rFonts w:ascii="Arial" w:hAnsi="Arial" w:cs="Arial"/>
          <w:color w:val="000000" w:themeColor="text1"/>
        </w:rPr>
        <w:t>C. Leven</w:t>
      </w:r>
      <w:r w:rsidR="0063417E" w:rsidRPr="00A722B6">
        <w:rPr>
          <w:rFonts w:ascii="Arial" w:eastAsia="Arial" w:hAnsi="Arial" w:cs="Arial"/>
          <w:color w:val="000000" w:themeColor="text1"/>
        </w:rPr>
        <w:t xml:space="preserve">, </w:t>
      </w:r>
      <w:r w:rsidRPr="00A722B6">
        <w:rPr>
          <w:rFonts w:ascii="Arial" w:eastAsia="Arial" w:hAnsi="Arial" w:cs="Arial"/>
          <w:color w:val="000000" w:themeColor="text1"/>
        </w:rPr>
        <w:t xml:space="preserve">E. Tacconelli, M. </w:t>
      </w:r>
      <w:hyperlink r:id="rId5">
        <w:r w:rsidR="001C3F1C" w:rsidRPr="0F8BFF1C">
          <w:rPr>
            <w:rFonts w:ascii="Arial" w:eastAsia="Arial" w:hAnsi="Arial" w:cs="Arial"/>
            <w:color w:val="000000" w:themeColor="text1"/>
            <w:lang w:val="it-IT"/>
          </w:rPr>
          <w:t>Gregoire</w:t>
        </w:r>
      </w:hyperlink>
    </w:p>
    <w:p w14:paraId="03851113" w14:textId="1FA59D24" w:rsidR="001C3F1C" w:rsidRPr="003736A0" w:rsidRDefault="001C3F1C" w:rsidP="558DF735">
      <w:pPr>
        <w:rPr>
          <w:rFonts w:ascii="Arial" w:eastAsia="Arial" w:hAnsi="Arial" w:cs="Arial"/>
          <w:b/>
          <w:bCs/>
          <w:color w:val="000000" w:themeColor="text1"/>
          <w:sz w:val="32"/>
          <w:szCs w:val="32"/>
        </w:rPr>
      </w:pPr>
      <w:r w:rsidRPr="003736A0">
        <w:rPr>
          <w:rFonts w:ascii="Arial" w:eastAsia="Arial" w:hAnsi="Arial" w:cs="Arial"/>
          <w:b/>
          <w:bCs/>
          <w:color w:val="000000" w:themeColor="text1"/>
          <w:sz w:val="32"/>
          <w:szCs w:val="32"/>
        </w:rPr>
        <w:t>Background</w:t>
      </w:r>
    </w:p>
    <w:p w14:paraId="4A219535" w14:textId="25A627EE" w:rsidR="00663B17" w:rsidRDefault="00663B17" w:rsidP="558DF735">
      <w:pPr>
        <w:rPr>
          <w:rFonts w:ascii="Arial" w:eastAsia="Arial" w:hAnsi="Arial" w:cs="Arial"/>
          <w:color w:val="000000" w:themeColor="text1"/>
        </w:rPr>
      </w:pPr>
      <w:r w:rsidRPr="00663B17">
        <w:rPr>
          <w:rFonts w:ascii="Arial" w:eastAsia="Arial" w:hAnsi="Arial" w:cs="Arial"/>
          <w:color w:val="000000" w:themeColor="text1"/>
        </w:rPr>
        <w:t xml:space="preserve">Dalbavancin is an attractive therapeutic option owing to its exceptionally long terminal half-life of approximately 14 days and its potent in vitro activity against </w:t>
      </w:r>
      <w:r w:rsidRPr="00663B17">
        <w:rPr>
          <w:rFonts w:ascii="Arial" w:eastAsia="Arial" w:hAnsi="Arial" w:cs="Arial"/>
          <w:i/>
          <w:iCs/>
          <w:color w:val="000000" w:themeColor="text1"/>
        </w:rPr>
        <w:t>Staphylococcus aureus</w:t>
      </w:r>
      <w:r w:rsidRPr="00663B17">
        <w:rPr>
          <w:rFonts w:ascii="Arial" w:eastAsia="Arial" w:hAnsi="Arial" w:cs="Arial"/>
          <w:color w:val="000000" w:themeColor="text1"/>
        </w:rPr>
        <w:t xml:space="preserve">, including methicillin-resistant strains. Its clinical use has expanded beyond approved indications to include complex infections such as bone and joint infections and infective endocarditis. However, optimal dosing strategies for these </w:t>
      </w:r>
      <w:r w:rsidR="005A480F" w:rsidRPr="00663B17">
        <w:rPr>
          <w:rFonts w:ascii="Arial" w:eastAsia="Arial" w:hAnsi="Arial" w:cs="Arial"/>
          <w:color w:val="000000" w:themeColor="text1"/>
        </w:rPr>
        <w:t>off label</w:t>
      </w:r>
      <w:r w:rsidRPr="00663B17">
        <w:rPr>
          <w:rFonts w:ascii="Arial" w:eastAsia="Arial" w:hAnsi="Arial" w:cs="Arial"/>
          <w:color w:val="000000" w:themeColor="text1"/>
        </w:rPr>
        <w:t xml:space="preserve"> uses remain poorly defined. To address this gap, we developed a model-informed precision dosing tool to support individualized dalbavancin therapy.</w:t>
      </w:r>
    </w:p>
    <w:p w14:paraId="48905F8F" w14:textId="3C635786" w:rsidR="001C3F1C" w:rsidRPr="003736A0" w:rsidRDefault="001C3F1C" w:rsidP="558DF735">
      <w:pPr>
        <w:rPr>
          <w:rFonts w:ascii="Arial" w:eastAsia="Arial" w:hAnsi="Arial" w:cs="Arial"/>
          <w:b/>
          <w:bCs/>
          <w:color w:val="000000" w:themeColor="text1"/>
          <w:sz w:val="32"/>
          <w:szCs w:val="32"/>
        </w:rPr>
      </w:pPr>
      <w:r w:rsidRPr="003736A0">
        <w:rPr>
          <w:rFonts w:ascii="Arial" w:eastAsia="Arial" w:hAnsi="Arial" w:cs="Arial"/>
          <w:b/>
          <w:bCs/>
          <w:color w:val="000000" w:themeColor="text1"/>
          <w:sz w:val="32"/>
          <w:szCs w:val="32"/>
        </w:rPr>
        <w:t>Methods</w:t>
      </w:r>
    </w:p>
    <w:p w14:paraId="3B8E0D36" w14:textId="34964561" w:rsidR="00E64237" w:rsidRPr="00E64237" w:rsidRDefault="00E64237" w:rsidP="00E64237">
      <w:pPr>
        <w:rPr>
          <w:rFonts w:ascii="Arial" w:eastAsia="Arial" w:hAnsi="Arial" w:cs="Arial"/>
          <w:color w:val="000000" w:themeColor="text1"/>
        </w:rPr>
      </w:pPr>
      <w:r w:rsidRPr="00E64237">
        <w:rPr>
          <w:rFonts w:ascii="Arial" w:eastAsia="Arial" w:hAnsi="Arial" w:cs="Arial"/>
          <w:color w:val="000000" w:themeColor="text1"/>
        </w:rPr>
        <w:t xml:space="preserve">A systematic search of the literature was performed to identify published dalbavancin </w:t>
      </w:r>
      <w:r w:rsidR="007C20CF">
        <w:rPr>
          <w:rFonts w:ascii="Arial" w:eastAsia="Arial" w:hAnsi="Arial" w:cs="Arial"/>
          <w:color w:val="000000" w:themeColor="text1"/>
        </w:rPr>
        <w:t>population pharm</w:t>
      </w:r>
      <w:r w:rsidR="00AF5518">
        <w:rPr>
          <w:rFonts w:ascii="Arial" w:eastAsia="Arial" w:hAnsi="Arial" w:cs="Arial"/>
          <w:color w:val="000000" w:themeColor="text1"/>
        </w:rPr>
        <w:t>acokinetic</w:t>
      </w:r>
      <w:r w:rsidRPr="00E64237">
        <w:rPr>
          <w:rFonts w:ascii="Arial" w:eastAsia="Arial" w:hAnsi="Arial" w:cs="Arial"/>
          <w:color w:val="000000" w:themeColor="text1"/>
        </w:rPr>
        <w:t xml:space="preserve"> models</w:t>
      </w:r>
      <w:r w:rsidR="00791233">
        <w:rPr>
          <w:rFonts w:ascii="Arial" w:eastAsia="Arial" w:hAnsi="Arial" w:cs="Arial"/>
          <w:color w:val="000000" w:themeColor="text1"/>
        </w:rPr>
        <w:t xml:space="preserve">. </w:t>
      </w:r>
      <w:r w:rsidRPr="00E64237">
        <w:rPr>
          <w:rFonts w:ascii="Arial" w:eastAsia="Arial" w:hAnsi="Arial" w:cs="Arial"/>
          <w:color w:val="000000" w:themeColor="text1"/>
        </w:rPr>
        <w:t xml:space="preserve">A Shiny application was developed using the R packages </w:t>
      </w:r>
      <w:r w:rsidRPr="00E64237">
        <w:rPr>
          <w:rFonts w:ascii="Arial" w:eastAsia="Arial" w:hAnsi="Arial" w:cs="Arial"/>
          <w:b/>
          <w:bCs/>
          <w:color w:val="000000" w:themeColor="text1"/>
        </w:rPr>
        <w:t>rxode2</w:t>
      </w:r>
      <w:r w:rsidRPr="00E64237">
        <w:rPr>
          <w:rFonts w:ascii="Arial" w:eastAsia="Arial" w:hAnsi="Arial" w:cs="Arial"/>
          <w:color w:val="000000" w:themeColor="text1"/>
        </w:rPr>
        <w:t xml:space="preserve"> and </w:t>
      </w:r>
      <w:proofErr w:type="spellStart"/>
      <w:r w:rsidRPr="00E64237">
        <w:rPr>
          <w:rFonts w:ascii="Arial" w:eastAsia="Arial" w:hAnsi="Arial" w:cs="Arial"/>
          <w:b/>
          <w:bCs/>
          <w:color w:val="000000" w:themeColor="text1"/>
        </w:rPr>
        <w:t>posologyr</w:t>
      </w:r>
      <w:proofErr w:type="spellEnd"/>
      <w:r w:rsidRPr="00E64237">
        <w:rPr>
          <w:rFonts w:ascii="Arial" w:eastAsia="Arial" w:hAnsi="Arial" w:cs="Arial"/>
          <w:color w:val="000000" w:themeColor="text1"/>
        </w:rPr>
        <w:t xml:space="preserve"> to enable a posteriori dosing optimisation.</w:t>
      </w:r>
    </w:p>
    <w:p w14:paraId="755ED9E6" w14:textId="16B789FB" w:rsidR="00402E2D" w:rsidRDefault="00E64237" w:rsidP="5E8439FF">
      <w:pPr>
        <w:rPr>
          <w:rFonts w:ascii="Arial" w:eastAsia="Arial" w:hAnsi="Arial" w:cs="Arial"/>
          <w:color w:val="000000" w:themeColor="text1"/>
        </w:rPr>
      </w:pPr>
      <w:r w:rsidRPr="00E64237">
        <w:rPr>
          <w:rFonts w:ascii="Arial" w:eastAsia="Arial" w:hAnsi="Arial" w:cs="Arial"/>
          <w:color w:val="000000" w:themeColor="text1"/>
        </w:rPr>
        <w:t>Model averaging was implemented using a log</w:t>
      </w:r>
      <w:r w:rsidR="0DA0998B" w:rsidRPr="5E8439FF">
        <w:rPr>
          <w:rFonts w:ascii="Arial" w:eastAsia="Arial" w:hAnsi="Arial" w:cs="Arial"/>
          <w:color w:val="000000" w:themeColor="text1"/>
        </w:rPr>
        <w:t>–</w:t>
      </w:r>
      <w:r w:rsidRPr="5E8439FF">
        <w:rPr>
          <w:rFonts w:ascii="Arial" w:eastAsia="Arial" w:hAnsi="Arial" w:cs="Arial"/>
          <w:color w:val="000000" w:themeColor="text1"/>
        </w:rPr>
        <w:t xml:space="preserve">likelihood–based weighting approach. </w:t>
      </w:r>
      <w:r w:rsidR="00402E2D" w:rsidRPr="5E8439FF">
        <w:rPr>
          <w:rFonts w:ascii="Arial" w:eastAsia="Arial" w:hAnsi="Arial" w:cs="Arial"/>
          <w:color w:val="000000" w:themeColor="text1"/>
        </w:rPr>
        <w:t xml:space="preserve">For each candidate model </w:t>
      </w:r>
      <m:oMath>
        <m:r>
          <w:rPr>
            <w:rFonts w:ascii="Cambria Math" w:eastAsia="Arial" w:hAnsi="Cambria Math" w:cs="Arial"/>
            <w:color w:val="000000" w:themeColor="text1"/>
          </w:rPr>
          <m:t>i</m:t>
        </m:r>
      </m:oMath>
      <w:r w:rsidR="00402E2D" w:rsidRPr="5E8439FF">
        <w:rPr>
          <w:rFonts w:ascii="Arial" w:eastAsia="Arial" w:hAnsi="Arial" w:cs="Arial"/>
          <w:color w:val="000000" w:themeColor="text1"/>
        </w:rPr>
        <w:t xml:space="preserve">, the likelihood was computed as </w:t>
      </w:r>
      <m:oMath>
        <m:sSub>
          <m:sSubPr>
            <m:ctrlPr>
              <w:rPr>
                <w:rFonts w:ascii="Cambria Math" w:eastAsia="Arial" w:hAnsi="Cambria Math" w:cs="Arial"/>
                <w:color w:val="000000" w:themeColor="text1"/>
              </w:rPr>
            </m:ctrlPr>
          </m:sSubPr>
          <m:e>
            <m:r>
              <w:rPr>
                <w:rFonts w:ascii="Cambria Math" w:eastAsia="Arial" w:hAnsi="Cambria Math" w:cs="Arial"/>
                <w:color w:val="000000" w:themeColor="text1"/>
              </w:rPr>
              <m:t>L</m:t>
            </m:r>
          </m:e>
          <m:sub>
            <m:r>
              <w:rPr>
                <w:rFonts w:ascii="Cambria Math" w:eastAsia="Arial" w:hAnsi="Cambria Math" w:cs="Arial"/>
                <w:color w:val="000000" w:themeColor="text1"/>
              </w:rPr>
              <m:t>i</m:t>
            </m:r>
          </m:sub>
        </m:sSub>
        <m:r>
          <w:rPr>
            <w:rFonts w:ascii="Cambria Math" w:eastAsia="Arial" w:hAnsi="Cambria Math" w:cs="Arial"/>
            <w:color w:val="000000" w:themeColor="text1"/>
          </w:rPr>
          <m:t>=</m:t>
        </m:r>
        <m:r>
          <m:rPr>
            <m:sty m:val="p"/>
          </m:rPr>
          <w:rPr>
            <w:rFonts w:ascii="Cambria Math" w:eastAsia="Arial" w:hAnsi="Cambria Math" w:cs="Arial"/>
            <w:color w:val="000000" w:themeColor="text1"/>
          </w:rPr>
          <m:t>exp</m:t>
        </m:r>
        <m:r>
          <w:rPr>
            <w:rFonts w:ascii="Cambria Math" w:eastAsia="Arial" w:hAnsi="Cambria Math" w:cs="Arial"/>
            <w:color w:val="000000" w:themeColor="text1"/>
          </w:rPr>
          <m:t>⁡(-0.5×OF</m:t>
        </m:r>
        <m:sSub>
          <m:sSubPr>
            <m:ctrlPr>
              <w:rPr>
                <w:rFonts w:ascii="Cambria Math" w:eastAsia="Arial" w:hAnsi="Cambria Math" w:cs="Arial"/>
                <w:color w:val="000000" w:themeColor="text1"/>
              </w:rPr>
            </m:ctrlPr>
          </m:sSubPr>
          <m:e>
            <m:r>
              <w:rPr>
                <w:rFonts w:ascii="Cambria Math" w:eastAsia="Arial" w:hAnsi="Cambria Math" w:cs="Arial"/>
                <w:color w:val="000000" w:themeColor="text1"/>
              </w:rPr>
              <m:t>V</m:t>
            </m:r>
          </m:e>
          <m:sub>
            <m:r>
              <w:rPr>
                <w:rFonts w:ascii="Cambria Math" w:eastAsia="Arial" w:hAnsi="Cambria Math" w:cs="Arial"/>
                <w:color w:val="000000" w:themeColor="text1"/>
              </w:rPr>
              <m:t>i</m:t>
            </m:r>
          </m:sub>
        </m:sSub>
        <m:r>
          <w:rPr>
            <w:rFonts w:ascii="Cambria Math" w:eastAsia="Arial" w:hAnsi="Cambria Math" w:cs="Arial"/>
            <w:color w:val="000000" w:themeColor="text1"/>
          </w:rPr>
          <m:t>)</m:t>
        </m:r>
      </m:oMath>
      <w:r w:rsidR="00402E2D" w:rsidRPr="5E8439FF">
        <w:rPr>
          <w:rFonts w:ascii="Arial" w:eastAsia="Arial" w:hAnsi="Arial" w:cs="Arial"/>
          <w:color w:val="000000" w:themeColor="text1"/>
        </w:rPr>
        <w:t>, and the corresponding model weight</w:t>
      </w:r>
      <w:r w:rsidR="69F6FDBC" w:rsidRPr="5E8439FF">
        <w:rPr>
          <w:rFonts w:ascii="Arial" w:eastAsia="Arial" w:hAnsi="Arial" w:cs="Arial"/>
          <w:color w:val="000000" w:themeColor="text1"/>
        </w:rPr>
        <w:t xml:space="preserve"> </w:t>
      </w:r>
      <w:r w:rsidR="00964B6E" w:rsidRPr="5E8439FF">
        <w:rPr>
          <w:rFonts w:ascii="Arial" w:eastAsia="Arial" w:hAnsi="Arial" w:cs="Arial"/>
          <w:color w:val="000000" w:themeColor="text1"/>
        </w:rPr>
        <w:t>(</w:t>
      </w:r>
      <m:oMath>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w</m:t>
            </m:r>
          </m:e>
          <m:sub>
            <m:r>
              <w:rPr>
                <w:rFonts w:ascii="Cambria Math" w:eastAsia="Arial" w:hAnsi="Cambria Math" w:cs="Arial"/>
                <w:color w:val="000000" w:themeColor="text1"/>
              </w:rPr>
              <m:t>i</m:t>
            </m:r>
          </m:sub>
        </m:sSub>
      </m:oMath>
      <w:r w:rsidR="00964B6E" w:rsidRPr="5E8439FF">
        <w:rPr>
          <w:rFonts w:ascii="Arial" w:eastAsia="Arial" w:hAnsi="Arial" w:cs="Arial"/>
          <w:color w:val="000000" w:themeColor="text1"/>
        </w:rPr>
        <w:t>)</w:t>
      </w:r>
      <w:r w:rsidR="00402E2D" w:rsidRPr="5E8439FF">
        <w:rPr>
          <w:rFonts w:ascii="Arial" w:eastAsia="Arial" w:hAnsi="Arial" w:cs="Arial"/>
          <w:color w:val="000000" w:themeColor="text1"/>
        </w:rPr>
        <w:t xml:space="preserve"> was calculated as:</w:t>
      </w:r>
    </w:p>
    <w:p w14:paraId="533DACEE" w14:textId="0CAB9C45" w:rsidR="007E3360" w:rsidRPr="007E3360" w:rsidRDefault="00000000" w:rsidP="5E8439FF">
      <w:pPr>
        <w:jc w:val="center"/>
        <w:rPr>
          <w:rFonts w:ascii="Arial" w:eastAsia="Arial" w:hAnsi="Arial" w:cs="Arial"/>
          <w:color w:val="000000" w:themeColor="text1"/>
        </w:rPr>
      </w:pPr>
      <m:oMathPara>
        <m:oMath>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w</m:t>
              </m:r>
            </m:e>
            <m:sub>
              <m:r>
                <w:rPr>
                  <w:rFonts w:ascii="Cambria Math" w:eastAsia="Arial" w:hAnsi="Cambria Math" w:cs="Arial"/>
                  <w:color w:val="000000" w:themeColor="text1"/>
                </w:rPr>
                <m:t>i</m:t>
              </m:r>
            </m:sub>
          </m:sSub>
          <m:r>
            <w:rPr>
              <w:rFonts w:ascii="Cambria Math" w:eastAsia="Arial" w:hAnsi="Cambria Math" w:cs="Arial"/>
              <w:color w:val="000000" w:themeColor="text1"/>
            </w:rPr>
            <m:t>=</m:t>
          </m:r>
          <m:f>
            <m:fPr>
              <m:ctrlPr>
                <w:rPr>
                  <w:rFonts w:ascii="Cambria Math" w:eastAsia="Arial" w:hAnsi="Cambria Math" w:cs="Arial"/>
                  <w:color w:val="000000" w:themeColor="text1"/>
                </w:rPr>
              </m:ctrlPr>
            </m:fPr>
            <m:num>
              <m:sSub>
                <m:sSubPr>
                  <m:ctrlPr>
                    <w:rPr>
                      <w:rFonts w:ascii="Cambria Math" w:eastAsia="Arial" w:hAnsi="Cambria Math" w:cs="Arial"/>
                      <w:color w:val="000000" w:themeColor="text1"/>
                    </w:rPr>
                  </m:ctrlPr>
                </m:sSubPr>
                <m:e>
                  <m:r>
                    <w:rPr>
                      <w:rFonts w:ascii="Cambria Math" w:eastAsia="Arial" w:hAnsi="Cambria Math" w:cs="Arial"/>
                      <w:color w:val="000000" w:themeColor="text1"/>
                    </w:rPr>
                    <m:t>L</m:t>
                  </m:r>
                </m:e>
                <m:sub>
                  <m:r>
                    <w:rPr>
                      <w:rFonts w:ascii="Cambria Math" w:eastAsia="Arial" w:hAnsi="Cambria Math" w:cs="Arial"/>
                      <w:color w:val="000000" w:themeColor="text1"/>
                    </w:rPr>
                    <m:t>i</m:t>
                  </m:r>
                </m:sub>
              </m:sSub>
              <m:ctrlPr>
                <w:rPr>
                  <w:rFonts w:ascii="Cambria Math" w:eastAsia="Arial" w:hAnsi="Cambria Math" w:cs="Arial"/>
                  <w:i/>
                  <w:color w:val="000000" w:themeColor="text1"/>
                </w:rPr>
              </m:ctrlPr>
            </m:num>
            <m:den>
              <m:nary>
                <m:naryPr>
                  <m:chr m:val="∑"/>
                  <m:ctrlPr>
                    <w:rPr>
                      <w:rFonts w:ascii="Cambria Math" w:eastAsia="Arial" w:hAnsi="Cambria Math" w:cs="Arial"/>
                      <w:color w:val="000000" w:themeColor="text1"/>
                    </w:rPr>
                  </m:ctrlPr>
                </m:naryPr>
                <m:sub>
                  <m:r>
                    <w:rPr>
                      <w:rFonts w:ascii="Cambria Math" w:eastAsia="Arial" w:hAnsi="Cambria Math" w:cs="Arial"/>
                      <w:color w:val="000000" w:themeColor="text1"/>
                    </w:rPr>
                    <m:t>j=1</m:t>
                  </m:r>
                  <m:ctrlPr>
                    <w:rPr>
                      <w:rFonts w:ascii="Cambria Math" w:eastAsia="Arial" w:hAnsi="Cambria Math" w:cs="Arial"/>
                      <w:i/>
                      <w:color w:val="000000" w:themeColor="text1"/>
                    </w:rPr>
                  </m:ctrlPr>
                </m:sub>
                <m:sup>
                  <m:r>
                    <w:rPr>
                      <w:rFonts w:ascii="Cambria Math" w:eastAsia="Arial" w:hAnsi="Cambria Math" w:cs="Arial"/>
                      <w:color w:val="000000" w:themeColor="text1"/>
                    </w:rPr>
                    <m:t>n</m:t>
                  </m:r>
                  <m:ctrlPr>
                    <w:rPr>
                      <w:rFonts w:ascii="Cambria Math" w:eastAsia="Arial" w:hAnsi="Cambria Math" w:cs="Arial"/>
                      <w:i/>
                      <w:color w:val="000000" w:themeColor="text1"/>
                    </w:rPr>
                  </m:ctrlPr>
                </m:sup>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L</m:t>
                      </m:r>
                    </m:e>
                    <m:sub>
                      <m:r>
                        <w:rPr>
                          <w:rFonts w:ascii="Cambria Math" w:eastAsia="Arial" w:hAnsi="Cambria Math" w:cs="Arial"/>
                          <w:color w:val="000000" w:themeColor="text1"/>
                        </w:rPr>
                        <m:t>J</m:t>
                      </m:r>
                    </m:sub>
                  </m:sSub>
                  <m:ctrlPr>
                    <w:rPr>
                      <w:rFonts w:ascii="Cambria Math" w:eastAsia="Arial" w:hAnsi="Cambria Math" w:cs="Arial"/>
                      <w:i/>
                      <w:color w:val="000000" w:themeColor="text1"/>
                    </w:rPr>
                  </m:ctrlPr>
                </m:e>
              </m:nary>
              <m:ctrlPr>
                <w:rPr>
                  <w:rFonts w:ascii="Cambria Math" w:eastAsia="Arial" w:hAnsi="Cambria Math" w:cs="Arial"/>
                  <w:i/>
                  <w:color w:val="000000" w:themeColor="text1"/>
                </w:rPr>
              </m:ctrlPr>
            </m:den>
          </m:f>
        </m:oMath>
      </m:oMathPara>
    </w:p>
    <w:p w14:paraId="66902859" w14:textId="39BF2BFA" w:rsidR="5E8439FF" w:rsidRPr="00894911" w:rsidRDefault="00E876FC" w:rsidP="5E8439FF">
      <w:pPr>
        <w:pStyle w:val="NormaleWeb"/>
        <w:jc w:val="both"/>
      </w:pPr>
      <w:r w:rsidRPr="00E876FC">
        <w:rPr>
          <w:rFonts w:ascii="Arial" w:eastAsia="Arial" w:hAnsi="Arial" w:cs="Arial"/>
          <w:color w:val="000000" w:themeColor="text1"/>
        </w:rPr>
        <w:t xml:space="preserve">where </w:t>
      </w:r>
      <m:oMath>
        <m:sSub>
          <m:sSubPr>
            <m:ctrlPr>
              <w:rPr>
                <w:rFonts w:ascii="Cambria Math" w:eastAsia="Arial" w:hAnsi="Cambria Math" w:cs="Arial"/>
                <w:color w:val="000000" w:themeColor="text1"/>
              </w:rPr>
            </m:ctrlPr>
          </m:sSubPr>
          <m:e>
            <m:r>
              <w:rPr>
                <w:rFonts w:ascii="Cambria Math" w:eastAsia="Arial" w:hAnsi="Cambria Math" w:cs="Arial"/>
                <w:color w:val="000000" w:themeColor="text1"/>
              </w:rPr>
              <m:t>L</m:t>
            </m:r>
          </m:e>
          <m:sub>
            <m:r>
              <w:rPr>
                <w:rFonts w:ascii="Cambria Math" w:eastAsia="Arial" w:hAnsi="Cambria Math" w:cs="Arial"/>
                <w:color w:val="000000" w:themeColor="text1"/>
              </w:rPr>
              <m:t>i</m:t>
            </m:r>
          </m:sub>
        </m:sSub>
      </m:oMath>
      <w:r w:rsidRPr="00E876FC">
        <w:rPr>
          <w:rFonts w:ascii="Arial" w:eastAsia="Arial" w:hAnsi="Arial" w:cs="Arial"/>
          <w:color w:val="000000" w:themeColor="text1"/>
        </w:rPr>
        <w:t xml:space="preserve">is the </w:t>
      </w:r>
      <w:r w:rsidRPr="5E8439FF">
        <w:rPr>
          <w:rFonts w:ascii="Arial" w:eastAsia="Arial" w:hAnsi="Arial" w:cs="Arial"/>
          <w:color w:val="000000" w:themeColor="text1"/>
        </w:rPr>
        <w:t xml:space="preserve">likelihood of model </w:t>
      </w:r>
      <m:oMath>
        <m:r>
          <w:rPr>
            <w:rFonts w:ascii="Cambria Math" w:eastAsia="Arial" w:hAnsi="Cambria Math" w:cs="Arial"/>
            <w:color w:val="000000" w:themeColor="text1"/>
          </w:rPr>
          <m:t>i</m:t>
        </m:r>
      </m:oMath>
      <w:r w:rsidRPr="00E876FC">
        <w:rPr>
          <w:rFonts w:ascii="Arial" w:eastAsia="Arial" w:hAnsi="Arial" w:cs="Arial"/>
          <w:color w:val="000000" w:themeColor="text1"/>
        </w:rPr>
        <w:t xml:space="preserve">, and </w:t>
      </w:r>
      <m:oMath>
        <m:r>
          <w:rPr>
            <w:rFonts w:ascii="Cambria Math" w:eastAsia="Arial" w:hAnsi="Cambria Math" w:cs="Arial"/>
            <w:color w:val="000000" w:themeColor="text1"/>
          </w:rPr>
          <m:t>n</m:t>
        </m:r>
      </m:oMath>
      <w:r w:rsidR="0F96EDFF" w:rsidRPr="5E8439FF">
        <w:rPr>
          <w:rFonts w:ascii="Arial" w:eastAsia="Arial" w:hAnsi="Arial" w:cs="Arial"/>
          <w:color w:val="000000" w:themeColor="text1"/>
        </w:rPr>
        <w:t xml:space="preserve"> </w:t>
      </w:r>
      <w:r w:rsidRPr="5E8439FF">
        <w:rPr>
          <w:rFonts w:ascii="Arial" w:eastAsia="Arial" w:hAnsi="Arial" w:cs="Arial"/>
          <w:color w:val="000000" w:themeColor="text1"/>
        </w:rPr>
        <w:t>is the total number of candidate models.</w:t>
      </w:r>
      <w:r w:rsidR="00964B6E" w:rsidRPr="5E8439FF">
        <w:rPr>
          <w:rFonts w:ascii="Arial" w:eastAsia="Arial" w:hAnsi="Arial" w:cs="Arial"/>
          <w:color w:val="000000" w:themeColor="text1"/>
        </w:rPr>
        <w:t xml:space="preserve"> </w:t>
      </w:r>
      <w:r w:rsidR="00D452A6" w:rsidRPr="5E8439FF">
        <w:rPr>
          <w:rFonts w:ascii="Arial" w:eastAsia="Arial" w:hAnsi="Arial" w:cs="Arial"/>
          <w:color w:val="000000" w:themeColor="text1"/>
        </w:rPr>
        <w:t>The predicted concentrations from the best</w:t>
      </w:r>
      <w:r w:rsidR="7A3BB0FC" w:rsidRPr="5E8439FF">
        <w:rPr>
          <w:rFonts w:ascii="Arial" w:eastAsia="Arial" w:hAnsi="Arial" w:cs="Arial"/>
          <w:color w:val="000000" w:themeColor="text1"/>
        </w:rPr>
        <w:t>-</w:t>
      </w:r>
      <w:r w:rsidR="00D452A6" w:rsidRPr="5E8439FF">
        <w:rPr>
          <w:rFonts w:ascii="Arial" w:eastAsia="Arial" w:hAnsi="Arial" w:cs="Arial"/>
          <w:color w:val="000000" w:themeColor="text1"/>
        </w:rPr>
        <w:t>fitt</w:t>
      </w:r>
      <w:r w:rsidR="2F63F956" w:rsidRPr="5E8439FF">
        <w:rPr>
          <w:rFonts w:ascii="Arial" w:eastAsia="Arial" w:hAnsi="Arial" w:cs="Arial"/>
          <w:color w:val="000000" w:themeColor="text1"/>
        </w:rPr>
        <w:t>ing</w:t>
      </w:r>
      <w:r w:rsidR="00D452A6" w:rsidRPr="5E8439FF">
        <w:rPr>
          <w:rFonts w:ascii="Arial" w:eastAsia="Arial" w:hAnsi="Arial" w:cs="Arial"/>
          <w:color w:val="000000" w:themeColor="text1"/>
        </w:rPr>
        <w:t xml:space="preserve"> model </w:t>
      </w:r>
      <w:r w:rsidR="5D69B92C" w:rsidRPr="5E8439FF">
        <w:rPr>
          <w:rFonts w:ascii="Arial" w:eastAsia="Arial" w:hAnsi="Arial" w:cs="Arial"/>
          <w:color w:val="000000" w:themeColor="text1"/>
        </w:rPr>
        <w:t xml:space="preserve">were </w:t>
      </w:r>
      <w:r w:rsidR="00D452A6" w:rsidRPr="5E8439FF">
        <w:rPr>
          <w:rFonts w:ascii="Arial" w:eastAsia="Arial" w:hAnsi="Arial" w:cs="Arial"/>
          <w:color w:val="000000" w:themeColor="text1"/>
        </w:rPr>
        <w:t>compared with observed concentrations by calculating relative bias (</w:t>
      </w:r>
      <w:proofErr w:type="spellStart"/>
      <w:r w:rsidR="00D452A6" w:rsidRPr="5E8439FF">
        <w:rPr>
          <w:rFonts w:ascii="Arial" w:eastAsia="Arial" w:hAnsi="Arial" w:cs="Arial"/>
          <w:color w:val="000000" w:themeColor="text1"/>
        </w:rPr>
        <w:t>rBias</w:t>
      </w:r>
      <w:proofErr w:type="spellEnd"/>
      <w:r w:rsidR="00D452A6" w:rsidRPr="5E8439FF">
        <w:rPr>
          <w:rFonts w:ascii="Arial" w:eastAsia="Arial" w:hAnsi="Arial" w:cs="Arial"/>
          <w:color w:val="000000" w:themeColor="text1"/>
        </w:rPr>
        <w:t>) and relative root mean squared error (</w:t>
      </w:r>
      <w:proofErr w:type="spellStart"/>
      <w:r w:rsidR="00D452A6" w:rsidRPr="5E8439FF">
        <w:rPr>
          <w:rFonts w:ascii="Arial" w:eastAsia="Arial" w:hAnsi="Arial" w:cs="Arial"/>
          <w:color w:val="000000" w:themeColor="text1"/>
        </w:rPr>
        <w:t>rRMSE</w:t>
      </w:r>
      <w:proofErr w:type="spellEnd"/>
      <w:r w:rsidR="00D452A6" w:rsidRPr="5E8439FF">
        <w:rPr>
          <w:rFonts w:ascii="Arial" w:eastAsia="Arial" w:hAnsi="Arial" w:cs="Arial"/>
          <w:color w:val="000000" w:themeColor="text1"/>
        </w:rPr>
        <w:t>) as follows:</w:t>
      </w:r>
    </w:p>
    <w:p w14:paraId="0DD4A373" w14:textId="79318234" w:rsidR="00B60805" w:rsidRPr="00B60805" w:rsidRDefault="00B60805" w:rsidP="00B60805">
      <w:pPr>
        <w:rPr>
          <w:rFonts w:ascii="Arial" w:eastAsia="Arial" w:hAnsi="Arial" w:cs="Arial"/>
          <w:color w:val="000000" w:themeColor="text1"/>
        </w:rPr>
      </w:pPr>
      <m:oMathPara>
        <m:oMath>
          <m:r>
            <w:rPr>
              <w:rFonts w:ascii="Cambria Math" w:eastAsia="Arial" w:hAnsi="Cambria Math" w:cs="Arial"/>
              <w:color w:val="000000" w:themeColor="text1"/>
            </w:rPr>
            <m:t>rBias=</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N</m:t>
              </m:r>
            </m:den>
          </m:f>
          <m:r>
            <w:rPr>
              <w:rFonts w:ascii="Cambria Math" w:eastAsia="Arial" w:hAnsi="Cambria Math" w:cs="Arial"/>
              <w:color w:val="000000" w:themeColor="text1"/>
            </w:rPr>
            <m:t xml:space="preserve"> </m:t>
          </m:r>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1</m:t>
              </m:r>
            </m:sub>
            <m:sup>
              <m:r>
                <w:rPr>
                  <w:rFonts w:ascii="Cambria Math" w:eastAsia="Arial" w:hAnsi="Cambria Math" w:cs="Arial"/>
                  <w:color w:val="000000" w:themeColor="text1"/>
                </w:rPr>
                <m:t>i</m:t>
              </m:r>
            </m:sup>
            <m:e>
              <m:f>
                <m:fPr>
                  <m:ctrlPr>
                    <w:rPr>
                      <w:rFonts w:ascii="Cambria Math" w:eastAsia="Arial" w:hAnsi="Cambria Math" w:cs="Arial"/>
                      <w:i/>
                      <w:color w:val="000000" w:themeColor="text1"/>
                    </w:rPr>
                  </m:ctrlPr>
                </m:fPr>
                <m:num>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predicted</m:t>
                      </m:r>
                    </m:e>
                    <m:sub>
                      <m:r>
                        <w:rPr>
                          <w:rFonts w:ascii="Cambria Math" w:eastAsia="Arial" w:hAnsi="Cambria Math" w:cs="Arial"/>
                          <w:color w:val="000000" w:themeColor="text1"/>
                        </w:rPr>
                        <m:t>i</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observed</m:t>
                      </m:r>
                    </m:e>
                    <m:sub>
                      <m:r>
                        <w:rPr>
                          <w:rFonts w:ascii="Cambria Math" w:eastAsia="Arial" w:hAnsi="Cambria Math" w:cs="Arial"/>
                          <w:color w:val="000000" w:themeColor="text1"/>
                        </w:rPr>
                        <m:t>i</m:t>
                      </m:r>
                    </m:sub>
                  </m:sSub>
                </m:num>
                <m:den>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predicted</m:t>
                      </m:r>
                    </m:e>
                    <m:sub>
                      <m:r>
                        <w:rPr>
                          <w:rFonts w:ascii="Cambria Math" w:eastAsia="Arial" w:hAnsi="Cambria Math" w:cs="Arial"/>
                          <w:color w:val="000000" w:themeColor="text1"/>
                        </w:rPr>
                        <m:t>i</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observed</m:t>
                      </m:r>
                    </m:e>
                    <m:sub>
                      <m:r>
                        <w:rPr>
                          <w:rFonts w:ascii="Cambria Math" w:eastAsia="Arial" w:hAnsi="Cambria Math" w:cs="Arial"/>
                          <w:color w:val="000000" w:themeColor="text1"/>
                        </w:rPr>
                        <m:t>i</m:t>
                      </m:r>
                    </m:sub>
                  </m:sSub>
                  <m:r>
                    <w:rPr>
                      <w:rFonts w:ascii="Cambria Math" w:eastAsia="Arial" w:hAnsi="Cambria Math" w:cs="Arial"/>
                      <w:color w:val="000000" w:themeColor="text1"/>
                    </w:rPr>
                    <m:t>)/2</m:t>
                  </m:r>
                </m:den>
              </m:f>
            </m:e>
          </m:nary>
          <m:r>
            <w:rPr>
              <w:rFonts w:ascii="Cambria Math" w:eastAsia="Arial" w:hAnsi="Cambria Math" w:cs="Arial"/>
              <w:color w:val="000000" w:themeColor="text1"/>
            </w:rPr>
            <m:t>*100</m:t>
          </m:r>
        </m:oMath>
      </m:oMathPara>
    </w:p>
    <w:p w14:paraId="318F38FD" w14:textId="77777777" w:rsidR="00B60805" w:rsidRPr="00B60805" w:rsidRDefault="00B60805" w:rsidP="00B60805">
      <w:pPr>
        <w:rPr>
          <w:rFonts w:ascii="Arial" w:eastAsia="Arial" w:hAnsi="Arial" w:cs="Arial"/>
          <w:color w:val="000000" w:themeColor="text1"/>
        </w:rPr>
      </w:pPr>
    </w:p>
    <w:p w14:paraId="5E89FCF4" w14:textId="15363518" w:rsidR="00B60805" w:rsidRPr="00B60805" w:rsidRDefault="00B60805" w:rsidP="00B60805">
      <w:pPr>
        <w:rPr>
          <w:rFonts w:ascii="Arial" w:eastAsia="Arial" w:hAnsi="Arial" w:cs="Arial"/>
          <w:color w:val="000000" w:themeColor="text1"/>
        </w:rPr>
      </w:pPr>
      <m:oMathPara>
        <m:oMath>
          <m:r>
            <w:rPr>
              <w:rFonts w:ascii="Cambria Math" w:eastAsia="Arial" w:hAnsi="Cambria Math" w:cs="Arial"/>
              <w:color w:val="000000" w:themeColor="text1"/>
            </w:rPr>
            <m:t>rRMSE=</m:t>
          </m:r>
          <m:rad>
            <m:radPr>
              <m:degHide m:val="1"/>
              <m:ctrlPr>
                <w:rPr>
                  <w:rFonts w:ascii="Cambria Math" w:eastAsia="Arial" w:hAnsi="Cambria Math" w:cs="Arial"/>
                  <w:i/>
                  <w:color w:val="000000" w:themeColor="text1"/>
                </w:rPr>
              </m:ctrlPr>
            </m:radPr>
            <m:deg/>
            <m:e>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N</m:t>
                  </m:r>
                </m:den>
              </m:f>
              <m:r>
                <w:rPr>
                  <w:rFonts w:ascii="Cambria Math" w:eastAsia="Arial" w:hAnsi="Cambria Math" w:cs="Arial"/>
                  <w:color w:val="000000" w:themeColor="text1"/>
                </w:rPr>
                <m:t xml:space="preserve"> </m:t>
              </m:r>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1</m:t>
                  </m:r>
                </m:sub>
                <m:sup>
                  <m:r>
                    <w:rPr>
                      <w:rFonts w:ascii="Cambria Math" w:eastAsia="Arial" w:hAnsi="Cambria Math" w:cs="Arial"/>
                      <w:color w:val="000000" w:themeColor="text1"/>
                    </w:rPr>
                    <m:t>i</m:t>
                  </m:r>
                </m:sup>
                <m:e>
                  <m:f>
                    <m:fPr>
                      <m:ctrlPr>
                        <w:rPr>
                          <w:rFonts w:ascii="Cambria Math" w:eastAsia="Arial" w:hAnsi="Cambria Math" w:cs="Arial"/>
                          <w:i/>
                          <w:color w:val="000000" w:themeColor="text1"/>
                        </w:rPr>
                      </m:ctrlPr>
                    </m:fPr>
                    <m:num>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predicted</m:t>
                              </m:r>
                            </m:e>
                            <m:sub>
                              <m:r>
                                <w:rPr>
                                  <w:rFonts w:ascii="Cambria Math" w:eastAsia="Arial" w:hAnsi="Cambria Math" w:cs="Arial"/>
                                  <w:color w:val="000000" w:themeColor="text1"/>
                                </w:rPr>
                                <m:t>i</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observed</m:t>
                              </m:r>
                            </m:e>
                            <m:sub>
                              <m:r>
                                <w:rPr>
                                  <w:rFonts w:ascii="Cambria Math" w:eastAsia="Arial" w:hAnsi="Cambria Math" w:cs="Arial"/>
                                  <w:color w:val="000000" w:themeColor="text1"/>
                                </w:rPr>
                                <m:t>i</m:t>
                              </m:r>
                            </m:sub>
                          </m:sSub>
                          <m:r>
                            <w:rPr>
                              <w:rFonts w:ascii="Cambria Math" w:eastAsia="Arial" w:hAnsi="Cambria Math" w:cs="Arial"/>
                              <w:color w:val="000000" w:themeColor="text1"/>
                            </w:rPr>
                            <m:t>)</m:t>
                          </m:r>
                        </m:e>
                        <m:sup>
                          <m:r>
                            <w:rPr>
                              <w:rFonts w:ascii="Cambria Math" w:eastAsia="Arial" w:hAnsi="Cambria Math" w:cs="Arial"/>
                              <w:color w:val="000000" w:themeColor="text1"/>
                            </w:rPr>
                            <m:t>2</m:t>
                          </m:r>
                        </m:sup>
                      </m:sSup>
                    </m:num>
                    <m:den>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predicted</m:t>
                              </m:r>
                            </m:e>
                            <m:sub>
                              <m:r>
                                <w:rPr>
                                  <w:rFonts w:ascii="Cambria Math" w:eastAsia="Arial" w:hAnsi="Cambria Math" w:cs="Arial"/>
                                  <w:color w:val="000000" w:themeColor="text1"/>
                                </w:rPr>
                                <m:t>i</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observed</m:t>
                              </m:r>
                            </m:e>
                            <m:sub>
                              <m:r>
                                <w:rPr>
                                  <w:rFonts w:ascii="Cambria Math" w:eastAsia="Arial" w:hAnsi="Cambria Math" w:cs="Arial"/>
                                  <w:color w:val="000000" w:themeColor="text1"/>
                                </w:rPr>
                                <m:t>i</m:t>
                              </m:r>
                            </m:sub>
                          </m:sSub>
                          <m:r>
                            <w:rPr>
                              <w:rFonts w:ascii="Cambria Math" w:eastAsia="Arial" w:hAnsi="Cambria Math" w:cs="Arial"/>
                              <w:color w:val="000000" w:themeColor="text1"/>
                            </w:rPr>
                            <m:t>)/2)</m:t>
                          </m:r>
                        </m:e>
                        <m:sup>
                          <m:r>
                            <w:rPr>
                              <w:rFonts w:ascii="Cambria Math" w:eastAsia="Arial" w:hAnsi="Cambria Math" w:cs="Arial"/>
                              <w:color w:val="000000" w:themeColor="text1"/>
                            </w:rPr>
                            <m:t>2</m:t>
                          </m:r>
                        </m:sup>
                      </m:sSup>
                    </m:den>
                  </m:f>
                </m:e>
              </m:nary>
            </m:e>
          </m:rad>
          <m:r>
            <w:rPr>
              <w:rFonts w:ascii="Cambria Math" w:eastAsia="Arial" w:hAnsi="Cambria Math" w:cs="Arial"/>
              <w:color w:val="000000" w:themeColor="text1"/>
            </w:rPr>
            <m:t>*100</m:t>
          </m:r>
        </m:oMath>
      </m:oMathPara>
    </w:p>
    <w:p w14:paraId="0B24EBB1" w14:textId="77777777" w:rsidR="00B60805" w:rsidRPr="009A57ED" w:rsidRDefault="00B60805" w:rsidP="622168CB">
      <w:pPr>
        <w:rPr>
          <w:rFonts w:ascii="Arial" w:eastAsia="Arial" w:hAnsi="Arial" w:cs="Arial"/>
          <w:color w:val="000000" w:themeColor="text1"/>
        </w:rPr>
      </w:pPr>
    </w:p>
    <w:p w14:paraId="05E40FC2" w14:textId="77777777" w:rsidR="001C3F1C" w:rsidRPr="00894911" w:rsidRDefault="001C3F1C" w:rsidP="622168CB">
      <w:pPr>
        <w:rPr>
          <w:rFonts w:ascii="Arial" w:eastAsia="Arial" w:hAnsi="Arial" w:cs="Arial"/>
          <w:b/>
          <w:bCs/>
          <w:color w:val="000000" w:themeColor="text1"/>
        </w:rPr>
      </w:pPr>
    </w:p>
    <w:p w14:paraId="0D6C46BA" w14:textId="77777777" w:rsidR="009E49BE" w:rsidRDefault="009E49BE" w:rsidP="558DF735">
      <w:pPr>
        <w:rPr>
          <w:rFonts w:ascii="Arial" w:eastAsia="Arial" w:hAnsi="Arial" w:cs="Arial"/>
          <w:b/>
          <w:bCs/>
          <w:color w:val="000000" w:themeColor="text1"/>
          <w:sz w:val="32"/>
          <w:szCs w:val="32"/>
        </w:rPr>
      </w:pPr>
    </w:p>
    <w:p w14:paraId="5E0F0B2E" w14:textId="0DE20BEA" w:rsidR="001C3F1C" w:rsidRPr="003736A0" w:rsidRDefault="001C3F1C" w:rsidP="558DF735">
      <w:pPr>
        <w:rPr>
          <w:rFonts w:ascii="Arial" w:eastAsia="Arial" w:hAnsi="Arial" w:cs="Arial"/>
          <w:b/>
          <w:bCs/>
          <w:color w:val="000000" w:themeColor="text1"/>
          <w:sz w:val="32"/>
          <w:szCs w:val="32"/>
        </w:rPr>
      </w:pPr>
      <w:r w:rsidRPr="003736A0">
        <w:rPr>
          <w:rFonts w:ascii="Arial" w:eastAsia="Arial" w:hAnsi="Arial" w:cs="Arial"/>
          <w:b/>
          <w:bCs/>
          <w:color w:val="000000" w:themeColor="text1"/>
          <w:sz w:val="32"/>
          <w:szCs w:val="32"/>
        </w:rPr>
        <w:t>Results</w:t>
      </w:r>
    </w:p>
    <w:p w14:paraId="7A8EA54C" w14:textId="5619D2FA" w:rsidR="00EF6A0B" w:rsidRPr="00EF6A0B" w:rsidRDefault="00791233" w:rsidP="558DF735">
      <w:pPr>
        <w:rPr>
          <w:rFonts w:ascii="Arial" w:eastAsia="Arial" w:hAnsi="Arial" w:cs="Arial"/>
          <w:color w:val="000000" w:themeColor="text1"/>
        </w:rPr>
      </w:pPr>
      <w:r w:rsidRPr="0F8BFF1C">
        <w:rPr>
          <w:rFonts w:ascii="Arial" w:eastAsia="Arial" w:hAnsi="Arial" w:cs="Arial"/>
          <w:color w:val="000000" w:themeColor="text1"/>
        </w:rPr>
        <w:t xml:space="preserve">In total, </w:t>
      </w:r>
      <w:r w:rsidR="002A13F0" w:rsidRPr="0F8BFF1C">
        <w:rPr>
          <w:rFonts w:ascii="Arial" w:eastAsia="Arial" w:hAnsi="Arial" w:cs="Arial"/>
          <w:color w:val="000000" w:themeColor="text1"/>
        </w:rPr>
        <w:t>seven (</w:t>
      </w:r>
      <w:r w:rsidR="00F06116" w:rsidRPr="0F8BFF1C">
        <w:rPr>
          <w:rFonts w:ascii="Arial" w:eastAsia="Arial" w:hAnsi="Arial" w:cs="Arial"/>
          <w:color w:val="000000" w:themeColor="text1"/>
        </w:rPr>
        <w:t xml:space="preserve">1-7) </w:t>
      </w:r>
      <w:r w:rsidR="007D4A01" w:rsidRPr="0F8BFF1C">
        <w:rPr>
          <w:rFonts w:ascii="Arial" w:eastAsia="Arial" w:hAnsi="Arial" w:cs="Arial"/>
          <w:color w:val="000000" w:themeColor="text1"/>
        </w:rPr>
        <w:t xml:space="preserve">published </w:t>
      </w:r>
      <w:r w:rsidRPr="0F8BFF1C">
        <w:rPr>
          <w:rFonts w:ascii="Arial" w:eastAsia="Arial" w:hAnsi="Arial" w:cs="Arial"/>
          <w:color w:val="000000" w:themeColor="text1"/>
        </w:rPr>
        <w:t xml:space="preserve">and one unpublished </w:t>
      </w:r>
      <w:r w:rsidR="0A0A81E5" w:rsidRPr="0F8BFF1C">
        <w:rPr>
          <w:rFonts w:ascii="Arial" w:eastAsia="Arial" w:hAnsi="Arial" w:cs="Arial"/>
          <w:color w:val="000000" w:themeColor="text1"/>
        </w:rPr>
        <w:t>model</w:t>
      </w:r>
      <w:r w:rsidRPr="0F8BFF1C">
        <w:rPr>
          <w:rFonts w:ascii="Arial" w:eastAsia="Arial" w:hAnsi="Arial" w:cs="Arial"/>
          <w:color w:val="000000" w:themeColor="text1"/>
        </w:rPr>
        <w:t xml:space="preserve"> were included. </w:t>
      </w:r>
      <w:r w:rsidR="00EF6A0B" w:rsidRPr="0F8BFF1C">
        <w:rPr>
          <w:rFonts w:ascii="Arial" w:eastAsia="Arial" w:hAnsi="Arial" w:cs="Arial"/>
          <w:color w:val="000000" w:themeColor="text1"/>
        </w:rPr>
        <w:t xml:space="preserve">Both model averaging and best-model selection </w:t>
      </w:r>
      <w:r w:rsidR="6C01749D" w:rsidRPr="0F8BFF1C">
        <w:rPr>
          <w:rFonts w:ascii="Arial" w:eastAsia="Arial" w:hAnsi="Arial" w:cs="Arial"/>
          <w:color w:val="000000" w:themeColor="text1"/>
        </w:rPr>
        <w:t>were</w:t>
      </w:r>
      <w:r w:rsidR="00EF6A0B" w:rsidRPr="0F8BFF1C">
        <w:rPr>
          <w:rFonts w:ascii="Arial" w:eastAsia="Arial" w:hAnsi="Arial" w:cs="Arial"/>
          <w:color w:val="000000" w:themeColor="text1"/>
        </w:rPr>
        <w:t xml:space="preserve"> implemented within the Shiny app. For the selected best-fitting model, Sampling-Importance Resampling </w:t>
      </w:r>
      <w:r w:rsidR="37ACD007" w:rsidRPr="0F8BFF1C">
        <w:rPr>
          <w:rFonts w:ascii="Arial" w:eastAsia="Arial" w:hAnsi="Arial" w:cs="Arial"/>
          <w:color w:val="000000" w:themeColor="text1"/>
        </w:rPr>
        <w:t>was</w:t>
      </w:r>
      <w:r w:rsidR="00EF6A0B" w:rsidRPr="0F8BFF1C">
        <w:rPr>
          <w:rFonts w:ascii="Arial" w:eastAsia="Arial" w:hAnsi="Arial" w:cs="Arial"/>
          <w:color w:val="000000" w:themeColor="text1"/>
        </w:rPr>
        <w:t xml:space="preserve"> performed to estimate parameter uncertainty and generate credible intervals for each predicted concentration–time point</w:t>
      </w:r>
      <w:r w:rsidR="00053967" w:rsidRPr="0F8BFF1C">
        <w:rPr>
          <w:rFonts w:ascii="Arial" w:eastAsia="Arial" w:hAnsi="Arial" w:cs="Arial"/>
          <w:color w:val="000000" w:themeColor="text1"/>
        </w:rPr>
        <w:t xml:space="preserve"> (</w:t>
      </w:r>
      <w:r w:rsidR="0AD5E30E" w:rsidRPr="0F8BFF1C">
        <w:rPr>
          <w:rFonts w:ascii="Arial" w:eastAsia="Arial" w:hAnsi="Arial" w:cs="Arial"/>
          <w:b/>
          <w:bCs/>
          <w:color w:val="000000" w:themeColor="text1"/>
        </w:rPr>
        <w:t>F</w:t>
      </w:r>
      <w:r w:rsidR="00053967" w:rsidRPr="0F8BFF1C">
        <w:rPr>
          <w:rFonts w:ascii="Arial" w:eastAsia="Arial" w:hAnsi="Arial" w:cs="Arial"/>
          <w:b/>
          <w:bCs/>
          <w:color w:val="000000" w:themeColor="text1"/>
        </w:rPr>
        <w:t>igure 1</w:t>
      </w:r>
      <w:r w:rsidR="00053967" w:rsidRPr="0F8BFF1C">
        <w:rPr>
          <w:rFonts w:ascii="Arial" w:eastAsia="Arial" w:hAnsi="Arial" w:cs="Arial"/>
          <w:color w:val="000000" w:themeColor="text1"/>
        </w:rPr>
        <w:t>)</w:t>
      </w:r>
      <w:r w:rsidR="00EF6A0B" w:rsidRPr="0F8BFF1C">
        <w:rPr>
          <w:rFonts w:ascii="Arial" w:eastAsia="Arial" w:hAnsi="Arial" w:cs="Arial"/>
          <w:color w:val="000000" w:themeColor="text1"/>
        </w:rPr>
        <w:t>.</w:t>
      </w:r>
    </w:p>
    <w:p w14:paraId="0F5D373C" w14:textId="40118786" w:rsidR="006B10EB" w:rsidRDefault="00053967" w:rsidP="0F8BFF1C">
      <w:pPr>
        <w:rPr>
          <w:rFonts w:ascii="Arial" w:eastAsia="Arial" w:hAnsi="Arial" w:cs="Arial"/>
          <w:color w:val="000000" w:themeColor="text1"/>
        </w:rPr>
      </w:pPr>
      <w:r w:rsidRPr="0F8BFF1C">
        <w:rPr>
          <w:rFonts w:ascii="Arial" w:eastAsia="Arial" w:hAnsi="Arial" w:cs="Arial"/>
          <w:color w:val="000000" w:themeColor="text1"/>
        </w:rPr>
        <w:t>The app enables customisation of PK/PD targets, free fraction, and MIC values (</w:t>
      </w:r>
      <w:r w:rsidR="18A70740" w:rsidRPr="0F8BFF1C">
        <w:rPr>
          <w:rFonts w:ascii="Arial" w:eastAsia="Arial" w:hAnsi="Arial" w:cs="Arial"/>
          <w:b/>
          <w:bCs/>
          <w:color w:val="000000" w:themeColor="text1"/>
        </w:rPr>
        <w:t>F</w:t>
      </w:r>
      <w:r w:rsidRPr="0F8BFF1C">
        <w:rPr>
          <w:rFonts w:ascii="Arial" w:eastAsia="Arial" w:hAnsi="Arial" w:cs="Arial"/>
          <w:b/>
          <w:bCs/>
          <w:color w:val="000000" w:themeColor="text1"/>
        </w:rPr>
        <w:t xml:space="preserve">igure </w:t>
      </w:r>
      <w:r w:rsidR="00476EC1" w:rsidRPr="0F8BFF1C">
        <w:rPr>
          <w:rFonts w:ascii="Arial" w:eastAsia="Arial" w:hAnsi="Arial" w:cs="Arial"/>
          <w:b/>
          <w:bCs/>
          <w:color w:val="000000" w:themeColor="text1"/>
        </w:rPr>
        <w:t>2-3</w:t>
      </w:r>
      <w:r w:rsidRPr="0F8BFF1C">
        <w:rPr>
          <w:rFonts w:ascii="Arial" w:eastAsia="Arial" w:hAnsi="Arial" w:cs="Arial"/>
          <w:color w:val="000000" w:themeColor="text1"/>
        </w:rPr>
        <w:t>).</w:t>
      </w:r>
      <w:r w:rsidR="4EB4CA43" w:rsidRPr="0F8BFF1C">
        <w:rPr>
          <w:rFonts w:ascii="Arial" w:eastAsia="Arial" w:hAnsi="Arial" w:cs="Arial"/>
        </w:rPr>
        <w:t xml:space="preserve"> Dosing individualisation is performed through maximum a posteriori estimation and model-averaged a </w:t>
      </w:r>
      <w:proofErr w:type="gramStart"/>
      <w:r w:rsidR="4EB4CA43" w:rsidRPr="0F8BFF1C">
        <w:rPr>
          <w:rFonts w:ascii="Arial" w:eastAsia="Arial" w:hAnsi="Arial" w:cs="Arial"/>
        </w:rPr>
        <w:t>posteriori predictions</w:t>
      </w:r>
      <w:proofErr w:type="gramEnd"/>
      <w:r w:rsidR="4EB4CA43" w:rsidRPr="0F8BFF1C">
        <w:rPr>
          <w:rFonts w:ascii="Arial" w:eastAsia="Arial" w:hAnsi="Arial" w:cs="Arial"/>
        </w:rPr>
        <w:t xml:space="preserve">. </w:t>
      </w:r>
      <w:r w:rsidRPr="0F8BFF1C">
        <w:rPr>
          <w:rFonts w:ascii="Arial" w:eastAsia="Arial" w:hAnsi="Arial" w:cs="Arial"/>
          <w:color w:val="000000" w:themeColor="text1"/>
        </w:rPr>
        <w:t xml:space="preserve">All diagnostic plots, model comparison outputs, and credible interval visualisations are integrated within the app. The tool can be freely accessed at: </w:t>
      </w:r>
      <w:hyperlink r:id="rId6">
        <w:r w:rsidR="00B633E5" w:rsidRPr="0F8BFF1C">
          <w:rPr>
            <w:rStyle w:val="Collegamentoipertestuale"/>
            <w:rFonts w:ascii="Arial" w:eastAsia="Arial" w:hAnsi="Arial" w:cs="Arial"/>
          </w:rPr>
          <w:t>https://1k96vt-matteo-morra.shinyapps.io/Dalbavincin/</w:t>
        </w:r>
      </w:hyperlink>
    </w:p>
    <w:p w14:paraId="4EB0EF81" w14:textId="406F780C" w:rsidR="001C3F1C" w:rsidRDefault="001C3F1C" w:rsidP="558DF735">
      <w:pPr>
        <w:rPr>
          <w:rFonts w:ascii="Arial" w:eastAsia="Arial" w:hAnsi="Arial" w:cs="Arial"/>
          <w:b/>
          <w:bCs/>
          <w:color w:val="000000" w:themeColor="text1"/>
          <w:sz w:val="32"/>
          <w:szCs w:val="32"/>
        </w:rPr>
      </w:pPr>
      <w:r w:rsidRPr="003736A0">
        <w:rPr>
          <w:rFonts w:ascii="Arial" w:eastAsia="Arial" w:hAnsi="Arial" w:cs="Arial"/>
          <w:b/>
          <w:bCs/>
          <w:color w:val="000000" w:themeColor="text1"/>
          <w:sz w:val="32"/>
          <w:szCs w:val="32"/>
        </w:rPr>
        <w:t>Conclusion</w:t>
      </w:r>
    </w:p>
    <w:p w14:paraId="16FC61A3" w14:textId="64652133" w:rsidR="00137EF3" w:rsidRDefault="00137EF3" w:rsidP="00137EF3">
      <w:pPr>
        <w:rPr>
          <w:rFonts w:ascii="Arial" w:eastAsia="Arial" w:hAnsi="Arial" w:cs="Arial"/>
          <w:color w:val="000000" w:themeColor="text1"/>
        </w:rPr>
      </w:pPr>
      <w:r w:rsidRPr="5E8439FF">
        <w:rPr>
          <w:rFonts w:ascii="Arial" w:eastAsia="Arial" w:hAnsi="Arial" w:cs="Arial"/>
          <w:color w:val="000000" w:themeColor="text1"/>
        </w:rPr>
        <w:t xml:space="preserve">A comprehensive model-averaged framework was developed to inform dalbavancin dose optimisation across off-label indications. While prospective clinical validation is required, the Shiny application already offers an accessible and externally informed support tool to guide </w:t>
      </w:r>
      <w:r w:rsidR="56E42E5B" w:rsidRPr="5E8439FF">
        <w:rPr>
          <w:rFonts w:ascii="Arial" w:eastAsia="Arial" w:hAnsi="Arial" w:cs="Arial"/>
          <w:color w:val="000000" w:themeColor="text1"/>
        </w:rPr>
        <w:t xml:space="preserve">personalized </w:t>
      </w:r>
      <w:r w:rsidRPr="5E8439FF">
        <w:rPr>
          <w:rFonts w:ascii="Arial" w:eastAsia="Arial" w:hAnsi="Arial" w:cs="Arial"/>
          <w:color w:val="000000" w:themeColor="text1"/>
        </w:rPr>
        <w:t>dalbavancin therapy.</w:t>
      </w:r>
    </w:p>
    <w:p w14:paraId="5985D4FA" w14:textId="77777777" w:rsidR="00476EC1" w:rsidRDefault="00476EC1" w:rsidP="00137EF3">
      <w:pPr>
        <w:rPr>
          <w:rFonts w:ascii="Arial" w:eastAsia="Arial" w:hAnsi="Arial" w:cs="Arial"/>
          <w:color w:val="000000" w:themeColor="text1"/>
        </w:rPr>
      </w:pPr>
    </w:p>
    <w:p w14:paraId="0BFAA938" w14:textId="2A3A7FE5" w:rsidR="00476EC1" w:rsidRPr="00137EF3" w:rsidRDefault="00476EC1" w:rsidP="00137EF3">
      <w:pPr>
        <w:rPr>
          <w:rFonts w:ascii="Arial" w:eastAsia="Arial" w:hAnsi="Arial" w:cs="Arial"/>
          <w:color w:val="000000" w:themeColor="text1"/>
        </w:rPr>
      </w:pPr>
      <w:r>
        <w:rPr>
          <w:noProof/>
        </w:rPr>
        <w:drawing>
          <wp:inline distT="0" distB="0" distL="0" distR="0" wp14:anchorId="214930A9" wp14:editId="48451D5E">
            <wp:extent cx="5731510" cy="2701290"/>
            <wp:effectExtent l="0" t="0" r="2540" b="3810"/>
            <wp:docPr id="1648939130"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9130" name="Immagine 1" descr="Immagine che contiene testo, schermata, linea, diagramma&#10;&#10;Il contenuto generato dall'IA potrebbe non essere corretto."/>
                    <pic:cNvPicPr/>
                  </pic:nvPicPr>
                  <pic:blipFill>
                    <a:blip r:embed="rId7"/>
                    <a:stretch>
                      <a:fillRect/>
                    </a:stretch>
                  </pic:blipFill>
                  <pic:spPr>
                    <a:xfrm>
                      <a:off x="0" y="0"/>
                      <a:ext cx="5731510" cy="2701290"/>
                    </a:xfrm>
                    <a:prstGeom prst="rect">
                      <a:avLst/>
                    </a:prstGeom>
                  </pic:spPr>
                </pic:pic>
              </a:graphicData>
            </a:graphic>
          </wp:inline>
        </w:drawing>
      </w:r>
    </w:p>
    <w:p w14:paraId="77BE1A44" w14:textId="2A2659D5" w:rsidR="002911AF" w:rsidRPr="00B65F04" w:rsidRDefault="00476EC1" w:rsidP="00A310A2">
      <w:pPr>
        <w:rPr>
          <w:rFonts w:ascii="Arial" w:eastAsia="Arial" w:hAnsi="Arial" w:cs="Arial"/>
          <w:color w:val="000000" w:themeColor="text1"/>
        </w:rPr>
      </w:pPr>
      <w:r w:rsidRPr="00476EC1">
        <w:rPr>
          <w:rFonts w:ascii="Arial" w:eastAsia="Arial" w:hAnsi="Arial" w:cs="Arial"/>
          <w:b/>
          <w:bCs/>
          <w:color w:val="000000" w:themeColor="text1"/>
        </w:rPr>
        <w:t xml:space="preserve">Figure 1: </w:t>
      </w:r>
      <w:r w:rsidR="00390809" w:rsidRPr="00B65F04">
        <w:rPr>
          <w:rFonts w:ascii="Arial" w:eastAsia="Arial" w:hAnsi="Arial" w:cs="Arial"/>
          <w:color w:val="000000" w:themeColor="text1"/>
        </w:rPr>
        <w:t>Visualisation of model averaging and single-model predictions</w:t>
      </w:r>
      <w:r w:rsidR="004A1846" w:rsidRPr="00B65F04">
        <w:rPr>
          <w:rFonts w:ascii="Arial" w:eastAsia="Arial" w:hAnsi="Arial" w:cs="Arial"/>
          <w:color w:val="000000" w:themeColor="text1"/>
        </w:rPr>
        <w:t xml:space="preserve">. The upper left panel displays model-averaged concentration–time predictions alongside individual candidate model curves, with observed patient data overlaid. The upper right panel shows the corresponding model weights contributing to the averaged prediction. The lower panel illustrates the prediction from the selected best-fitting model including the 90% prediction interval generated via Sampling–Importance </w:t>
      </w:r>
      <w:r w:rsidR="004A1846" w:rsidRPr="00B65F04">
        <w:rPr>
          <w:rFonts w:ascii="Arial" w:eastAsia="Arial" w:hAnsi="Arial" w:cs="Arial"/>
          <w:color w:val="000000" w:themeColor="text1"/>
        </w:rPr>
        <w:lastRenderedPageBreak/>
        <w:t>Resampling (SIR) and the patient’s measured concentration used for MAP estimation.</w:t>
      </w:r>
    </w:p>
    <w:p w14:paraId="6FDC65F8" w14:textId="5091F36C" w:rsidR="002911AF" w:rsidRDefault="00231ED4" w:rsidP="00A310A2">
      <w:pPr>
        <w:rPr>
          <w:rFonts w:ascii="Arial" w:eastAsia="Arial" w:hAnsi="Arial" w:cs="Arial"/>
          <w:color w:val="000000" w:themeColor="text1"/>
        </w:rPr>
      </w:pPr>
      <w:r w:rsidRPr="00231ED4">
        <w:rPr>
          <w:rFonts w:ascii="Arial" w:eastAsia="Arial" w:hAnsi="Arial" w:cs="Arial"/>
          <w:noProof/>
          <w:color w:val="000000" w:themeColor="text1"/>
        </w:rPr>
        <w:drawing>
          <wp:inline distT="0" distB="0" distL="0" distR="0" wp14:anchorId="0A345A44" wp14:editId="4CE35F1B">
            <wp:extent cx="5731510" cy="2383790"/>
            <wp:effectExtent l="0" t="0" r="2540" b="0"/>
            <wp:docPr id="1668811637" name="Immagine 1" descr="Immagine che contiene testo, software, Icona del computer,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11637" name="Immagine 1" descr="Immagine che contiene testo, software, Icona del computer, numero&#10;&#10;Il contenuto generato dall'IA potrebbe non essere corretto."/>
                    <pic:cNvPicPr/>
                  </pic:nvPicPr>
                  <pic:blipFill>
                    <a:blip r:embed="rId8"/>
                    <a:stretch>
                      <a:fillRect/>
                    </a:stretch>
                  </pic:blipFill>
                  <pic:spPr>
                    <a:xfrm>
                      <a:off x="0" y="0"/>
                      <a:ext cx="5731510" cy="2383790"/>
                    </a:xfrm>
                    <a:prstGeom prst="rect">
                      <a:avLst/>
                    </a:prstGeom>
                  </pic:spPr>
                </pic:pic>
              </a:graphicData>
            </a:graphic>
          </wp:inline>
        </w:drawing>
      </w:r>
    </w:p>
    <w:p w14:paraId="0F815692" w14:textId="6C646739" w:rsidR="00CA4F99" w:rsidRDefault="00CA4F99" w:rsidP="00CA4F99">
      <w:pPr>
        <w:rPr>
          <w:rFonts w:ascii="Arial" w:eastAsia="Arial" w:hAnsi="Arial" w:cs="Arial"/>
          <w:color w:val="000000" w:themeColor="text1"/>
        </w:rPr>
      </w:pPr>
      <w:r w:rsidRPr="009B1164">
        <w:rPr>
          <w:rFonts w:ascii="Arial" w:eastAsia="Arial" w:hAnsi="Arial" w:cs="Arial"/>
          <w:b/>
          <w:bCs/>
          <w:color w:val="000000" w:themeColor="text1"/>
        </w:rPr>
        <w:t xml:space="preserve">Figure </w:t>
      </w:r>
      <w:r w:rsidR="00476EC1">
        <w:rPr>
          <w:rFonts w:ascii="Arial" w:eastAsia="Arial" w:hAnsi="Arial" w:cs="Arial"/>
          <w:b/>
          <w:bCs/>
          <w:color w:val="000000" w:themeColor="text1"/>
        </w:rPr>
        <w:t>2</w:t>
      </w:r>
      <w:r>
        <w:rPr>
          <w:rFonts w:ascii="Arial" w:eastAsia="Arial" w:hAnsi="Arial" w:cs="Arial"/>
          <w:color w:val="000000" w:themeColor="text1"/>
        </w:rPr>
        <w:t xml:space="preserve">: </w:t>
      </w:r>
      <w:r w:rsidRPr="009B1164">
        <w:rPr>
          <w:rFonts w:ascii="Arial" w:eastAsia="Arial" w:hAnsi="Arial" w:cs="Arial"/>
          <w:color w:val="000000" w:themeColor="text1"/>
        </w:rPr>
        <w:t xml:space="preserve">Patient data input interface of Shiny application. Demographic information, laboratory values (creatinine, albumin), and </w:t>
      </w:r>
      <w:r>
        <w:rPr>
          <w:rFonts w:ascii="Arial" w:eastAsia="Arial" w:hAnsi="Arial" w:cs="Arial"/>
          <w:color w:val="000000" w:themeColor="text1"/>
        </w:rPr>
        <w:t>TDM</w:t>
      </w:r>
      <w:r w:rsidRPr="009B1164">
        <w:rPr>
          <w:rFonts w:ascii="Arial" w:eastAsia="Arial" w:hAnsi="Arial" w:cs="Arial"/>
          <w:color w:val="000000" w:themeColor="text1"/>
        </w:rPr>
        <w:t xml:space="preserve"> measurements can be entered or updated on the left panel, while the right panel displays the structured patient dataset that will be used for model estimation and dose optimisation.</w:t>
      </w:r>
    </w:p>
    <w:p w14:paraId="4FE7ED24" w14:textId="77777777" w:rsidR="00CA4F99" w:rsidRDefault="00CA4F99" w:rsidP="00A310A2">
      <w:pPr>
        <w:rPr>
          <w:rFonts w:ascii="Arial" w:eastAsia="Arial" w:hAnsi="Arial" w:cs="Arial"/>
          <w:color w:val="000000" w:themeColor="text1"/>
        </w:rPr>
      </w:pPr>
    </w:p>
    <w:p w14:paraId="53CDC87E" w14:textId="77777777" w:rsidR="002911AF" w:rsidRDefault="002911AF" w:rsidP="00A310A2">
      <w:pPr>
        <w:rPr>
          <w:rFonts w:ascii="Arial" w:eastAsia="Arial" w:hAnsi="Arial" w:cs="Arial"/>
          <w:color w:val="000000" w:themeColor="text1"/>
        </w:rPr>
      </w:pPr>
    </w:p>
    <w:p w14:paraId="2028275C" w14:textId="1F475B2C" w:rsidR="002911AF" w:rsidRDefault="00D77BA0" w:rsidP="00A310A2">
      <w:pPr>
        <w:rPr>
          <w:rFonts w:ascii="Arial" w:eastAsia="Arial" w:hAnsi="Arial" w:cs="Arial"/>
          <w:color w:val="000000" w:themeColor="text1"/>
        </w:rPr>
      </w:pPr>
      <w:r w:rsidRPr="00D77BA0">
        <w:rPr>
          <w:rFonts w:ascii="Arial" w:eastAsia="Arial" w:hAnsi="Arial" w:cs="Arial"/>
          <w:noProof/>
          <w:color w:val="000000" w:themeColor="text1"/>
        </w:rPr>
        <w:drawing>
          <wp:inline distT="0" distB="0" distL="0" distR="0" wp14:anchorId="0F81743D" wp14:editId="25B7ACFF">
            <wp:extent cx="5731510" cy="1580515"/>
            <wp:effectExtent l="0" t="0" r="2540" b="635"/>
            <wp:docPr id="1701272871"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72871" name="Immagine 1" descr="Immagine che contiene testo, Carattere, linea, numero&#10;&#10;Il contenuto generato dall'IA potrebbe non essere corretto."/>
                    <pic:cNvPicPr/>
                  </pic:nvPicPr>
                  <pic:blipFill>
                    <a:blip r:embed="rId9"/>
                    <a:stretch>
                      <a:fillRect/>
                    </a:stretch>
                  </pic:blipFill>
                  <pic:spPr>
                    <a:xfrm>
                      <a:off x="0" y="0"/>
                      <a:ext cx="5731510" cy="1580515"/>
                    </a:xfrm>
                    <a:prstGeom prst="rect">
                      <a:avLst/>
                    </a:prstGeom>
                  </pic:spPr>
                </pic:pic>
              </a:graphicData>
            </a:graphic>
          </wp:inline>
        </w:drawing>
      </w:r>
    </w:p>
    <w:p w14:paraId="59F30A5F" w14:textId="79D37326" w:rsidR="002424A0" w:rsidRPr="00476EC1" w:rsidRDefault="00591813" w:rsidP="00A310A2">
      <w:pPr>
        <w:rPr>
          <w:rFonts w:ascii="Arial" w:eastAsia="Arial" w:hAnsi="Arial" w:cs="Arial"/>
          <w:color w:val="000000" w:themeColor="text1"/>
        </w:rPr>
      </w:pPr>
      <w:r w:rsidRPr="0F8BFF1C">
        <w:rPr>
          <w:rFonts w:ascii="Arial" w:eastAsia="Arial" w:hAnsi="Arial" w:cs="Arial"/>
          <w:b/>
          <w:bCs/>
          <w:color w:val="000000" w:themeColor="text1"/>
        </w:rPr>
        <w:t xml:space="preserve">Figure </w:t>
      </w:r>
      <w:r w:rsidR="00476EC1" w:rsidRPr="0F8BFF1C">
        <w:rPr>
          <w:rFonts w:ascii="Arial" w:eastAsia="Arial" w:hAnsi="Arial" w:cs="Arial"/>
          <w:b/>
          <w:bCs/>
          <w:color w:val="000000" w:themeColor="text1"/>
        </w:rPr>
        <w:t>3</w:t>
      </w:r>
      <w:r w:rsidR="009C7E7A" w:rsidRPr="0F8BFF1C">
        <w:rPr>
          <w:rFonts w:ascii="Arial" w:eastAsia="Arial" w:hAnsi="Arial" w:cs="Arial"/>
          <w:b/>
          <w:bCs/>
          <w:color w:val="000000" w:themeColor="text1"/>
        </w:rPr>
        <w:t xml:space="preserve">: </w:t>
      </w:r>
      <w:r w:rsidR="009C7E7A" w:rsidRPr="0F8BFF1C">
        <w:rPr>
          <w:rFonts w:ascii="Arial" w:eastAsia="Arial" w:hAnsi="Arial" w:cs="Arial"/>
          <w:color w:val="000000" w:themeColor="text1"/>
        </w:rPr>
        <w:t>Pharmacodynamic target selection panel</w:t>
      </w:r>
      <w:r w:rsidR="00476EC1" w:rsidRPr="0F8BFF1C">
        <w:rPr>
          <w:rFonts w:ascii="Arial" w:eastAsia="Arial" w:hAnsi="Arial" w:cs="Arial"/>
          <w:color w:val="000000" w:themeColor="text1"/>
        </w:rPr>
        <w:t xml:space="preserve">. Users can specify the desired PK/PD target (e.g., last-24h </w:t>
      </w:r>
      <w:proofErr w:type="spellStart"/>
      <w:r w:rsidR="00476EC1" w:rsidRPr="0F8BFF1C">
        <w:rPr>
          <w:rFonts w:ascii="Arial" w:eastAsia="Arial" w:hAnsi="Arial" w:cs="Arial"/>
          <w:color w:val="000000" w:themeColor="text1"/>
        </w:rPr>
        <w:t>fAUC</w:t>
      </w:r>
      <w:proofErr w:type="spellEnd"/>
      <w:r w:rsidR="00476EC1" w:rsidRPr="0F8BFF1C">
        <w:rPr>
          <w:rFonts w:ascii="Cambria Math" w:eastAsia="Arial" w:hAnsi="Cambria Math" w:cs="Cambria Math"/>
          <w:color w:val="000000" w:themeColor="text1"/>
        </w:rPr>
        <w:t>₀</w:t>
      </w:r>
      <w:r w:rsidR="00476EC1" w:rsidRPr="0F8BFF1C">
        <w:rPr>
          <w:rFonts w:ascii="Arial" w:eastAsia="Arial" w:hAnsi="Arial" w:cs="Arial"/>
          <w:color w:val="000000" w:themeColor="text1"/>
          <w:vertAlign w:val="subscript"/>
        </w:rPr>
        <w:t>–</w:t>
      </w:r>
      <w:r w:rsidR="00476EC1" w:rsidRPr="0F8BFF1C">
        <w:rPr>
          <w:rFonts w:ascii="Cambria Math" w:eastAsia="Arial" w:hAnsi="Cambria Math" w:cs="Cambria Math"/>
          <w:color w:val="000000" w:themeColor="text1"/>
        </w:rPr>
        <w:t>₂₄</w:t>
      </w:r>
      <w:r w:rsidR="00476EC1" w:rsidRPr="0F8BFF1C">
        <w:rPr>
          <w:rFonts w:ascii="Arial" w:eastAsia="Arial" w:hAnsi="Arial" w:cs="Arial"/>
          <w:color w:val="000000" w:themeColor="text1"/>
        </w:rPr>
        <w:t>h/MIC), the MIC value, and the protein binding percentage</w:t>
      </w:r>
    </w:p>
    <w:p w14:paraId="7D532766" w14:textId="7E18402C" w:rsidR="002424A0" w:rsidRPr="00A310A2" w:rsidRDefault="009F67DA" w:rsidP="00A310A2">
      <w:pPr>
        <w:rPr>
          <w:rFonts w:ascii="Arial" w:eastAsia="Arial" w:hAnsi="Arial" w:cs="Arial"/>
          <w:b/>
          <w:bCs/>
          <w:color w:val="000000" w:themeColor="text1"/>
        </w:rPr>
      </w:pPr>
      <w:r w:rsidRPr="009F67DA">
        <w:rPr>
          <w:rFonts w:ascii="Arial" w:eastAsia="Arial" w:hAnsi="Arial" w:cs="Arial"/>
          <w:b/>
          <w:bCs/>
          <w:color w:val="000000" w:themeColor="text1"/>
        </w:rPr>
        <w:t>References</w:t>
      </w:r>
    </w:p>
    <w:p w14:paraId="5A67CC02" w14:textId="247D51CF" w:rsidR="00A310A2" w:rsidRPr="00EB127B" w:rsidRDefault="00111A05" w:rsidP="558DF735">
      <w:pPr>
        <w:rPr>
          <w:rFonts w:ascii="Arial" w:eastAsia="Arial" w:hAnsi="Arial" w:cs="Arial"/>
          <w:color w:val="000000" w:themeColor="text1"/>
          <w:sz w:val="20"/>
          <w:szCs w:val="20"/>
        </w:rPr>
      </w:pPr>
      <w:r w:rsidRPr="00EB127B">
        <w:rPr>
          <w:rFonts w:ascii="Arial" w:eastAsia="Arial" w:hAnsi="Arial" w:cs="Arial"/>
          <w:color w:val="000000" w:themeColor="text1"/>
          <w:sz w:val="20"/>
          <w:szCs w:val="20"/>
        </w:rPr>
        <w:t xml:space="preserve">1, Baiardi G, Cameran Caviglia M, Boni S, Di Paolo A, Marini V, Cangemi G, Cafaro A, </w:t>
      </w:r>
      <w:proofErr w:type="spellStart"/>
      <w:r w:rsidRPr="00EB127B">
        <w:rPr>
          <w:rFonts w:ascii="Arial" w:eastAsia="Arial" w:hAnsi="Arial" w:cs="Arial"/>
          <w:color w:val="000000" w:themeColor="text1"/>
          <w:sz w:val="20"/>
          <w:szCs w:val="20"/>
        </w:rPr>
        <w:t>Pontali</w:t>
      </w:r>
      <w:proofErr w:type="spellEnd"/>
      <w:r w:rsidRPr="00EB127B">
        <w:rPr>
          <w:rFonts w:ascii="Arial" w:eastAsia="Arial" w:hAnsi="Arial" w:cs="Arial"/>
          <w:color w:val="000000" w:themeColor="text1"/>
          <w:sz w:val="20"/>
          <w:szCs w:val="20"/>
        </w:rPr>
        <w:t xml:space="preserve"> E, Mattioli F. Multidose Dalbavancin Population Pharmacokinetic Analysis for Prolonged Target Attainment in Patients Requiring Long-Term Treatment. Antibiotics (Basel). 2025 Feb 13;14(2):190. </w:t>
      </w:r>
      <w:proofErr w:type="spellStart"/>
      <w:r w:rsidRPr="00EB127B">
        <w:rPr>
          <w:rFonts w:ascii="Arial" w:eastAsia="Arial" w:hAnsi="Arial" w:cs="Arial"/>
          <w:color w:val="000000" w:themeColor="text1"/>
          <w:sz w:val="20"/>
          <w:szCs w:val="20"/>
        </w:rPr>
        <w:t>doi</w:t>
      </w:r>
      <w:proofErr w:type="spellEnd"/>
      <w:r w:rsidRPr="00EB127B">
        <w:rPr>
          <w:rFonts w:ascii="Arial" w:eastAsia="Arial" w:hAnsi="Arial" w:cs="Arial"/>
          <w:color w:val="000000" w:themeColor="text1"/>
          <w:sz w:val="20"/>
          <w:szCs w:val="20"/>
        </w:rPr>
        <w:t>: 10.3390/antibiotics14020190. PMID: 40001433; PMCID: PMC11852064.</w:t>
      </w:r>
    </w:p>
    <w:p w14:paraId="22D08DC9" w14:textId="38E4F6D7" w:rsidR="00111A05" w:rsidRPr="00EB127B" w:rsidRDefault="00111A05" w:rsidP="558DF735">
      <w:pPr>
        <w:rPr>
          <w:rFonts w:ascii="Arial" w:eastAsia="Arial" w:hAnsi="Arial" w:cs="Arial"/>
          <w:color w:val="000000" w:themeColor="text1"/>
          <w:sz w:val="20"/>
          <w:szCs w:val="20"/>
        </w:rPr>
      </w:pPr>
      <w:r w:rsidRPr="00EB127B">
        <w:rPr>
          <w:rFonts w:ascii="Arial" w:eastAsia="Arial" w:hAnsi="Arial" w:cs="Arial"/>
          <w:color w:val="000000" w:themeColor="text1"/>
          <w:sz w:val="20"/>
          <w:szCs w:val="20"/>
        </w:rPr>
        <w:t xml:space="preserve">2, </w:t>
      </w:r>
      <w:r w:rsidR="004C7352" w:rsidRPr="00EB127B">
        <w:rPr>
          <w:rFonts w:ascii="Arial" w:eastAsia="Arial" w:hAnsi="Arial" w:cs="Arial"/>
          <w:color w:val="000000" w:themeColor="text1"/>
          <w:sz w:val="20"/>
          <w:szCs w:val="20"/>
        </w:rPr>
        <w:t xml:space="preserve">Buckwalter M, Dowell JA. Population pharmacokinetic analysis of dalbavancin, a novel lipoglycopeptide. J Clin Pharmacol. 2005 Nov;45(11):1279-87. </w:t>
      </w:r>
      <w:proofErr w:type="spellStart"/>
      <w:r w:rsidR="004C7352" w:rsidRPr="00EB127B">
        <w:rPr>
          <w:rFonts w:ascii="Arial" w:eastAsia="Arial" w:hAnsi="Arial" w:cs="Arial"/>
          <w:color w:val="000000" w:themeColor="text1"/>
          <w:sz w:val="20"/>
          <w:szCs w:val="20"/>
        </w:rPr>
        <w:t>doi</w:t>
      </w:r>
      <w:proofErr w:type="spellEnd"/>
      <w:r w:rsidR="004C7352" w:rsidRPr="00EB127B">
        <w:rPr>
          <w:rFonts w:ascii="Arial" w:eastAsia="Arial" w:hAnsi="Arial" w:cs="Arial"/>
          <w:color w:val="000000" w:themeColor="text1"/>
          <w:sz w:val="20"/>
          <w:szCs w:val="20"/>
        </w:rPr>
        <w:t>: 10.1177/0091270005280378. PMID: 16239361.</w:t>
      </w:r>
    </w:p>
    <w:p w14:paraId="3F59BE93" w14:textId="432696E9" w:rsidR="009918D6" w:rsidRPr="00EB127B" w:rsidRDefault="009918D6" w:rsidP="558DF735">
      <w:pPr>
        <w:rPr>
          <w:rFonts w:ascii="Arial" w:eastAsia="Arial" w:hAnsi="Arial" w:cs="Arial"/>
          <w:color w:val="000000" w:themeColor="text1"/>
          <w:sz w:val="20"/>
          <w:szCs w:val="20"/>
        </w:rPr>
      </w:pPr>
      <w:r w:rsidRPr="00EB127B">
        <w:rPr>
          <w:rFonts w:ascii="Arial" w:eastAsia="Arial" w:hAnsi="Arial" w:cs="Arial"/>
          <w:color w:val="000000" w:themeColor="text1"/>
          <w:sz w:val="20"/>
          <w:szCs w:val="20"/>
        </w:rPr>
        <w:lastRenderedPageBreak/>
        <w:t xml:space="preserve">3, </w:t>
      </w:r>
      <w:r w:rsidR="00FB5E8B" w:rsidRPr="00EB127B">
        <w:rPr>
          <w:rFonts w:ascii="Arial" w:eastAsia="Arial" w:hAnsi="Arial" w:cs="Arial"/>
          <w:color w:val="000000" w:themeColor="text1"/>
          <w:sz w:val="20"/>
          <w:szCs w:val="20"/>
        </w:rPr>
        <w:t xml:space="preserve">Carrothers TJ, Chittenden JT, Critchley I. Dalbavancin Population Pharmacokinetic </w:t>
      </w:r>
      <w:proofErr w:type="spellStart"/>
      <w:r w:rsidR="00FB5E8B" w:rsidRPr="00EB127B">
        <w:rPr>
          <w:rFonts w:ascii="Arial" w:eastAsia="Arial" w:hAnsi="Arial" w:cs="Arial"/>
          <w:color w:val="000000" w:themeColor="text1"/>
          <w:sz w:val="20"/>
          <w:szCs w:val="20"/>
        </w:rPr>
        <w:t>Modeling</w:t>
      </w:r>
      <w:proofErr w:type="spellEnd"/>
      <w:r w:rsidR="00FB5E8B" w:rsidRPr="00EB127B">
        <w:rPr>
          <w:rFonts w:ascii="Arial" w:eastAsia="Arial" w:hAnsi="Arial" w:cs="Arial"/>
          <w:color w:val="000000" w:themeColor="text1"/>
          <w:sz w:val="20"/>
          <w:szCs w:val="20"/>
        </w:rPr>
        <w:t xml:space="preserve"> and Target Attainment Analysis. Clin </w:t>
      </w:r>
      <w:proofErr w:type="spellStart"/>
      <w:r w:rsidR="00FB5E8B" w:rsidRPr="00EB127B">
        <w:rPr>
          <w:rFonts w:ascii="Arial" w:eastAsia="Arial" w:hAnsi="Arial" w:cs="Arial"/>
          <w:color w:val="000000" w:themeColor="text1"/>
          <w:sz w:val="20"/>
          <w:szCs w:val="20"/>
        </w:rPr>
        <w:t>Pharmacol</w:t>
      </w:r>
      <w:proofErr w:type="spellEnd"/>
      <w:r w:rsidR="00FB5E8B" w:rsidRPr="00EB127B">
        <w:rPr>
          <w:rFonts w:ascii="Arial" w:eastAsia="Arial" w:hAnsi="Arial" w:cs="Arial"/>
          <w:color w:val="000000" w:themeColor="text1"/>
          <w:sz w:val="20"/>
          <w:szCs w:val="20"/>
        </w:rPr>
        <w:t xml:space="preserve"> Drug Dev. 2020 Jan;9(1):21-31. </w:t>
      </w:r>
      <w:proofErr w:type="spellStart"/>
      <w:r w:rsidR="00FB5E8B" w:rsidRPr="00EB127B">
        <w:rPr>
          <w:rFonts w:ascii="Arial" w:eastAsia="Arial" w:hAnsi="Arial" w:cs="Arial"/>
          <w:color w:val="000000" w:themeColor="text1"/>
          <w:sz w:val="20"/>
          <w:szCs w:val="20"/>
        </w:rPr>
        <w:t>doi</w:t>
      </w:r>
      <w:proofErr w:type="spellEnd"/>
      <w:r w:rsidR="00FB5E8B" w:rsidRPr="00EB127B">
        <w:rPr>
          <w:rFonts w:ascii="Arial" w:eastAsia="Arial" w:hAnsi="Arial" w:cs="Arial"/>
          <w:color w:val="000000" w:themeColor="text1"/>
          <w:sz w:val="20"/>
          <w:szCs w:val="20"/>
        </w:rPr>
        <w:t xml:space="preserve">: 10.1002/cpdd.695. </w:t>
      </w:r>
      <w:proofErr w:type="spellStart"/>
      <w:r w:rsidR="00FB5E8B" w:rsidRPr="00EB127B">
        <w:rPr>
          <w:rFonts w:ascii="Arial" w:eastAsia="Arial" w:hAnsi="Arial" w:cs="Arial"/>
          <w:color w:val="000000" w:themeColor="text1"/>
          <w:sz w:val="20"/>
          <w:szCs w:val="20"/>
        </w:rPr>
        <w:t>Epub</w:t>
      </w:r>
      <w:proofErr w:type="spellEnd"/>
      <w:r w:rsidR="00FB5E8B" w:rsidRPr="00EB127B">
        <w:rPr>
          <w:rFonts w:ascii="Arial" w:eastAsia="Arial" w:hAnsi="Arial" w:cs="Arial"/>
          <w:color w:val="000000" w:themeColor="text1"/>
          <w:sz w:val="20"/>
          <w:szCs w:val="20"/>
        </w:rPr>
        <w:t xml:space="preserve"> 2019 May 14. PMID: 31087630; PMCID: PMC7003773.</w:t>
      </w:r>
    </w:p>
    <w:p w14:paraId="0AF5F7AB" w14:textId="315482C2" w:rsidR="00E47D89" w:rsidRPr="00EB127B" w:rsidRDefault="00E47D89" w:rsidP="558DF735">
      <w:pPr>
        <w:rPr>
          <w:rFonts w:ascii="Arial" w:eastAsia="Arial" w:hAnsi="Arial" w:cs="Arial"/>
          <w:color w:val="000000" w:themeColor="text1"/>
          <w:sz w:val="20"/>
          <w:szCs w:val="20"/>
        </w:rPr>
      </w:pPr>
      <w:r w:rsidRPr="00EB127B">
        <w:rPr>
          <w:rFonts w:ascii="Arial" w:eastAsia="Arial" w:hAnsi="Arial" w:cs="Arial"/>
          <w:color w:val="000000" w:themeColor="text1"/>
          <w:sz w:val="20"/>
          <w:szCs w:val="20"/>
        </w:rPr>
        <w:t xml:space="preserve">4, </w:t>
      </w:r>
      <w:proofErr w:type="spellStart"/>
      <w:r w:rsidRPr="00EB127B">
        <w:rPr>
          <w:rFonts w:ascii="Arial" w:eastAsia="Arial" w:hAnsi="Arial" w:cs="Arial"/>
          <w:color w:val="000000" w:themeColor="text1"/>
          <w:sz w:val="20"/>
          <w:szCs w:val="20"/>
        </w:rPr>
        <w:t>Cojutti</w:t>
      </w:r>
      <w:proofErr w:type="spellEnd"/>
      <w:r w:rsidRPr="00EB127B">
        <w:rPr>
          <w:rFonts w:ascii="Arial" w:eastAsia="Arial" w:hAnsi="Arial" w:cs="Arial"/>
          <w:color w:val="000000" w:themeColor="text1"/>
          <w:sz w:val="20"/>
          <w:szCs w:val="20"/>
        </w:rPr>
        <w:t xml:space="preserve"> PG, Tedeschi S, Zamparini E, Viale P, Pea F. Population Pharmacokinetics and Pharmacodynamics of Dalbavancin and C-Reactive Protein in Patients with Staphylococcal Osteoarticular Infections. Clin </w:t>
      </w:r>
      <w:proofErr w:type="spellStart"/>
      <w:r w:rsidRPr="00EB127B">
        <w:rPr>
          <w:rFonts w:ascii="Arial" w:eastAsia="Arial" w:hAnsi="Arial" w:cs="Arial"/>
          <w:color w:val="000000" w:themeColor="text1"/>
          <w:sz w:val="20"/>
          <w:szCs w:val="20"/>
        </w:rPr>
        <w:t>Pharmacokinet</w:t>
      </w:r>
      <w:proofErr w:type="spellEnd"/>
      <w:r w:rsidRPr="00EB127B">
        <w:rPr>
          <w:rFonts w:ascii="Arial" w:eastAsia="Arial" w:hAnsi="Arial" w:cs="Arial"/>
          <w:color w:val="000000" w:themeColor="text1"/>
          <w:sz w:val="20"/>
          <w:szCs w:val="20"/>
        </w:rPr>
        <w:t xml:space="preserve">. 2024 Sep;63(9):1271-1282. </w:t>
      </w:r>
      <w:proofErr w:type="spellStart"/>
      <w:r w:rsidRPr="00EB127B">
        <w:rPr>
          <w:rFonts w:ascii="Arial" w:eastAsia="Arial" w:hAnsi="Arial" w:cs="Arial"/>
          <w:color w:val="000000" w:themeColor="text1"/>
          <w:sz w:val="20"/>
          <w:szCs w:val="20"/>
        </w:rPr>
        <w:t>doi</w:t>
      </w:r>
      <w:proofErr w:type="spellEnd"/>
      <w:r w:rsidRPr="00EB127B">
        <w:rPr>
          <w:rFonts w:ascii="Arial" w:eastAsia="Arial" w:hAnsi="Arial" w:cs="Arial"/>
          <w:color w:val="000000" w:themeColor="text1"/>
          <w:sz w:val="20"/>
          <w:szCs w:val="20"/>
        </w:rPr>
        <w:t xml:space="preserve">: 10.1007/s40262-024-01410-2. </w:t>
      </w:r>
      <w:proofErr w:type="spellStart"/>
      <w:r w:rsidRPr="00EB127B">
        <w:rPr>
          <w:rFonts w:ascii="Arial" w:eastAsia="Arial" w:hAnsi="Arial" w:cs="Arial"/>
          <w:color w:val="000000" w:themeColor="text1"/>
          <w:sz w:val="20"/>
          <w:szCs w:val="20"/>
        </w:rPr>
        <w:t>Epub</w:t>
      </w:r>
      <w:proofErr w:type="spellEnd"/>
      <w:r w:rsidRPr="00EB127B">
        <w:rPr>
          <w:rFonts w:ascii="Arial" w:eastAsia="Arial" w:hAnsi="Arial" w:cs="Arial"/>
          <w:color w:val="000000" w:themeColor="text1"/>
          <w:sz w:val="20"/>
          <w:szCs w:val="20"/>
        </w:rPr>
        <w:t xml:space="preserve"> 2024 Aug 22. PMID: 39172334; PMCID: PMC11449996.</w:t>
      </w:r>
    </w:p>
    <w:p w14:paraId="7A7B78D8" w14:textId="6B164AA3" w:rsidR="00407633" w:rsidRPr="00EB127B" w:rsidRDefault="00407633" w:rsidP="558DF735">
      <w:pPr>
        <w:rPr>
          <w:rFonts w:ascii="Arial" w:eastAsia="Arial" w:hAnsi="Arial" w:cs="Arial"/>
          <w:color w:val="000000" w:themeColor="text1"/>
          <w:sz w:val="20"/>
          <w:szCs w:val="20"/>
        </w:rPr>
      </w:pPr>
      <w:r w:rsidRPr="00EB127B">
        <w:rPr>
          <w:rFonts w:ascii="Arial" w:eastAsia="Arial" w:hAnsi="Arial" w:cs="Arial"/>
          <w:color w:val="000000" w:themeColor="text1"/>
          <w:sz w:val="20"/>
          <w:szCs w:val="20"/>
        </w:rPr>
        <w:t xml:space="preserve">5, </w:t>
      </w:r>
      <w:proofErr w:type="spellStart"/>
      <w:r w:rsidRPr="00EB127B">
        <w:rPr>
          <w:rFonts w:ascii="Arial" w:eastAsia="Arial" w:hAnsi="Arial" w:cs="Arial"/>
          <w:color w:val="000000" w:themeColor="text1"/>
          <w:sz w:val="20"/>
          <w:szCs w:val="20"/>
        </w:rPr>
        <w:t>Cojutti</w:t>
      </w:r>
      <w:proofErr w:type="spellEnd"/>
      <w:r w:rsidRPr="00EB127B">
        <w:rPr>
          <w:rFonts w:ascii="Arial" w:eastAsia="Arial" w:hAnsi="Arial" w:cs="Arial"/>
          <w:color w:val="000000" w:themeColor="text1"/>
          <w:sz w:val="20"/>
          <w:szCs w:val="20"/>
        </w:rPr>
        <w:t xml:space="preserve"> PG, Tedeschi S, Gatti M, Zamparini E, </w:t>
      </w:r>
      <w:proofErr w:type="spellStart"/>
      <w:r w:rsidRPr="00EB127B">
        <w:rPr>
          <w:rFonts w:ascii="Arial" w:eastAsia="Arial" w:hAnsi="Arial" w:cs="Arial"/>
          <w:color w:val="000000" w:themeColor="text1"/>
          <w:sz w:val="20"/>
          <w:szCs w:val="20"/>
        </w:rPr>
        <w:t>Meschiari</w:t>
      </w:r>
      <w:proofErr w:type="spellEnd"/>
      <w:r w:rsidRPr="00EB127B">
        <w:rPr>
          <w:rFonts w:ascii="Arial" w:eastAsia="Arial" w:hAnsi="Arial" w:cs="Arial"/>
          <w:color w:val="000000" w:themeColor="text1"/>
          <w:sz w:val="20"/>
          <w:szCs w:val="20"/>
        </w:rPr>
        <w:t xml:space="preserve"> M, Siega PD, Mazzitelli M, </w:t>
      </w:r>
      <w:proofErr w:type="spellStart"/>
      <w:r w:rsidRPr="00EB127B">
        <w:rPr>
          <w:rFonts w:ascii="Arial" w:eastAsia="Arial" w:hAnsi="Arial" w:cs="Arial"/>
          <w:color w:val="000000" w:themeColor="text1"/>
          <w:sz w:val="20"/>
          <w:szCs w:val="20"/>
        </w:rPr>
        <w:t>Soavi</w:t>
      </w:r>
      <w:proofErr w:type="spellEnd"/>
      <w:r w:rsidRPr="00EB127B">
        <w:rPr>
          <w:rFonts w:ascii="Arial" w:eastAsia="Arial" w:hAnsi="Arial" w:cs="Arial"/>
          <w:color w:val="000000" w:themeColor="text1"/>
          <w:sz w:val="20"/>
          <w:szCs w:val="20"/>
        </w:rPr>
        <w:t xml:space="preserve"> L, </w:t>
      </w:r>
      <w:proofErr w:type="spellStart"/>
      <w:r w:rsidRPr="00EB127B">
        <w:rPr>
          <w:rFonts w:ascii="Arial" w:eastAsia="Arial" w:hAnsi="Arial" w:cs="Arial"/>
          <w:color w:val="000000" w:themeColor="text1"/>
          <w:sz w:val="20"/>
          <w:szCs w:val="20"/>
        </w:rPr>
        <w:t>Binazzi</w:t>
      </w:r>
      <w:proofErr w:type="spellEnd"/>
      <w:r w:rsidRPr="00EB127B">
        <w:rPr>
          <w:rFonts w:ascii="Arial" w:eastAsia="Arial" w:hAnsi="Arial" w:cs="Arial"/>
          <w:color w:val="000000" w:themeColor="text1"/>
          <w:sz w:val="20"/>
          <w:szCs w:val="20"/>
        </w:rPr>
        <w:t xml:space="preserve"> R, Erne EM, Rizzi M, Cattelan AM, </w:t>
      </w:r>
      <w:proofErr w:type="spellStart"/>
      <w:r w:rsidRPr="00EB127B">
        <w:rPr>
          <w:rFonts w:ascii="Arial" w:eastAsia="Arial" w:hAnsi="Arial" w:cs="Arial"/>
          <w:color w:val="000000" w:themeColor="text1"/>
          <w:sz w:val="20"/>
          <w:szCs w:val="20"/>
        </w:rPr>
        <w:t>Tascini</w:t>
      </w:r>
      <w:proofErr w:type="spellEnd"/>
      <w:r w:rsidRPr="00EB127B">
        <w:rPr>
          <w:rFonts w:ascii="Arial" w:eastAsia="Arial" w:hAnsi="Arial" w:cs="Arial"/>
          <w:color w:val="000000" w:themeColor="text1"/>
          <w:sz w:val="20"/>
          <w:szCs w:val="20"/>
        </w:rPr>
        <w:t xml:space="preserve"> C, Mussini C, Viale P, Pea F. Population Pharmacokinetic and Pharmacodynamic Analysis of Dalbavancin for Long-Term Treatment of Subacute and/or Chronic Infectious Diseases: The Major Role of Therapeutic Drug Monitoring. Antibiotics (Basel). 2022 Jul 24;11(8):996. </w:t>
      </w:r>
      <w:proofErr w:type="spellStart"/>
      <w:r w:rsidRPr="00EB127B">
        <w:rPr>
          <w:rFonts w:ascii="Arial" w:eastAsia="Arial" w:hAnsi="Arial" w:cs="Arial"/>
          <w:color w:val="000000" w:themeColor="text1"/>
          <w:sz w:val="20"/>
          <w:szCs w:val="20"/>
        </w:rPr>
        <w:t>doi</w:t>
      </w:r>
      <w:proofErr w:type="spellEnd"/>
      <w:r w:rsidRPr="00EB127B">
        <w:rPr>
          <w:rFonts w:ascii="Arial" w:eastAsia="Arial" w:hAnsi="Arial" w:cs="Arial"/>
          <w:color w:val="000000" w:themeColor="text1"/>
          <w:sz w:val="20"/>
          <w:szCs w:val="20"/>
        </w:rPr>
        <w:t>: 10.3390/antibiotics11080996. PMID: 35892386; PMCID: PMC9331863.</w:t>
      </w:r>
    </w:p>
    <w:p w14:paraId="48ADCC74" w14:textId="5F40A5C3" w:rsidR="00874D8B" w:rsidRPr="00EB127B" w:rsidRDefault="00874D8B" w:rsidP="558DF735">
      <w:pPr>
        <w:rPr>
          <w:rFonts w:ascii="Arial" w:eastAsia="Arial" w:hAnsi="Arial" w:cs="Arial"/>
          <w:color w:val="000000" w:themeColor="text1"/>
          <w:sz w:val="20"/>
          <w:szCs w:val="20"/>
        </w:rPr>
      </w:pPr>
      <w:r w:rsidRPr="00EB127B">
        <w:rPr>
          <w:rFonts w:ascii="Arial" w:eastAsia="Arial" w:hAnsi="Arial" w:cs="Arial"/>
          <w:color w:val="000000" w:themeColor="text1"/>
          <w:sz w:val="20"/>
          <w:szCs w:val="20"/>
        </w:rPr>
        <w:t xml:space="preserve">6, </w:t>
      </w:r>
      <w:proofErr w:type="spellStart"/>
      <w:r w:rsidRPr="00EB127B">
        <w:rPr>
          <w:rFonts w:ascii="Arial" w:eastAsia="Arial" w:hAnsi="Arial" w:cs="Arial"/>
          <w:color w:val="000000" w:themeColor="text1"/>
          <w:sz w:val="20"/>
          <w:szCs w:val="20"/>
        </w:rPr>
        <w:t>Benavent</w:t>
      </w:r>
      <w:proofErr w:type="spellEnd"/>
      <w:r w:rsidRPr="00EB127B">
        <w:rPr>
          <w:rFonts w:ascii="Arial" w:eastAsia="Arial" w:hAnsi="Arial" w:cs="Arial"/>
          <w:color w:val="000000" w:themeColor="text1"/>
          <w:sz w:val="20"/>
          <w:szCs w:val="20"/>
        </w:rPr>
        <w:t xml:space="preserve"> E, Lora-Tamayo J, </w:t>
      </w:r>
      <w:proofErr w:type="spellStart"/>
      <w:r w:rsidRPr="00EB127B">
        <w:rPr>
          <w:rFonts w:ascii="Arial" w:eastAsia="Arial" w:hAnsi="Arial" w:cs="Arial"/>
          <w:color w:val="000000" w:themeColor="text1"/>
          <w:sz w:val="20"/>
          <w:szCs w:val="20"/>
        </w:rPr>
        <w:t>Ulldemolins</w:t>
      </w:r>
      <w:proofErr w:type="spellEnd"/>
      <w:r w:rsidRPr="00EB127B">
        <w:rPr>
          <w:rFonts w:ascii="Arial" w:eastAsia="Arial" w:hAnsi="Arial" w:cs="Arial"/>
          <w:color w:val="000000" w:themeColor="text1"/>
          <w:sz w:val="20"/>
          <w:szCs w:val="20"/>
        </w:rPr>
        <w:t xml:space="preserve"> M, Pons-</w:t>
      </w:r>
      <w:proofErr w:type="spellStart"/>
      <w:r w:rsidRPr="00EB127B">
        <w:rPr>
          <w:rFonts w:ascii="Arial" w:eastAsia="Arial" w:hAnsi="Arial" w:cs="Arial"/>
          <w:color w:val="000000" w:themeColor="text1"/>
          <w:sz w:val="20"/>
          <w:szCs w:val="20"/>
        </w:rPr>
        <w:t>Oltra</w:t>
      </w:r>
      <w:proofErr w:type="spellEnd"/>
      <w:r w:rsidRPr="00EB127B">
        <w:rPr>
          <w:rFonts w:ascii="Arial" w:eastAsia="Arial" w:hAnsi="Arial" w:cs="Arial"/>
          <w:color w:val="000000" w:themeColor="text1"/>
          <w:sz w:val="20"/>
          <w:szCs w:val="20"/>
        </w:rPr>
        <w:t xml:space="preserve"> P, Gregoire M, </w:t>
      </w:r>
      <w:proofErr w:type="spellStart"/>
      <w:r w:rsidRPr="00EB127B">
        <w:rPr>
          <w:rFonts w:ascii="Arial" w:eastAsia="Arial" w:hAnsi="Arial" w:cs="Arial"/>
          <w:color w:val="000000" w:themeColor="text1"/>
          <w:sz w:val="20"/>
          <w:szCs w:val="20"/>
        </w:rPr>
        <w:t>Mancheño</w:t>
      </w:r>
      <w:proofErr w:type="spellEnd"/>
      <w:r w:rsidRPr="00EB127B">
        <w:rPr>
          <w:rFonts w:ascii="Arial" w:eastAsia="Arial" w:hAnsi="Arial" w:cs="Arial"/>
          <w:color w:val="000000" w:themeColor="text1"/>
          <w:sz w:val="20"/>
          <w:szCs w:val="20"/>
        </w:rPr>
        <w:t xml:space="preserve">-Losa M, Hernández-Jiménez P, Meléndez-Carmona MÁ, Casals V, Roberts JA, Rigo-Bonnin R, Murillo O. Efficacy, safety, and population pharmacokinetics of a single 1500mg dose of dalbavancin for short-term therapy in patients with chronic prosthetic joint infections. </w:t>
      </w:r>
      <w:proofErr w:type="spellStart"/>
      <w:r w:rsidRPr="00EB127B">
        <w:rPr>
          <w:rFonts w:ascii="Arial" w:eastAsia="Arial" w:hAnsi="Arial" w:cs="Arial"/>
          <w:color w:val="000000" w:themeColor="text1"/>
          <w:sz w:val="20"/>
          <w:szCs w:val="20"/>
        </w:rPr>
        <w:t>Antimicrob</w:t>
      </w:r>
      <w:proofErr w:type="spellEnd"/>
      <w:r w:rsidRPr="00EB127B">
        <w:rPr>
          <w:rFonts w:ascii="Arial" w:eastAsia="Arial" w:hAnsi="Arial" w:cs="Arial"/>
          <w:color w:val="000000" w:themeColor="text1"/>
          <w:sz w:val="20"/>
          <w:szCs w:val="20"/>
        </w:rPr>
        <w:t xml:space="preserve"> Agents </w:t>
      </w:r>
      <w:proofErr w:type="spellStart"/>
      <w:r w:rsidRPr="00EB127B">
        <w:rPr>
          <w:rFonts w:ascii="Arial" w:eastAsia="Arial" w:hAnsi="Arial" w:cs="Arial"/>
          <w:color w:val="000000" w:themeColor="text1"/>
          <w:sz w:val="20"/>
          <w:szCs w:val="20"/>
        </w:rPr>
        <w:t>Chemother</w:t>
      </w:r>
      <w:proofErr w:type="spellEnd"/>
      <w:r w:rsidRPr="00EB127B">
        <w:rPr>
          <w:rFonts w:ascii="Arial" w:eastAsia="Arial" w:hAnsi="Arial" w:cs="Arial"/>
          <w:color w:val="000000" w:themeColor="text1"/>
          <w:sz w:val="20"/>
          <w:szCs w:val="20"/>
        </w:rPr>
        <w:t xml:space="preserve">. 2025 Oct </w:t>
      </w:r>
      <w:proofErr w:type="gramStart"/>
      <w:r w:rsidRPr="00EB127B">
        <w:rPr>
          <w:rFonts w:ascii="Arial" w:eastAsia="Arial" w:hAnsi="Arial" w:cs="Arial"/>
          <w:color w:val="000000" w:themeColor="text1"/>
          <w:sz w:val="20"/>
          <w:szCs w:val="20"/>
        </w:rPr>
        <w:t>17:e</w:t>
      </w:r>
      <w:proofErr w:type="gramEnd"/>
      <w:r w:rsidRPr="00EB127B">
        <w:rPr>
          <w:rFonts w:ascii="Arial" w:eastAsia="Arial" w:hAnsi="Arial" w:cs="Arial"/>
          <w:color w:val="000000" w:themeColor="text1"/>
          <w:sz w:val="20"/>
          <w:szCs w:val="20"/>
        </w:rPr>
        <w:t xml:space="preserve">0077325. </w:t>
      </w:r>
      <w:proofErr w:type="spellStart"/>
      <w:r w:rsidRPr="00EB127B">
        <w:rPr>
          <w:rFonts w:ascii="Arial" w:eastAsia="Arial" w:hAnsi="Arial" w:cs="Arial"/>
          <w:color w:val="000000" w:themeColor="text1"/>
          <w:sz w:val="20"/>
          <w:szCs w:val="20"/>
        </w:rPr>
        <w:t>doi</w:t>
      </w:r>
      <w:proofErr w:type="spellEnd"/>
      <w:r w:rsidRPr="00EB127B">
        <w:rPr>
          <w:rFonts w:ascii="Arial" w:eastAsia="Arial" w:hAnsi="Arial" w:cs="Arial"/>
          <w:color w:val="000000" w:themeColor="text1"/>
          <w:sz w:val="20"/>
          <w:szCs w:val="20"/>
        </w:rPr>
        <w:t xml:space="preserve">: 10.1128/aac.00773-25. </w:t>
      </w:r>
      <w:proofErr w:type="spellStart"/>
      <w:r w:rsidRPr="00EB127B">
        <w:rPr>
          <w:rFonts w:ascii="Arial" w:eastAsia="Arial" w:hAnsi="Arial" w:cs="Arial"/>
          <w:color w:val="000000" w:themeColor="text1"/>
          <w:sz w:val="20"/>
          <w:szCs w:val="20"/>
        </w:rPr>
        <w:t>Epub</w:t>
      </w:r>
      <w:proofErr w:type="spellEnd"/>
      <w:r w:rsidRPr="00EB127B">
        <w:rPr>
          <w:rFonts w:ascii="Arial" w:eastAsia="Arial" w:hAnsi="Arial" w:cs="Arial"/>
          <w:color w:val="000000" w:themeColor="text1"/>
          <w:sz w:val="20"/>
          <w:szCs w:val="20"/>
        </w:rPr>
        <w:t xml:space="preserve"> ahead of print. PMID: 41105523.</w:t>
      </w:r>
    </w:p>
    <w:p w14:paraId="4E3F4144" w14:textId="1F3BA042" w:rsidR="00874D8B" w:rsidRDefault="00874D8B" w:rsidP="558DF735">
      <w:pPr>
        <w:rPr>
          <w:rFonts w:ascii="Arial" w:eastAsia="Arial" w:hAnsi="Arial" w:cs="Arial"/>
          <w:color w:val="000000" w:themeColor="text1"/>
          <w:sz w:val="20"/>
          <w:szCs w:val="20"/>
        </w:rPr>
      </w:pPr>
      <w:r w:rsidRPr="00EB127B">
        <w:rPr>
          <w:rFonts w:ascii="Arial" w:eastAsia="Arial" w:hAnsi="Arial" w:cs="Arial"/>
          <w:color w:val="000000" w:themeColor="text1"/>
          <w:sz w:val="20"/>
          <w:szCs w:val="20"/>
        </w:rPr>
        <w:t xml:space="preserve">7, </w:t>
      </w:r>
      <w:r w:rsidR="00EB127B" w:rsidRPr="00EB127B">
        <w:rPr>
          <w:rFonts w:ascii="Arial" w:eastAsia="Arial" w:hAnsi="Arial" w:cs="Arial"/>
          <w:color w:val="000000" w:themeColor="text1"/>
          <w:sz w:val="20"/>
          <w:szCs w:val="20"/>
        </w:rPr>
        <w:t xml:space="preserve">Chiriac U, Liebchen U, Frey OR, Lanzinger H, Klein S, Hoppe-Tichy T, Karck M, Meyer A, Morath B. Model-Based Dose Identification of Dalbavancin for Long-Term Suppressive Outpatient Treatment of Ventricular Assist Device Infections. Antibiotics (Basel). 2024 Nov 20;13(11):1103. </w:t>
      </w:r>
      <w:proofErr w:type="spellStart"/>
      <w:r w:rsidR="00EB127B" w:rsidRPr="00EB127B">
        <w:rPr>
          <w:rFonts w:ascii="Arial" w:eastAsia="Arial" w:hAnsi="Arial" w:cs="Arial"/>
          <w:color w:val="000000" w:themeColor="text1"/>
          <w:sz w:val="20"/>
          <w:szCs w:val="20"/>
        </w:rPr>
        <w:t>doi</w:t>
      </w:r>
      <w:proofErr w:type="spellEnd"/>
      <w:r w:rsidR="00EB127B" w:rsidRPr="00EB127B">
        <w:rPr>
          <w:rFonts w:ascii="Arial" w:eastAsia="Arial" w:hAnsi="Arial" w:cs="Arial"/>
          <w:color w:val="000000" w:themeColor="text1"/>
          <w:sz w:val="20"/>
          <w:szCs w:val="20"/>
        </w:rPr>
        <w:t>: 10.3390/antibiotics13111103. PMID: 39596796; PMCID: PMC11591545.</w:t>
      </w:r>
    </w:p>
    <w:p w14:paraId="3140EF6E" w14:textId="77777777" w:rsidR="00A722B6" w:rsidRDefault="00A722B6" w:rsidP="558DF735">
      <w:pPr>
        <w:rPr>
          <w:rFonts w:ascii="Arial" w:eastAsia="Arial" w:hAnsi="Arial" w:cs="Arial"/>
          <w:color w:val="000000" w:themeColor="text1"/>
          <w:sz w:val="20"/>
          <w:szCs w:val="20"/>
        </w:rPr>
      </w:pPr>
    </w:p>
    <w:p w14:paraId="3B5EE37A" w14:textId="77777777" w:rsidR="00A722B6" w:rsidRDefault="00A722B6" w:rsidP="558DF735">
      <w:pPr>
        <w:rPr>
          <w:rFonts w:ascii="Arial" w:eastAsia="Arial" w:hAnsi="Arial" w:cs="Arial"/>
          <w:color w:val="000000" w:themeColor="text1"/>
          <w:sz w:val="20"/>
          <w:szCs w:val="20"/>
        </w:rPr>
      </w:pPr>
    </w:p>
    <w:p w14:paraId="18F93470" w14:textId="7BEEB9BA" w:rsidR="00A722B6" w:rsidRDefault="00A722B6" w:rsidP="558DF735">
      <w:pPr>
        <w:rPr>
          <w:rFonts w:ascii="Arial" w:eastAsia="Arial" w:hAnsi="Arial" w:cs="Arial"/>
          <w:color w:val="000000" w:themeColor="text1"/>
          <w:sz w:val="20"/>
          <w:szCs w:val="20"/>
          <w:lang w:val="it-IT"/>
        </w:rPr>
      </w:pPr>
    </w:p>
    <w:p w14:paraId="1DA9071C" w14:textId="77777777" w:rsidR="00A722B6" w:rsidRPr="00A722B6" w:rsidRDefault="00A722B6" w:rsidP="558DF735">
      <w:pPr>
        <w:rPr>
          <w:rFonts w:ascii="Arial" w:eastAsia="Arial" w:hAnsi="Arial" w:cs="Arial"/>
          <w:color w:val="000000" w:themeColor="text1"/>
          <w:sz w:val="20"/>
          <w:szCs w:val="20"/>
          <w:lang w:val="it-IT"/>
        </w:rPr>
      </w:pPr>
    </w:p>
    <w:sectPr w:rsidR="00A722B6" w:rsidRPr="00A722B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26D6D"/>
    <w:multiLevelType w:val="multilevel"/>
    <w:tmpl w:val="77D22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46024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F6C6A4"/>
    <w:rsid w:val="0004492C"/>
    <w:rsid w:val="00053967"/>
    <w:rsid w:val="00055056"/>
    <w:rsid w:val="00096F08"/>
    <w:rsid w:val="000E33F0"/>
    <w:rsid w:val="00111A05"/>
    <w:rsid w:val="00137EF3"/>
    <w:rsid w:val="00185276"/>
    <w:rsid w:val="001C01B9"/>
    <w:rsid w:val="001C3F1C"/>
    <w:rsid w:val="00231ED4"/>
    <w:rsid w:val="002424A0"/>
    <w:rsid w:val="00275D76"/>
    <w:rsid w:val="00281E6D"/>
    <w:rsid w:val="002911AF"/>
    <w:rsid w:val="00297BA7"/>
    <w:rsid w:val="002A13F0"/>
    <w:rsid w:val="002A1AEF"/>
    <w:rsid w:val="002D22E5"/>
    <w:rsid w:val="002D348C"/>
    <w:rsid w:val="00303D5B"/>
    <w:rsid w:val="003521D6"/>
    <w:rsid w:val="003736A0"/>
    <w:rsid w:val="00390809"/>
    <w:rsid w:val="00402E2D"/>
    <w:rsid w:val="00407633"/>
    <w:rsid w:val="004632B4"/>
    <w:rsid w:val="00474B36"/>
    <w:rsid w:val="00476EC1"/>
    <w:rsid w:val="004A1846"/>
    <w:rsid w:val="004C7352"/>
    <w:rsid w:val="004D3A2B"/>
    <w:rsid w:val="004D3F7F"/>
    <w:rsid w:val="0051319E"/>
    <w:rsid w:val="0053498F"/>
    <w:rsid w:val="00591813"/>
    <w:rsid w:val="00595EC8"/>
    <w:rsid w:val="005A480F"/>
    <w:rsid w:val="005D2F97"/>
    <w:rsid w:val="00630B4F"/>
    <w:rsid w:val="0063417E"/>
    <w:rsid w:val="006372C5"/>
    <w:rsid w:val="00663B17"/>
    <w:rsid w:val="006842AF"/>
    <w:rsid w:val="006B10EB"/>
    <w:rsid w:val="00791233"/>
    <w:rsid w:val="007A6937"/>
    <w:rsid w:val="007B5636"/>
    <w:rsid w:val="007C20CF"/>
    <w:rsid w:val="007D4A01"/>
    <w:rsid w:val="007E3360"/>
    <w:rsid w:val="007F11AF"/>
    <w:rsid w:val="0080097B"/>
    <w:rsid w:val="00874D8B"/>
    <w:rsid w:val="00894911"/>
    <w:rsid w:val="008F7008"/>
    <w:rsid w:val="00912130"/>
    <w:rsid w:val="00942C98"/>
    <w:rsid w:val="00964B6E"/>
    <w:rsid w:val="009918D6"/>
    <w:rsid w:val="009A57ED"/>
    <w:rsid w:val="009B1164"/>
    <w:rsid w:val="009C7E7A"/>
    <w:rsid w:val="009E49BE"/>
    <w:rsid w:val="009F67DA"/>
    <w:rsid w:val="00A310A2"/>
    <w:rsid w:val="00A722B6"/>
    <w:rsid w:val="00AA047C"/>
    <w:rsid w:val="00AA39DF"/>
    <w:rsid w:val="00AF5518"/>
    <w:rsid w:val="00B14178"/>
    <w:rsid w:val="00B33B54"/>
    <w:rsid w:val="00B3648F"/>
    <w:rsid w:val="00B566DD"/>
    <w:rsid w:val="00B60805"/>
    <w:rsid w:val="00B633E5"/>
    <w:rsid w:val="00B65F04"/>
    <w:rsid w:val="00B87F56"/>
    <w:rsid w:val="00C92068"/>
    <w:rsid w:val="00CA4F99"/>
    <w:rsid w:val="00CE4590"/>
    <w:rsid w:val="00CF6157"/>
    <w:rsid w:val="00D06CFC"/>
    <w:rsid w:val="00D452A6"/>
    <w:rsid w:val="00D77BA0"/>
    <w:rsid w:val="00D8165D"/>
    <w:rsid w:val="00D928A6"/>
    <w:rsid w:val="00DF4B97"/>
    <w:rsid w:val="00E47D89"/>
    <w:rsid w:val="00E64237"/>
    <w:rsid w:val="00E876FC"/>
    <w:rsid w:val="00EA1103"/>
    <w:rsid w:val="00EA1337"/>
    <w:rsid w:val="00EB127B"/>
    <w:rsid w:val="00EF6A0B"/>
    <w:rsid w:val="00F06116"/>
    <w:rsid w:val="00F74CDE"/>
    <w:rsid w:val="00FB5E8B"/>
    <w:rsid w:val="01F54433"/>
    <w:rsid w:val="0A0A81E5"/>
    <w:rsid w:val="0AD5E30E"/>
    <w:rsid w:val="0DA0998B"/>
    <w:rsid w:val="0F5AD03E"/>
    <w:rsid w:val="0F8BFF1C"/>
    <w:rsid w:val="0F96EDFF"/>
    <w:rsid w:val="14EEABB2"/>
    <w:rsid w:val="14F6C6A4"/>
    <w:rsid w:val="18A70740"/>
    <w:rsid w:val="18AD46BF"/>
    <w:rsid w:val="1A08E05D"/>
    <w:rsid w:val="1B50DE17"/>
    <w:rsid w:val="1CA6BEA0"/>
    <w:rsid w:val="1D518B02"/>
    <w:rsid w:val="2040A410"/>
    <w:rsid w:val="212A1ADC"/>
    <w:rsid w:val="2BE8B1FA"/>
    <w:rsid w:val="2F3279BC"/>
    <w:rsid w:val="2F63F956"/>
    <w:rsid w:val="312DFC2A"/>
    <w:rsid w:val="31A5A864"/>
    <w:rsid w:val="320698BA"/>
    <w:rsid w:val="37ACD007"/>
    <w:rsid w:val="3B4A8BC7"/>
    <w:rsid w:val="3DA763F7"/>
    <w:rsid w:val="3F1DB5C6"/>
    <w:rsid w:val="3FAD2CEC"/>
    <w:rsid w:val="421DD7B0"/>
    <w:rsid w:val="42C84EC2"/>
    <w:rsid w:val="4674C27A"/>
    <w:rsid w:val="488755A7"/>
    <w:rsid w:val="4A30C9F4"/>
    <w:rsid w:val="4EB4CA43"/>
    <w:rsid w:val="4FCE8F63"/>
    <w:rsid w:val="53C4DF99"/>
    <w:rsid w:val="557067B2"/>
    <w:rsid w:val="558DF735"/>
    <w:rsid w:val="56E42E5B"/>
    <w:rsid w:val="5754F5EA"/>
    <w:rsid w:val="5B581C57"/>
    <w:rsid w:val="5D69B92C"/>
    <w:rsid w:val="5E8439FF"/>
    <w:rsid w:val="5FD9C35A"/>
    <w:rsid w:val="600F061D"/>
    <w:rsid w:val="60986315"/>
    <w:rsid w:val="622168CB"/>
    <w:rsid w:val="623E1BD5"/>
    <w:rsid w:val="671DD521"/>
    <w:rsid w:val="68E69071"/>
    <w:rsid w:val="69F6FDBC"/>
    <w:rsid w:val="6A1D9189"/>
    <w:rsid w:val="6A2F23E7"/>
    <w:rsid w:val="6C01749D"/>
    <w:rsid w:val="717F6E5A"/>
    <w:rsid w:val="7644BAD1"/>
    <w:rsid w:val="7882A856"/>
    <w:rsid w:val="7A3BB0FC"/>
    <w:rsid w:val="7DAF5CB3"/>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C6A4"/>
  <w15:chartTrackingRefBased/>
  <w15:docId w15:val="{77B4BE16-0558-46C4-BACC-31542358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1C3F1C"/>
    <w:rPr>
      <w:color w:val="467886" w:themeColor="hyperlink"/>
      <w:u w:val="single"/>
    </w:rPr>
  </w:style>
  <w:style w:type="character" w:styleId="Menzionenonrisolta">
    <w:name w:val="Unresolved Mention"/>
    <w:basedOn w:val="Carpredefinitoparagrafo"/>
    <w:uiPriority w:val="99"/>
    <w:semiHidden/>
    <w:unhideWhenUsed/>
    <w:rsid w:val="001C3F1C"/>
    <w:rPr>
      <w:color w:val="605E5C"/>
      <w:shd w:val="clear" w:color="auto" w:fill="E1DFDD"/>
    </w:rPr>
  </w:style>
  <w:style w:type="paragraph" w:styleId="NormaleWeb">
    <w:name w:val="Normal (Web)"/>
    <w:basedOn w:val="Normale"/>
    <w:uiPriority w:val="99"/>
    <w:unhideWhenUsed/>
    <w:rsid w:val="00D452A6"/>
    <w:pPr>
      <w:spacing w:before="100" w:beforeAutospacing="1" w:after="100" w:afterAutospacing="1" w:line="240" w:lineRule="auto"/>
    </w:pPr>
    <w:rPr>
      <w:rFonts w:ascii="Times New Roman" w:eastAsia="Times New Roman" w:hAnsi="Times New Roman" w:cs="Times New Roman"/>
    </w:rPr>
  </w:style>
  <w:style w:type="character" w:styleId="Testosegnaposto">
    <w:name w:val="Placeholder Text"/>
    <w:basedOn w:val="Carpredefinitoparagrafo"/>
    <w:uiPriority w:val="99"/>
    <w:semiHidden/>
    <w:rsid w:val="007A6937"/>
    <w:rPr>
      <w:color w:val="666666"/>
    </w:rPr>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lang w:val="en-GB"/>
    </w:rPr>
  </w:style>
  <w:style w:type="character" w:styleId="Rimandocommento">
    <w:name w:val="annotation reference"/>
    <w:basedOn w:val="Carpredefinitoparagrafo"/>
    <w:uiPriority w:val="99"/>
    <w:semiHidden/>
    <w:unhideWhenUsed/>
    <w:rPr>
      <w:sz w:val="16"/>
      <w:szCs w:val="16"/>
    </w:rPr>
  </w:style>
  <w:style w:type="character" w:styleId="Collegamentovisitato">
    <w:name w:val="FollowedHyperlink"/>
    <w:basedOn w:val="Carpredefinitoparagrafo"/>
    <w:uiPriority w:val="99"/>
    <w:semiHidden/>
    <w:unhideWhenUsed/>
    <w:rsid w:val="005A480F"/>
    <w:rPr>
      <w:color w:val="96607D" w:themeColor="followedHyperlink"/>
      <w:u w:val="single"/>
    </w:rPr>
  </w:style>
  <w:style w:type="paragraph" w:styleId="Revisione">
    <w:name w:val="Revision"/>
    <w:hidden/>
    <w:uiPriority w:val="99"/>
    <w:semiHidden/>
    <w:rsid w:val="007D4A01"/>
    <w:pPr>
      <w:spacing w:after="0" w:line="240" w:lineRule="auto"/>
    </w:pPr>
    <w:rPr>
      <w:lang w:val="en-GB"/>
    </w:rPr>
  </w:style>
  <w:style w:type="paragraph" w:styleId="Soggettocommento">
    <w:name w:val="annotation subject"/>
    <w:basedOn w:val="Testocommento"/>
    <w:next w:val="Testocommento"/>
    <w:link w:val="SoggettocommentoCarattere"/>
    <w:uiPriority w:val="99"/>
    <w:semiHidden/>
    <w:unhideWhenUsed/>
    <w:rsid w:val="007D4A01"/>
    <w:rPr>
      <w:b/>
      <w:bCs/>
    </w:rPr>
  </w:style>
  <w:style w:type="character" w:customStyle="1" w:styleId="SoggettocommentoCarattere">
    <w:name w:val="Soggetto commento Carattere"/>
    <w:basedOn w:val="TestocommentoCarattere"/>
    <w:link w:val="Soggettocommento"/>
    <w:uiPriority w:val="99"/>
    <w:semiHidden/>
    <w:rsid w:val="007D4A01"/>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k96vt-matteo-morra.shinyapps.io/Dalbavincin/" TargetMode="External"/><Relationship Id="rId11" Type="http://schemas.openxmlformats.org/officeDocument/2006/relationships/theme" Target="theme/theme1.xml"/><Relationship Id="rId5" Type="http://schemas.openxmlformats.org/officeDocument/2006/relationships/hyperlink" Target="https://pubmed.ncbi.nlm.nih.gov/?term=Gregoire+M&amp;cauthor_id=4110552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4</Pages>
  <Words>980</Words>
  <Characters>5586</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Morra</dc:creator>
  <cp:keywords/>
  <dc:description/>
  <cp:lastModifiedBy>Matteo Morra</cp:lastModifiedBy>
  <cp:revision>88</cp:revision>
  <dcterms:created xsi:type="dcterms:W3CDTF">2025-11-21T15:10:00Z</dcterms:created>
  <dcterms:modified xsi:type="dcterms:W3CDTF">2026-04-07T18:33:00Z</dcterms:modified>
</cp:coreProperties>
</file>