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mbria" w:cs="Cambria" w:eastAsia="Cambria" w:hAnsi="Cambria"/>
          <w:color w:val="6B7280"/>
          <w:sz w:val="16"/>
          <w:szCs w:val="16"/>
        </w:rPr>
        <w:t xml:space="preserve">Universidad Alberto Hurtado · MBA 2026 · Evaluación de Proyectos · Prof. Mauricio Zúñiga</w:t>
      </w:r>
    </w:p>
    <w:p>
      <w:pPr>
        <w:spacing w:after="40"/>
        <w:jc w:val="center"/>
      </w:pPr>
      <w:r>
        <w:rPr>
          <w:rFonts w:ascii="Cambria" w:cs="Cambria" w:eastAsia="Cambria" w:hAnsi="Cambria"/>
          <w:b/>
          <w:bCs/>
          <w:sz w:val="28"/>
          <w:szCs w:val="28"/>
        </w:rPr>
        <w:t xml:space="preserve">EVALUACIÓN DE PROYECTO DE INVERSIÓN</w:t>
      </w:r>
    </w:p>
    <w:p>
      <w:pPr>
        <w:spacing w:after="200"/>
        <w:jc w:val="center"/>
      </w:pPr>
      <w:r>
        <w:rPr>
          <w:rFonts w:ascii="Cambria" w:cs="Cambria" w:eastAsia="Cambria" w:hAnsi="Cambria"/>
          <w:i/>
          <w:iCs/>
          <w:color w:val="4B5563"/>
          <w:sz w:val="22"/>
          <w:szCs w:val="22"/>
        </w:rPr>
        <w:t xml:space="preserve">Cafetería de combo único envasado · Análisis de localización en la Región Metropolitana</w:t>
      </w:r>
    </w:p>
    <w:p>
      <w:pPr>
        <w:pStyle w:val="Heading1"/>
        <w:spacing w:after="80" w:before="200"/>
      </w:pPr>
      <w:r>
        <w:rPr>
          <w:rFonts w:ascii="Cambria" w:cs="Cambria" w:eastAsia="Cambria" w:hAnsi="Cambria"/>
          <w:b/>
          <w:bCs/>
          <w:color w:val="1F2937"/>
          <w:sz w:val="24"/>
          <w:szCs w:val="24"/>
        </w:rPr>
        <w:t xml:space="preserve">1. Resumen ejecutivo</w:t>
      </w:r>
    </w:p>
    <w:p>
      <w:pPr>
        <w:spacing w:after="80" w:line="280"/>
        <w:jc w:val="both"/>
      </w:pPr>
      <w:r>
        <w:rPr>
          <w:rFonts w:ascii="Calibri" w:cs="Calibri" w:eastAsia="Calibri" w:hAnsi="Calibri"/>
          <w:sz w:val="20"/>
          <w:szCs w:val="20"/>
        </w:rPr>
        <w:t xml:space="preserve">Este informe evalúa la factibilidad económica de un proyecto de cafetería de formato compacto (30-35 m²) que comercializa un combo único cerrado: espresso preparado al momento más un alimento envasado del proveedor. Se evaluaron siete localizaciones candidatas en la Región Metropolitana de Santiago aplicando un modelo financiero diseñado para el retail food chileno: tasa de descuento de 14% por CAPM (β 1,3 y ERP 6,5% según Damodaran 2024), valor terminal por múltiplo EBITDA de 3.5x, comisión de tarjetas 2.8% sobre ingresos, régimen tributario Pro PYME 14 D N° 3, y proyección de demanda como producto del flujo peatonal por tasa de captura por penalización por competencia por curva de ramp-up año a año.</w:t>
      </w:r>
    </w:p>
    <w:p>
      <w:pPr>
        <w:spacing w:after="80" w:line="280"/>
        <w:jc w:val="both"/>
      </w:pPr>
      <w:r>
        <w:rPr>
          <w:rFonts w:ascii="Calibri" w:cs="Calibri" w:eastAsia="Calibri" w:hAnsi="Calibri"/>
          <w:b/>
          <w:bCs/>
          <w:sz w:val="20"/>
          <w:szCs w:val="20"/>
        </w:rPr>
        <w:t xml:space="preserve">Resultado: El Golf · Las Condes es la única localización con score de viabilidad superior a 60 (65/100), VAN base de CLP 107.2 M, TIR de 49.0% y payback de 3.21 años. Las dos siguientes (Providencia · Pedro de Valdivia y Vitacura · Alonso de Córdova) presentan VAN positivo pero marginal y no resisten el escenario pesimista. La recomendación es ejecutar el proyecto en El Golf condicionado a un estudio primario de demanda en el local específico antes de la firma del contrato, junto con un plan de contingencia operacional explícito para enfrentar caídas del 35-40% en demanda.</w:t>
      </w:r>
    </w:p>
    <w:tbl>
      <w:tblPr>
        <w:tblW w:type="pct" w:w="100%"/>
        <w:tblBorders>
          <w:top w:val="single" w:color="111827" w:sz="4"/>
          <w:left w:val="none" w:color="FFFFFF" w:sz="0"/>
          <w:bottom w:val="single" w:color="111827" w:sz="4"/>
          <w:right w:val="none" w:color="FFFFFF" w:sz="0"/>
          <w:insideH w:val="single" w:color="D1D5DB" w:sz="1"/>
          <w:insideV w:val="none" w:color="FFFFFF" w:sz="0"/>
        </w:tblBorders>
      </w:tblPr>
      <w:tblGrid>
        <w:gridCol w:w="100"/>
        <w:gridCol w:w="100"/>
        <w:gridCol w:w="100"/>
        <w:gridCol w:w="100"/>
      </w:tblGrid>
      <w:tr>
        <w:trPr>
          <w:tblHeader/>
        </w:trPr>
        <w:tc>
          <w:tcPr>
            <w:shd w:fill="F3F4F6" w:color="auto" w:val="solid"/>
            <w:tcMar>
              <w:top w:type="dxa" w:w="60"/>
              <w:left w:type="dxa" w:w="80"/>
              <w:bottom w:type="dxa" w:w="60"/>
              <w:right w:type="dxa" w:w="80"/>
            </w:tcMar>
          </w:tcPr>
          <w:p>
            <w:r>
              <w:rPr>
                <w:rFonts w:ascii="Calibri" w:cs="Calibri" w:eastAsia="Calibri" w:hAnsi="Calibri"/>
                <w:b/>
                <w:bCs/>
                <w:sz w:val="16"/>
                <w:szCs w:val="16"/>
              </w:rPr>
              <w:t xml:space="preserve">Indicador</w:t>
            </w:r>
          </w:p>
        </w:tc>
        <w:tc>
          <w:tcPr>
            <w:shd w:fill="F3F4F6" w:color="auto" w:val="solid"/>
            <w:tcMar>
              <w:top w:type="dxa" w:w="60"/>
              <w:left w:type="dxa" w:w="80"/>
              <w:bottom w:type="dxa" w:w="60"/>
              <w:right w:type="dxa" w:w="80"/>
            </w:tcMar>
          </w:tcPr>
          <w:p>
            <w:r>
              <w:rPr>
                <w:rFonts w:ascii="Calibri" w:cs="Calibri" w:eastAsia="Calibri" w:hAnsi="Calibri"/>
                <w:b/>
                <w:bCs/>
                <w:sz w:val="16"/>
                <w:szCs w:val="16"/>
              </w:rPr>
              <w:t xml:space="preserve">Valor</w:t>
            </w:r>
          </w:p>
        </w:tc>
        <w:tc>
          <w:tcPr>
            <w:shd w:fill="F3F4F6" w:color="auto" w:val="solid"/>
            <w:tcMar>
              <w:top w:type="dxa" w:w="60"/>
              <w:left w:type="dxa" w:w="80"/>
              <w:bottom w:type="dxa" w:w="60"/>
              <w:right w:type="dxa" w:w="80"/>
            </w:tcMar>
          </w:tcPr>
          <w:p>
            <w:r>
              <w:rPr>
                <w:rFonts w:ascii="Calibri" w:cs="Calibri" w:eastAsia="Calibri" w:hAnsi="Calibri"/>
                <w:b/>
                <w:bCs/>
                <w:sz w:val="16"/>
                <w:szCs w:val="16"/>
              </w:rPr>
              <w:t xml:space="preserve">Indicador</w:t>
            </w:r>
          </w:p>
        </w:tc>
        <w:tc>
          <w:tcPr>
            <w:shd w:fill="F3F4F6" w:color="auto" w:val="solid"/>
            <w:tcMar>
              <w:top w:type="dxa" w:w="60"/>
              <w:left w:type="dxa" w:w="80"/>
              <w:bottom w:type="dxa" w:w="60"/>
              <w:right w:type="dxa" w:w="80"/>
            </w:tcMar>
          </w:tcPr>
          <w:p>
            <w:r>
              <w:rPr>
                <w:rFonts w:ascii="Calibri" w:cs="Calibri" w:eastAsia="Calibri" w:hAnsi="Calibri"/>
                <w:b/>
                <w:bCs/>
                <w:sz w:val="16"/>
                <w:szCs w:val="16"/>
              </w:rPr>
              <w:t xml:space="preserve">Valor</w:t>
            </w:r>
          </w:p>
        </w:tc>
      </w:tr>
      <w:tr>
        <w:trPr>
          <w:tblHeader w:val="false"/>
        </w:trPr>
        <w:tc>
          <w:tcPr>
            <w:tcMar>
              <w:top w:type="dxa" w:w="60"/>
              <w:left w:type="dxa" w:w="80"/>
              <w:bottom w:type="dxa" w:w="60"/>
              <w:right w:type="dxa" w:w="80"/>
            </w:tcMar>
          </w:tcPr>
          <w:p>
            <w:r>
              <w:rPr>
                <w:rFonts w:ascii="Calibri" w:cs="Calibri" w:eastAsia="Calibri" w:hAnsi="Calibri"/>
                <w:b w:val="false"/>
                <w:bCs w:val="false"/>
                <w:sz w:val="16"/>
                <w:szCs w:val="16"/>
              </w:rPr>
              <w:t xml:space="preserve">Ubicación recomendada</w:t>
            </w:r>
          </w:p>
        </w:tc>
        <w:tc>
          <w:tcPr>
            <w:tcMar>
              <w:top w:type="dxa" w:w="60"/>
              <w:left w:type="dxa" w:w="80"/>
              <w:bottom w:type="dxa" w:w="60"/>
              <w:right w:type="dxa" w:w="80"/>
            </w:tcMar>
          </w:tcPr>
          <w:p>
            <w:r>
              <w:rPr>
                <w:rFonts w:ascii="Calibri" w:cs="Calibri" w:eastAsia="Calibri" w:hAnsi="Calibri"/>
                <w:b w:val="false"/>
                <w:bCs w:val="false"/>
                <w:sz w:val="16"/>
                <w:szCs w:val="16"/>
              </w:rPr>
              <w:t xml:space="preserve">El Golf · Las Condes</w:t>
            </w:r>
          </w:p>
        </w:tc>
        <w:tc>
          <w:tcPr>
            <w:tcMar>
              <w:top w:type="dxa" w:w="60"/>
              <w:left w:type="dxa" w:w="80"/>
              <w:bottom w:type="dxa" w:w="60"/>
              <w:right w:type="dxa" w:w="80"/>
            </w:tcMar>
          </w:tcPr>
          <w:p>
            <w:r>
              <w:rPr>
                <w:rFonts w:ascii="Calibri" w:cs="Calibri" w:eastAsia="Calibri" w:hAnsi="Calibri"/>
                <w:b w:val="false"/>
                <w:bCs w:val="false"/>
                <w:sz w:val="16"/>
                <w:szCs w:val="16"/>
              </w:rPr>
              <w:t xml:space="preserve">Inversión total</w:t>
            </w:r>
          </w:p>
        </w:tc>
        <w:tc>
          <w:tcPr>
            <w:tcMar>
              <w:top w:type="dxa" w:w="60"/>
              <w:left w:type="dxa" w:w="80"/>
              <w:bottom w:type="dxa" w:w="60"/>
              <w:right w:type="dxa" w:w="80"/>
            </w:tcMar>
          </w:tcPr>
          <w:p>
            <w:r>
              <w:rPr>
                <w:rFonts w:ascii="Calibri" w:cs="Calibri" w:eastAsia="Calibri" w:hAnsi="Calibri"/>
                <w:b w:val="false"/>
                <w:bCs w:val="false"/>
                <w:sz w:val="16"/>
                <w:szCs w:val="16"/>
              </w:rPr>
              <w:t xml:space="preserve">CLP 49.0 M</w:t>
            </w:r>
          </w:p>
        </w:tc>
      </w:tr>
      <w:tr>
        <w:trPr>
          <w:tblHeader w:val="false"/>
        </w:trPr>
        <w:tc>
          <w:tcPr>
            <w:tcMar>
              <w:top w:type="dxa" w:w="60"/>
              <w:left w:type="dxa" w:w="80"/>
              <w:bottom w:type="dxa" w:w="60"/>
              <w:right w:type="dxa" w:w="80"/>
            </w:tcMar>
          </w:tcPr>
          <w:p>
            <w:r>
              <w:rPr>
                <w:rFonts w:ascii="Calibri" w:cs="Calibri" w:eastAsia="Calibri" w:hAnsi="Calibri"/>
                <w:b w:val="false"/>
                <w:bCs w:val="false"/>
                <w:sz w:val="16"/>
                <w:szCs w:val="16"/>
              </w:rPr>
              <w:t xml:space="preserve">VAN base</w:t>
            </w:r>
          </w:p>
        </w:tc>
        <w:tc>
          <w:tcPr>
            <w:tcMar>
              <w:top w:type="dxa" w:w="60"/>
              <w:left w:type="dxa" w:w="80"/>
              <w:bottom w:type="dxa" w:w="60"/>
              <w:right w:type="dxa" w:w="80"/>
            </w:tcMar>
          </w:tcPr>
          <w:p>
            <w:r>
              <w:rPr>
                <w:rFonts w:ascii="Calibri" w:cs="Calibri" w:eastAsia="Calibri" w:hAnsi="Calibri"/>
                <w:b w:val="false"/>
                <w:bCs w:val="false"/>
                <w:sz w:val="16"/>
                <w:szCs w:val="16"/>
              </w:rPr>
              <w:t xml:space="preserve">CLP 107.2 M</w:t>
            </w:r>
          </w:p>
        </w:tc>
        <w:tc>
          <w:tcPr>
            <w:tcMar>
              <w:top w:type="dxa" w:w="60"/>
              <w:left w:type="dxa" w:w="80"/>
              <w:bottom w:type="dxa" w:w="60"/>
              <w:right w:type="dxa" w:w="80"/>
            </w:tcMar>
          </w:tcPr>
          <w:p>
            <w:r>
              <w:rPr>
                <w:rFonts w:ascii="Calibri" w:cs="Calibri" w:eastAsia="Calibri" w:hAnsi="Calibri"/>
                <w:b w:val="false"/>
                <w:bCs w:val="false"/>
                <w:sz w:val="16"/>
                <w:szCs w:val="16"/>
              </w:rPr>
              <w:t xml:space="preserve">EBITDA año 4 (madurez)</w:t>
            </w:r>
          </w:p>
        </w:tc>
        <w:tc>
          <w:tcPr>
            <w:tcMar>
              <w:top w:type="dxa" w:w="60"/>
              <w:left w:type="dxa" w:w="80"/>
              <w:bottom w:type="dxa" w:w="60"/>
              <w:right w:type="dxa" w:w="80"/>
            </w:tcMar>
          </w:tcPr>
          <w:p>
            <w:r>
              <w:rPr>
                <w:rFonts w:ascii="Calibri" w:cs="Calibri" w:eastAsia="Calibri" w:hAnsi="Calibri"/>
                <w:b w:val="false"/>
                <w:bCs w:val="false"/>
                <w:sz w:val="16"/>
                <w:szCs w:val="16"/>
              </w:rPr>
              <w:t xml:space="preserve">CLP 47.6 M</w:t>
            </w:r>
          </w:p>
        </w:tc>
      </w:tr>
      <w:tr>
        <w:trPr>
          <w:tblHeader w:val="false"/>
        </w:trPr>
        <w:tc>
          <w:tcPr>
            <w:tcMar>
              <w:top w:type="dxa" w:w="60"/>
              <w:left w:type="dxa" w:w="80"/>
              <w:bottom w:type="dxa" w:w="60"/>
              <w:right w:type="dxa" w:w="80"/>
            </w:tcMar>
          </w:tcPr>
          <w:p>
            <w:r>
              <w:rPr>
                <w:rFonts w:ascii="Calibri" w:cs="Calibri" w:eastAsia="Calibri" w:hAnsi="Calibri"/>
                <w:b w:val="false"/>
                <w:bCs w:val="false"/>
                <w:sz w:val="16"/>
                <w:szCs w:val="16"/>
              </w:rPr>
              <w:t xml:space="preserve">TIR</w:t>
            </w:r>
          </w:p>
        </w:tc>
        <w:tc>
          <w:tcPr>
            <w:tcMar>
              <w:top w:type="dxa" w:w="60"/>
              <w:left w:type="dxa" w:w="80"/>
              <w:bottom w:type="dxa" w:w="60"/>
              <w:right w:type="dxa" w:w="80"/>
            </w:tcMar>
          </w:tcPr>
          <w:p>
            <w:r>
              <w:rPr>
                <w:rFonts w:ascii="Calibri" w:cs="Calibri" w:eastAsia="Calibri" w:hAnsi="Calibri"/>
                <w:b w:val="false"/>
                <w:bCs w:val="false"/>
                <w:sz w:val="16"/>
                <w:szCs w:val="16"/>
              </w:rPr>
              <w:t xml:space="preserve">49.0%</w:t>
            </w:r>
          </w:p>
        </w:tc>
        <w:tc>
          <w:tcPr>
            <w:tcMar>
              <w:top w:type="dxa" w:w="60"/>
              <w:left w:type="dxa" w:w="80"/>
              <w:bottom w:type="dxa" w:w="60"/>
              <w:right w:type="dxa" w:w="80"/>
            </w:tcMar>
          </w:tcPr>
          <w:p>
            <w:r>
              <w:rPr>
                <w:rFonts w:ascii="Calibri" w:cs="Calibri" w:eastAsia="Calibri" w:hAnsi="Calibri"/>
                <w:b w:val="false"/>
                <w:bCs w:val="false"/>
                <w:sz w:val="16"/>
                <w:szCs w:val="16"/>
              </w:rPr>
              <w:t xml:space="preserve">Margen contribución</w:t>
            </w:r>
          </w:p>
        </w:tc>
        <w:tc>
          <w:tcPr>
            <w:tcMar>
              <w:top w:type="dxa" w:w="60"/>
              <w:left w:type="dxa" w:w="80"/>
              <w:bottom w:type="dxa" w:w="60"/>
              <w:right w:type="dxa" w:w="80"/>
            </w:tcMar>
          </w:tcPr>
          <w:p>
            <w:r>
              <w:rPr>
                <w:rFonts w:ascii="Calibri" w:cs="Calibri" w:eastAsia="Calibri" w:hAnsi="Calibri"/>
                <w:b w:val="false"/>
                <w:bCs w:val="false"/>
                <w:sz w:val="16"/>
                <w:szCs w:val="16"/>
              </w:rPr>
              <w:t xml:space="preserve">62.2%</w:t>
            </w:r>
          </w:p>
        </w:tc>
      </w:tr>
      <w:tr>
        <w:trPr>
          <w:tblHeader w:val="false"/>
        </w:trPr>
        <w:tc>
          <w:tcPr>
            <w:tcMar>
              <w:top w:type="dxa" w:w="60"/>
              <w:left w:type="dxa" w:w="80"/>
              <w:bottom w:type="dxa" w:w="60"/>
              <w:right w:type="dxa" w:w="80"/>
            </w:tcMar>
          </w:tcPr>
          <w:p>
            <w:r>
              <w:rPr>
                <w:rFonts w:ascii="Calibri" w:cs="Calibri" w:eastAsia="Calibri" w:hAnsi="Calibri"/>
                <w:b w:val="false"/>
                <w:bCs w:val="false"/>
                <w:sz w:val="16"/>
                <w:szCs w:val="16"/>
              </w:rPr>
              <w:t xml:space="preserve">Payback</w:t>
            </w:r>
          </w:p>
        </w:tc>
        <w:tc>
          <w:tcPr>
            <w:tcMar>
              <w:top w:type="dxa" w:w="60"/>
              <w:left w:type="dxa" w:w="80"/>
              <w:bottom w:type="dxa" w:w="60"/>
              <w:right w:type="dxa" w:w="80"/>
            </w:tcMar>
          </w:tcPr>
          <w:p>
            <w:r>
              <w:rPr>
                <w:rFonts w:ascii="Calibri" w:cs="Calibri" w:eastAsia="Calibri" w:hAnsi="Calibri"/>
                <w:b w:val="false"/>
                <w:bCs w:val="false"/>
                <w:sz w:val="16"/>
                <w:szCs w:val="16"/>
              </w:rPr>
              <w:t xml:space="preserve">3.21 años</w:t>
            </w:r>
          </w:p>
        </w:tc>
        <w:tc>
          <w:tcPr>
            <w:tcMar>
              <w:top w:type="dxa" w:w="60"/>
              <w:left w:type="dxa" w:w="80"/>
              <w:bottom w:type="dxa" w:w="60"/>
              <w:right w:type="dxa" w:w="80"/>
            </w:tcMar>
          </w:tcPr>
          <w:p>
            <w:r>
              <w:rPr>
                <w:rFonts w:ascii="Calibri" w:cs="Calibri" w:eastAsia="Calibri" w:hAnsi="Calibri"/>
                <w:b w:val="false"/>
                <w:bCs w:val="false"/>
                <w:sz w:val="16"/>
                <w:szCs w:val="16"/>
              </w:rPr>
              <w:t xml:space="preserve">Score viabilidad</w:t>
            </w:r>
          </w:p>
        </w:tc>
        <w:tc>
          <w:tcPr>
            <w:tcMar>
              <w:top w:type="dxa" w:w="60"/>
              <w:left w:type="dxa" w:w="80"/>
              <w:bottom w:type="dxa" w:w="60"/>
              <w:right w:type="dxa" w:w="80"/>
            </w:tcMar>
          </w:tcPr>
          <w:p>
            <w:r>
              <w:rPr>
                <w:rFonts w:ascii="Calibri" w:cs="Calibri" w:eastAsia="Calibri" w:hAnsi="Calibri"/>
                <w:b w:val="false"/>
                <w:bCs w:val="false"/>
                <w:sz w:val="16"/>
                <w:szCs w:val="16"/>
              </w:rPr>
              <w:t xml:space="preserve">65/100</w:t>
            </w:r>
          </w:p>
        </w:tc>
      </w:tr>
    </w:tbl>
    <w:p>
      <w:pPr>
        <w:spacing w:after="120" w:before="30"/>
        <w:jc w:val="left"/>
      </w:pPr>
      <w:r>
        <w:rPr>
          <w:rFonts w:ascii="Calibri" w:cs="Calibri" w:eastAsia="Calibri" w:hAnsi="Calibri"/>
          <w:i/>
          <w:iCs/>
          <w:color w:val="6B7280"/>
          <w:sz w:val="14"/>
          <w:szCs w:val="14"/>
        </w:rPr>
        <w:t xml:space="preserve">Tabla 1. Indicadores principales del proyecto en la ubicación recomendada (escenario base, modelo conservador).</w:t>
      </w:r>
    </w:p>
    <w:p>
      <w:pPr>
        <w:pStyle w:val="Heading1"/>
        <w:spacing w:after="80" w:before="200"/>
      </w:pPr>
      <w:r>
        <w:rPr>
          <w:rFonts w:ascii="Cambria" w:cs="Cambria" w:eastAsia="Cambria" w:hAnsi="Cambria"/>
          <w:b/>
          <w:bCs/>
          <w:color w:val="1F2937"/>
          <w:sz w:val="24"/>
          <w:szCs w:val="24"/>
        </w:rPr>
        <w:t xml:space="preserve">2. El proyecto y supuestos críticos</w:t>
      </w:r>
    </w:p>
    <w:p>
      <w:pPr>
        <w:spacing w:after="80" w:line="280"/>
        <w:jc w:val="both"/>
      </w:pPr>
      <w:r>
        <w:rPr>
          <w:rFonts w:ascii="Calibri" w:cs="Calibri" w:eastAsia="Calibri" w:hAnsi="Calibri"/>
          <w:sz w:val="20"/>
          <w:szCs w:val="20"/>
        </w:rPr>
        <w:t xml:space="preserve">El modelo evaluado se diferencia del café tradicional en tres aspectos: no incluye preparación de alimentos en local (categoría sanitaria SEREMI "manipulación mínima"), opera con planilla mínima de 2-3 personas, y se enfoca en el segmento laboral matutino y de almuerzo rápido (combos $2.700-4.500 según zona). La inversión inicial CAPEX es CLP 20,5 M en activos físicos (máquina espresso 2 grupos, vitrina refrigerada, mobiliario, POS, habilitación eléctrica y sanitaria menor) más un capital de trabajo equivalente a 2,5 meses de egresos. Los costos fijos mensuales reales del retail food chileno ascienden a CLP 5-8 M (arriendo + planilla con cargas + servicios + marketing + aseo + software + contador + seguros), con variación significativa por zona en el componente arriendo.</w:t>
      </w:r>
    </w:p>
    <w:p>
      <w:pPr>
        <w:spacing w:after="80" w:line="280"/>
        <w:jc w:val="both"/>
      </w:pPr>
      <w:r>
        <w:rPr>
          <w:rFonts w:ascii="Calibri" w:cs="Calibri" w:eastAsia="Calibri" w:hAnsi="Calibri"/>
          <w:sz w:val="20"/>
          <w:szCs w:val="20"/>
        </w:rPr>
        <w:t xml:space="preserve">Los supuestos macro críticos son: tasa de descuento 14.0% (CAPM con β 1,3 retail food), crecimiento de demanda por zona = g_INE_proyección_2024 + 1,5% sectorial Procafé (rango efectivo 1,0% a 4,5% según comuna), múltiplo EBITDA terminal de 3.5x (rango M&amp;A retail food Chile 3-5x), y curva de ramp-up del 55% año 1, 75% año 2, 90% año 3 y 100% años 4-5 (Achiga 2024). El régimen tributario es Pro PYME 14 D N° 3 (impuesto 25%) con crédito tributario acumulado del Caso 1 (empresa nueva).</w:t>
      </w:r>
    </w:p>
    <w:p>
      <w:pPr>
        <w:pStyle w:val="Heading1"/>
        <w:spacing w:after="80" w:before="200"/>
      </w:pPr>
      <w:r>
        <w:rPr>
          <w:rFonts w:ascii="Cambria" w:cs="Cambria" w:eastAsia="Cambria" w:hAnsi="Cambria"/>
          <w:b/>
          <w:bCs/>
          <w:color w:val="1F2937"/>
          <w:sz w:val="24"/>
          <w:szCs w:val="24"/>
        </w:rPr>
        <w:t xml:space="preserve">3. Estudio de mercado y competencia</w:t>
      </w:r>
    </w:p>
    <w:p>
      <w:pPr>
        <w:spacing w:after="80" w:line="280"/>
        <w:jc w:val="both"/>
      </w:pPr>
      <w:r>
        <w:rPr>
          <w:rFonts w:ascii="Calibri" w:cs="Calibri" w:eastAsia="Calibri" w:hAnsi="Calibri"/>
          <w:sz w:val="20"/>
          <w:szCs w:val="20"/>
        </w:rPr>
        <w:t xml:space="preserve">El sector cafetero chileno cuenta con cerca de 4.500 establecimientos formales, 58% concentrados en RM (ANCC 2024). El mercado crece 5,2% anual con un giro estructural hacia formatos to-go (42% post-pandemia vs. 28% pre-COVID, Achiga 2024). El consumo per cápita de café es 1,4 kg/año (Procafé 2024), con espresso liderando 32% del share y especialidad en crecimiento (15%). El ticket promedio en cafetería es CLP 3.500. La tasa de fracaso de cafeterías independientes antes de los tres años se estima en 50-55% (Achiga 2024), evidenciando que la viabilidad NO es la regla del sector sino la excepción.</w:t>
      </w:r>
    </w:p>
    <w:p>
      <w:pPr>
        <w:spacing w:after="80" w:line="280"/>
        <w:jc w:val="both"/>
      </w:pPr>
      <w:r>
        <w:rPr>
          <w:rFonts w:ascii="Calibri" w:cs="Calibri" w:eastAsia="Calibri" w:hAnsi="Calibri"/>
          <w:sz w:val="20"/>
          <w:szCs w:val="20"/>
        </w:rPr>
        <w:t xml:space="preserve">La competencia se modeló combinando el catastro Achiga 2024 con el query en vivo de OpenStreetMap (Overpass API, mayo 2026) para nodos amenity=cafe y shop=coffee dentro del radio de 500 metros del local proyectado. Las cadenas internacionales relevantes son Starbucks Coffee Chile (≈100 locales en RM) y Juan Valdez Café (≈65 locales en RM). El modelo aplica una penalización de captura por densidad de competencia con la fórmula factor = min(1, √(50/cafés_km²)), que refleja el "fair share competitivo": el flujo peatonal se reparte entre los actores presentes en la zona.</w:t>
      </w:r>
    </w:p>
    <w:tbl>
      <w:tblPr>
        <w:tblW w:type="pct" w:w="100%"/>
        <w:tblBorders>
          <w:top w:val="single" w:color="111827" w:sz="4"/>
          <w:left w:val="none" w:color="FFFFFF" w:sz="0"/>
          <w:bottom w:val="single" w:color="111827" w:sz="4"/>
          <w:right w:val="none" w:color="FFFFFF" w:sz="0"/>
          <w:insideH w:val="single" w:color="D1D5DB" w:sz="1"/>
          <w:insideV w:val="none" w:color="FFFFFF" w:sz="0"/>
        </w:tblBorders>
      </w:tblPr>
      <w:tblGrid>
        <w:gridCol w:w="100"/>
        <w:gridCol w:w="100"/>
        <w:gridCol w:w="100"/>
        <w:gridCol w:w="100"/>
      </w:tblGrid>
      <w:tr>
        <w:trPr>
          <w:tblHeader/>
        </w:trPr>
        <w:tc>
          <w:tcPr>
            <w:shd w:fill="F3F4F6" w:color="auto" w:val="solid"/>
            <w:tcMar>
              <w:top w:type="dxa" w:w="60"/>
              <w:left w:type="dxa" w:w="80"/>
              <w:bottom w:type="dxa" w:w="60"/>
              <w:right w:type="dxa" w:w="80"/>
            </w:tcMar>
          </w:tcPr>
          <w:p>
            <w:r>
              <w:rPr>
                <w:rFonts w:ascii="Calibri" w:cs="Calibri" w:eastAsia="Calibri" w:hAnsi="Calibri"/>
                <w:b/>
                <w:bCs/>
                <w:sz w:val="16"/>
                <w:szCs w:val="16"/>
              </w:rPr>
              <w:t xml:space="preserve">Zona</w:t>
            </w:r>
          </w:p>
        </w:tc>
        <w:tc>
          <w:tcPr>
            <w:shd w:fill="F3F4F6" w:color="auto" w:val="solid"/>
            <w:tcMar>
              <w:top w:type="dxa" w:w="60"/>
              <w:left w:type="dxa" w:w="80"/>
              <w:bottom w:type="dxa" w:w="60"/>
              <w:right w:type="dxa" w:w="80"/>
            </w:tcMar>
          </w:tcPr>
          <w:p>
            <w:r>
              <w:rPr>
                <w:rFonts w:ascii="Calibri" w:cs="Calibri" w:eastAsia="Calibri" w:hAnsi="Calibri"/>
                <w:b/>
                <w:bCs/>
                <w:sz w:val="16"/>
                <w:szCs w:val="16"/>
              </w:rPr>
              <w:t xml:space="preserve">Densidad cafés/km²</w:t>
            </w:r>
          </w:p>
        </w:tc>
        <w:tc>
          <w:tcPr>
            <w:shd w:fill="F3F4F6" w:color="auto" w:val="solid"/>
            <w:tcMar>
              <w:top w:type="dxa" w:w="60"/>
              <w:left w:type="dxa" w:w="80"/>
              <w:bottom w:type="dxa" w:w="60"/>
              <w:right w:type="dxa" w:w="80"/>
            </w:tcMar>
          </w:tcPr>
          <w:p>
            <w:r>
              <w:rPr>
                <w:rFonts w:ascii="Calibri" w:cs="Calibri" w:eastAsia="Calibri" w:hAnsi="Calibri"/>
                <w:b/>
                <w:bCs/>
                <w:sz w:val="16"/>
                <w:szCs w:val="16"/>
              </w:rPr>
              <w:t xml:space="preserve">Cadenas presentes</w:t>
            </w:r>
          </w:p>
        </w:tc>
        <w:tc>
          <w:tcPr>
            <w:shd w:fill="F3F4F6" w:color="auto" w:val="solid"/>
            <w:tcMar>
              <w:top w:type="dxa" w:w="60"/>
              <w:left w:type="dxa" w:w="80"/>
              <w:bottom w:type="dxa" w:w="60"/>
              <w:right w:type="dxa" w:w="80"/>
            </w:tcMar>
          </w:tcPr>
          <w:p>
            <w:r>
              <w:rPr>
                <w:rFonts w:ascii="Calibri" w:cs="Calibri" w:eastAsia="Calibri" w:hAnsi="Calibri"/>
                <w:b/>
                <w:bCs/>
                <w:sz w:val="16"/>
                <w:szCs w:val="16"/>
              </w:rPr>
              <w:t xml:space="preserve">Penalización captura</w:t>
            </w:r>
          </w:p>
        </w:tc>
      </w:tr>
      <w:tr>
        <w:trPr>
          <w:tblHeader w:val="false"/>
        </w:trPr>
        <w:tc>
          <w:tcPr>
            <w:tcMar>
              <w:top w:type="dxa" w:w="60"/>
              <w:left w:type="dxa" w:w="80"/>
              <w:bottom w:type="dxa" w:w="60"/>
              <w:right w:type="dxa" w:w="80"/>
            </w:tcMar>
          </w:tcPr>
          <w:p>
            <w:r>
              <w:rPr>
                <w:rFonts w:ascii="Calibri" w:cs="Calibri" w:eastAsia="Calibri" w:hAnsi="Calibri"/>
                <w:b w:val="false"/>
                <w:bCs w:val="false"/>
                <w:sz w:val="16"/>
                <w:szCs w:val="16"/>
              </w:rPr>
              <w:t xml:space="preserve">El Golf</w:t>
            </w:r>
          </w:p>
        </w:tc>
        <w:tc>
          <w:tcPr>
            <w:tcMar>
              <w:top w:type="dxa" w:w="60"/>
              <w:left w:type="dxa" w:w="80"/>
              <w:bottom w:type="dxa" w:w="60"/>
              <w:right w:type="dxa" w:w="80"/>
            </w:tcMar>
          </w:tcPr>
          <w:p>
            <w:r>
              <w:rPr>
                <w:rFonts w:ascii="Calibri" w:cs="Calibri" w:eastAsia="Calibri" w:hAnsi="Calibri"/>
                <w:b w:val="false"/>
                <w:bCs w:val="false"/>
                <w:sz w:val="16"/>
                <w:szCs w:val="16"/>
              </w:rPr>
              <w:t xml:space="preserve">65</w:t>
            </w:r>
          </w:p>
        </w:tc>
        <w:tc>
          <w:tcPr>
            <w:tcMar>
              <w:top w:type="dxa" w:w="60"/>
              <w:left w:type="dxa" w:w="80"/>
              <w:bottom w:type="dxa" w:w="60"/>
              <w:right w:type="dxa" w:w="80"/>
            </w:tcMar>
          </w:tcPr>
          <w:p>
            <w:r>
              <w:rPr>
                <w:rFonts w:ascii="Calibri" w:cs="Calibri" w:eastAsia="Calibri" w:hAnsi="Calibri"/>
                <w:b w:val="false"/>
                <w:bCs w:val="false"/>
                <w:sz w:val="16"/>
                <w:szCs w:val="16"/>
              </w:rPr>
              <w:t xml:space="preserve">Starbucks · Juan Valdez · Café Capital · Mosqueto</w:t>
            </w:r>
          </w:p>
        </w:tc>
        <w:tc>
          <w:tcPr>
            <w:tcMar>
              <w:top w:type="dxa" w:w="60"/>
              <w:left w:type="dxa" w:w="80"/>
              <w:bottom w:type="dxa" w:w="60"/>
              <w:right w:type="dxa" w:w="80"/>
            </w:tcMar>
          </w:tcPr>
          <w:p>
            <w:r>
              <w:rPr>
                <w:rFonts w:ascii="Calibri" w:cs="Calibri" w:eastAsia="Calibri" w:hAnsi="Calibri"/>
                <w:b w:val="false"/>
                <w:bCs w:val="false"/>
                <w:sz w:val="16"/>
                <w:szCs w:val="16"/>
              </w:rPr>
              <w:t xml:space="preserve">−12%</w:t>
            </w:r>
          </w:p>
        </w:tc>
      </w:tr>
      <w:tr>
        <w:trPr>
          <w:tblHeader w:val="false"/>
        </w:trPr>
        <w:tc>
          <w:tcPr>
            <w:tcMar>
              <w:top w:type="dxa" w:w="60"/>
              <w:left w:type="dxa" w:w="80"/>
              <w:bottom w:type="dxa" w:w="60"/>
              <w:right w:type="dxa" w:w="80"/>
            </w:tcMar>
          </w:tcPr>
          <w:p>
            <w:r>
              <w:rPr>
                <w:rFonts w:ascii="Calibri" w:cs="Calibri" w:eastAsia="Calibri" w:hAnsi="Calibri"/>
                <w:b w:val="false"/>
                <w:bCs w:val="false"/>
                <w:sz w:val="16"/>
                <w:szCs w:val="16"/>
              </w:rPr>
              <w:t xml:space="preserve">Apoquindo</w:t>
            </w:r>
          </w:p>
        </w:tc>
        <w:tc>
          <w:tcPr>
            <w:tcMar>
              <w:top w:type="dxa" w:w="60"/>
              <w:left w:type="dxa" w:w="80"/>
              <w:bottom w:type="dxa" w:w="60"/>
              <w:right w:type="dxa" w:w="80"/>
            </w:tcMar>
          </w:tcPr>
          <w:p>
            <w:r>
              <w:rPr>
                <w:rFonts w:ascii="Calibri" w:cs="Calibri" w:eastAsia="Calibri" w:hAnsi="Calibri"/>
                <w:b w:val="false"/>
                <w:bCs w:val="false"/>
                <w:sz w:val="16"/>
                <w:szCs w:val="16"/>
              </w:rPr>
              <w:t xml:space="preserve">78</w:t>
            </w:r>
          </w:p>
        </w:tc>
        <w:tc>
          <w:tcPr>
            <w:tcMar>
              <w:top w:type="dxa" w:w="60"/>
              <w:left w:type="dxa" w:w="80"/>
              <w:bottom w:type="dxa" w:w="60"/>
              <w:right w:type="dxa" w:w="80"/>
            </w:tcMar>
          </w:tcPr>
          <w:p>
            <w:r>
              <w:rPr>
                <w:rFonts w:ascii="Calibri" w:cs="Calibri" w:eastAsia="Calibri" w:hAnsi="Calibri"/>
                <w:b w:val="false"/>
                <w:bCs w:val="false"/>
                <w:sz w:val="16"/>
                <w:szCs w:val="16"/>
              </w:rPr>
              <w:t xml:space="preserve">Starbucks · Juan Valdez · Tavelli · Café Capital · Bonafide</w:t>
            </w:r>
          </w:p>
        </w:tc>
        <w:tc>
          <w:tcPr>
            <w:tcMar>
              <w:top w:type="dxa" w:w="60"/>
              <w:left w:type="dxa" w:w="80"/>
              <w:bottom w:type="dxa" w:w="60"/>
              <w:right w:type="dxa" w:w="80"/>
            </w:tcMar>
          </w:tcPr>
          <w:p>
            <w:r>
              <w:rPr>
                <w:rFonts w:ascii="Calibri" w:cs="Calibri" w:eastAsia="Calibri" w:hAnsi="Calibri"/>
                <w:b w:val="false"/>
                <w:bCs w:val="false"/>
                <w:sz w:val="16"/>
                <w:szCs w:val="16"/>
              </w:rPr>
              <w:t xml:space="preserve">−20%</w:t>
            </w:r>
          </w:p>
        </w:tc>
      </w:tr>
      <w:tr>
        <w:trPr>
          <w:tblHeader w:val="false"/>
        </w:trPr>
        <w:tc>
          <w:tcPr>
            <w:tcMar>
              <w:top w:type="dxa" w:w="60"/>
              <w:left w:type="dxa" w:w="80"/>
              <w:bottom w:type="dxa" w:w="60"/>
              <w:right w:type="dxa" w:w="80"/>
            </w:tcMar>
          </w:tcPr>
          <w:p>
            <w:r>
              <w:rPr>
                <w:rFonts w:ascii="Calibri" w:cs="Calibri" w:eastAsia="Calibri" w:hAnsi="Calibri"/>
                <w:b w:val="false"/>
                <w:bCs w:val="false"/>
                <w:sz w:val="16"/>
                <w:szCs w:val="16"/>
              </w:rPr>
              <w:t xml:space="preserve">Vitacura</w:t>
            </w:r>
          </w:p>
        </w:tc>
        <w:tc>
          <w:tcPr>
            <w:tcMar>
              <w:top w:type="dxa" w:w="60"/>
              <w:left w:type="dxa" w:w="80"/>
              <w:bottom w:type="dxa" w:w="60"/>
              <w:right w:type="dxa" w:w="80"/>
            </w:tcMar>
          </w:tcPr>
          <w:p>
            <w:r>
              <w:rPr>
                <w:rFonts w:ascii="Calibri" w:cs="Calibri" w:eastAsia="Calibri" w:hAnsi="Calibri"/>
                <w:b w:val="false"/>
                <w:bCs w:val="false"/>
                <w:sz w:val="16"/>
                <w:szCs w:val="16"/>
              </w:rPr>
              <w:t xml:space="preserve">52</w:t>
            </w:r>
          </w:p>
        </w:tc>
        <w:tc>
          <w:tcPr>
            <w:tcMar>
              <w:top w:type="dxa" w:w="60"/>
              <w:left w:type="dxa" w:w="80"/>
              <w:bottom w:type="dxa" w:w="60"/>
              <w:right w:type="dxa" w:w="80"/>
            </w:tcMar>
          </w:tcPr>
          <w:p>
            <w:r>
              <w:rPr>
                <w:rFonts w:ascii="Calibri" w:cs="Calibri" w:eastAsia="Calibri" w:hAnsi="Calibri"/>
                <w:b w:val="false"/>
                <w:bCs w:val="false"/>
                <w:sz w:val="16"/>
                <w:szCs w:val="16"/>
              </w:rPr>
              <w:t xml:space="preserve">Starbucks · Wonderland · Coppelia · Café Sebastián</w:t>
            </w:r>
          </w:p>
        </w:tc>
        <w:tc>
          <w:tcPr>
            <w:tcMar>
              <w:top w:type="dxa" w:w="60"/>
              <w:left w:type="dxa" w:w="80"/>
              <w:bottom w:type="dxa" w:w="60"/>
              <w:right w:type="dxa" w:w="80"/>
            </w:tcMar>
          </w:tcPr>
          <w:p>
            <w:r>
              <w:rPr>
                <w:rFonts w:ascii="Calibri" w:cs="Calibri" w:eastAsia="Calibri" w:hAnsi="Calibri"/>
                <w:b w:val="false"/>
                <w:bCs w:val="false"/>
                <w:sz w:val="16"/>
                <w:szCs w:val="16"/>
              </w:rPr>
              <w:t xml:space="preserve">−2%</w:t>
            </w:r>
          </w:p>
        </w:tc>
      </w:tr>
      <w:tr>
        <w:trPr>
          <w:tblHeader w:val="false"/>
        </w:trPr>
        <w:tc>
          <w:tcPr>
            <w:tcMar>
              <w:top w:type="dxa" w:w="60"/>
              <w:left w:type="dxa" w:w="80"/>
              <w:bottom w:type="dxa" w:w="60"/>
              <w:right w:type="dxa" w:w="80"/>
            </w:tcMar>
          </w:tcPr>
          <w:p>
            <w:r>
              <w:rPr>
                <w:rFonts w:ascii="Calibri" w:cs="Calibri" w:eastAsia="Calibri" w:hAnsi="Calibri"/>
                <w:b w:val="false"/>
                <w:bCs w:val="false"/>
                <w:sz w:val="16"/>
                <w:szCs w:val="16"/>
              </w:rPr>
              <w:t xml:space="preserve">Providencia</w:t>
            </w:r>
          </w:p>
        </w:tc>
        <w:tc>
          <w:tcPr>
            <w:tcMar>
              <w:top w:type="dxa" w:w="60"/>
              <w:left w:type="dxa" w:w="80"/>
              <w:bottom w:type="dxa" w:w="60"/>
              <w:right w:type="dxa" w:w="80"/>
            </w:tcMar>
          </w:tcPr>
          <w:p>
            <w:r>
              <w:rPr>
                <w:rFonts w:ascii="Calibri" w:cs="Calibri" w:eastAsia="Calibri" w:hAnsi="Calibri"/>
                <w:b w:val="false"/>
                <w:bCs w:val="false"/>
                <w:sz w:val="16"/>
                <w:szCs w:val="16"/>
              </w:rPr>
              <w:t xml:space="preserve">92</w:t>
            </w:r>
          </w:p>
        </w:tc>
        <w:tc>
          <w:tcPr>
            <w:tcMar>
              <w:top w:type="dxa" w:w="60"/>
              <w:left w:type="dxa" w:w="80"/>
              <w:bottom w:type="dxa" w:w="60"/>
              <w:right w:type="dxa" w:w="80"/>
            </w:tcMar>
          </w:tcPr>
          <w:p>
            <w:r>
              <w:rPr>
                <w:rFonts w:ascii="Calibri" w:cs="Calibri" w:eastAsia="Calibri" w:hAnsi="Calibri"/>
                <w:b w:val="false"/>
                <w:bCs w:val="false"/>
                <w:sz w:val="16"/>
                <w:szCs w:val="16"/>
              </w:rPr>
              <w:t xml:space="preserve">Starbucks · Juan Valdez · Tavelli · Bonafide · Coppelia · Florian</w:t>
            </w:r>
          </w:p>
        </w:tc>
        <w:tc>
          <w:tcPr>
            <w:tcMar>
              <w:top w:type="dxa" w:w="60"/>
              <w:left w:type="dxa" w:w="80"/>
              <w:bottom w:type="dxa" w:w="60"/>
              <w:right w:type="dxa" w:w="80"/>
            </w:tcMar>
          </w:tcPr>
          <w:p>
            <w:r>
              <w:rPr>
                <w:rFonts w:ascii="Calibri" w:cs="Calibri" w:eastAsia="Calibri" w:hAnsi="Calibri"/>
                <w:b w:val="false"/>
                <w:bCs w:val="false"/>
                <w:sz w:val="16"/>
                <w:szCs w:val="16"/>
              </w:rPr>
              <w:t xml:space="preserve">−26%</w:t>
            </w:r>
          </w:p>
        </w:tc>
      </w:tr>
      <w:tr>
        <w:trPr>
          <w:tblHeader w:val="false"/>
        </w:trPr>
        <w:tc>
          <w:tcPr>
            <w:tcMar>
              <w:top w:type="dxa" w:w="60"/>
              <w:left w:type="dxa" w:w="80"/>
              <w:bottom w:type="dxa" w:w="60"/>
              <w:right w:type="dxa" w:w="80"/>
            </w:tcMar>
          </w:tcPr>
          <w:p>
            <w:r>
              <w:rPr>
                <w:rFonts w:ascii="Calibri" w:cs="Calibri" w:eastAsia="Calibri" w:hAnsi="Calibri"/>
                <w:b w:val="false"/>
                <w:bCs w:val="false"/>
                <w:sz w:val="16"/>
                <w:szCs w:val="16"/>
              </w:rPr>
              <w:t xml:space="preserve">Plaza Ñuñoa</w:t>
            </w:r>
          </w:p>
        </w:tc>
        <w:tc>
          <w:tcPr>
            <w:tcMar>
              <w:top w:type="dxa" w:w="60"/>
              <w:left w:type="dxa" w:w="80"/>
              <w:bottom w:type="dxa" w:w="60"/>
              <w:right w:type="dxa" w:w="80"/>
            </w:tcMar>
          </w:tcPr>
          <w:p>
            <w:r>
              <w:rPr>
                <w:rFonts w:ascii="Calibri" w:cs="Calibri" w:eastAsia="Calibri" w:hAnsi="Calibri"/>
                <w:b w:val="false"/>
                <w:bCs w:val="false"/>
                <w:sz w:val="16"/>
                <w:szCs w:val="16"/>
              </w:rPr>
              <w:t xml:space="preserve">48</w:t>
            </w:r>
          </w:p>
        </w:tc>
        <w:tc>
          <w:tcPr>
            <w:tcMar>
              <w:top w:type="dxa" w:w="60"/>
              <w:left w:type="dxa" w:w="80"/>
              <w:bottom w:type="dxa" w:w="60"/>
              <w:right w:type="dxa" w:w="80"/>
            </w:tcMar>
          </w:tcPr>
          <w:p>
            <w:r>
              <w:rPr>
                <w:rFonts w:ascii="Calibri" w:cs="Calibri" w:eastAsia="Calibri" w:hAnsi="Calibri"/>
                <w:b w:val="false"/>
                <w:bCs w:val="false"/>
                <w:sz w:val="16"/>
                <w:szCs w:val="16"/>
              </w:rPr>
              <w:t xml:space="preserve">Wonderland · Hábito · Tavelli · independientes barrio</w:t>
            </w:r>
          </w:p>
        </w:tc>
        <w:tc>
          <w:tcPr>
            <w:tcMar>
              <w:top w:type="dxa" w:w="60"/>
              <w:left w:type="dxa" w:w="80"/>
              <w:bottom w:type="dxa" w:w="60"/>
              <w:right w:type="dxa" w:w="80"/>
            </w:tcMar>
          </w:tcPr>
          <w:p>
            <w:r>
              <w:rPr>
                <w:rFonts w:ascii="Calibri" w:cs="Calibri" w:eastAsia="Calibri" w:hAnsi="Calibri"/>
                <w:b w:val="false"/>
                <w:bCs w:val="false"/>
                <w:sz w:val="16"/>
                <w:szCs w:val="16"/>
              </w:rPr>
              <w:t xml:space="preserve">sin penal.</w:t>
            </w:r>
          </w:p>
        </w:tc>
      </w:tr>
      <w:tr>
        <w:trPr>
          <w:tblHeader w:val="false"/>
        </w:trPr>
        <w:tc>
          <w:tcPr>
            <w:tcMar>
              <w:top w:type="dxa" w:w="60"/>
              <w:left w:type="dxa" w:w="80"/>
              <w:bottom w:type="dxa" w:w="60"/>
              <w:right w:type="dxa" w:w="80"/>
            </w:tcMar>
          </w:tcPr>
          <w:p>
            <w:r>
              <w:rPr>
                <w:rFonts w:ascii="Calibri" w:cs="Calibri" w:eastAsia="Calibri" w:hAnsi="Calibri"/>
                <w:b w:val="false"/>
                <w:bCs w:val="false"/>
                <w:sz w:val="16"/>
                <w:szCs w:val="16"/>
              </w:rPr>
              <w:t xml:space="preserve">Santiago Centro</w:t>
            </w:r>
          </w:p>
        </w:tc>
        <w:tc>
          <w:tcPr>
            <w:tcMar>
              <w:top w:type="dxa" w:w="60"/>
              <w:left w:type="dxa" w:w="80"/>
              <w:bottom w:type="dxa" w:w="60"/>
              <w:right w:type="dxa" w:w="80"/>
            </w:tcMar>
          </w:tcPr>
          <w:p>
            <w:r>
              <w:rPr>
                <w:rFonts w:ascii="Calibri" w:cs="Calibri" w:eastAsia="Calibri" w:hAnsi="Calibri"/>
                <w:b w:val="false"/>
                <w:bCs w:val="false"/>
                <w:sz w:val="16"/>
                <w:szCs w:val="16"/>
              </w:rPr>
              <w:t xml:space="preserve">145</w:t>
            </w:r>
          </w:p>
        </w:tc>
        <w:tc>
          <w:tcPr>
            <w:tcMar>
              <w:top w:type="dxa" w:w="60"/>
              <w:left w:type="dxa" w:w="80"/>
              <w:bottom w:type="dxa" w:w="60"/>
              <w:right w:type="dxa" w:w="80"/>
            </w:tcMar>
          </w:tcPr>
          <w:p>
            <w:r>
              <w:rPr>
                <w:rFonts w:ascii="Calibri" w:cs="Calibri" w:eastAsia="Calibri" w:hAnsi="Calibri"/>
                <w:b w:val="false"/>
                <w:bCs w:val="false"/>
                <w:sz w:val="16"/>
                <w:szCs w:val="16"/>
              </w:rPr>
              <w:t xml:space="preserve">Starbucks ×4 · Juan Valdez ×3 · Caribe · Haití · Brasil + 130 indep.</w:t>
            </w:r>
          </w:p>
        </w:tc>
        <w:tc>
          <w:tcPr>
            <w:tcMar>
              <w:top w:type="dxa" w:w="60"/>
              <w:left w:type="dxa" w:w="80"/>
              <w:bottom w:type="dxa" w:w="60"/>
              <w:right w:type="dxa" w:w="80"/>
            </w:tcMar>
          </w:tcPr>
          <w:p>
            <w:r>
              <w:rPr>
                <w:rFonts w:ascii="Calibri" w:cs="Calibri" w:eastAsia="Calibri" w:hAnsi="Calibri"/>
                <w:b w:val="false"/>
                <w:bCs w:val="false"/>
                <w:sz w:val="16"/>
                <w:szCs w:val="16"/>
              </w:rPr>
              <w:t xml:space="preserve">−41%</w:t>
            </w:r>
          </w:p>
        </w:tc>
      </w:tr>
      <w:tr>
        <w:trPr>
          <w:tblHeader w:val="false"/>
        </w:trPr>
        <w:tc>
          <w:tcPr>
            <w:tcMar>
              <w:top w:type="dxa" w:w="60"/>
              <w:left w:type="dxa" w:w="80"/>
              <w:bottom w:type="dxa" w:w="60"/>
              <w:right w:type="dxa" w:w="80"/>
            </w:tcMar>
          </w:tcPr>
          <w:p>
            <w:r>
              <w:rPr>
                <w:rFonts w:ascii="Calibri" w:cs="Calibri" w:eastAsia="Calibri" w:hAnsi="Calibri"/>
                <w:b w:val="false"/>
                <w:bCs w:val="false"/>
                <w:sz w:val="16"/>
                <w:szCs w:val="16"/>
              </w:rPr>
              <w:t xml:space="preserve">Estación Central</w:t>
            </w:r>
          </w:p>
        </w:tc>
        <w:tc>
          <w:tcPr>
            <w:tcMar>
              <w:top w:type="dxa" w:w="60"/>
              <w:left w:type="dxa" w:w="80"/>
              <w:bottom w:type="dxa" w:w="60"/>
              <w:right w:type="dxa" w:w="80"/>
            </w:tcMar>
          </w:tcPr>
          <w:p>
            <w:r>
              <w:rPr>
                <w:rFonts w:ascii="Calibri" w:cs="Calibri" w:eastAsia="Calibri" w:hAnsi="Calibri"/>
                <w:b w:val="false"/>
                <w:bCs w:val="false"/>
                <w:sz w:val="16"/>
                <w:szCs w:val="16"/>
              </w:rPr>
              <w:t xml:space="preserve">32</w:t>
            </w:r>
          </w:p>
        </w:tc>
        <w:tc>
          <w:tcPr>
            <w:tcMar>
              <w:top w:type="dxa" w:w="60"/>
              <w:left w:type="dxa" w:w="80"/>
              <w:bottom w:type="dxa" w:w="60"/>
              <w:right w:type="dxa" w:w="80"/>
            </w:tcMar>
          </w:tcPr>
          <w:p>
            <w:r>
              <w:rPr>
                <w:rFonts w:ascii="Calibri" w:cs="Calibri" w:eastAsia="Calibri" w:hAnsi="Calibri"/>
                <w:b w:val="false"/>
                <w:bCs w:val="false"/>
                <w:sz w:val="16"/>
                <w:szCs w:val="16"/>
              </w:rPr>
              <w:t xml:space="preserve">Caribe · Haití · sandwicherías USACH</w:t>
            </w:r>
          </w:p>
        </w:tc>
        <w:tc>
          <w:tcPr>
            <w:tcMar>
              <w:top w:type="dxa" w:w="60"/>
              <w:left w:type="dxa" w:w="80"/>
              <w:bottom w:type="dxa" w:w="60"/>
              <w:right w:type="dxa" w:w="80"/>
            </w:tcMar>
          </w:tcPr>
          <w:p>
            <w:r>
              <w:rPr>
                <w:rFonts w:ascii="Calibri" w:cs="Calibri" w:eastAsia="Calibri" w:hAnsi="Calibri"/>
                <w:b w:val="false"/>
                <w:bCs w:val="false"/>
                <w:sz w:val="16"/>
                <w:szCs w:val="16"/>
              </w:rPr>
              <w:t xml:space="preserve">sin penal.</w:t>
            </w:r>
          </w:p>
        </w:tc>
      </w:tr>
    </w:tbl>
    <w:p>
      <w:pPr>
        <w:spacing w:after="120" w:before="30"/>
        <w:jc w:val="left"/>
      </w:pPr>
      <w:r>
        <w:rPr>
          <w:rFonts w:ascii="Calibri" w:cs="Calibri" w:eastAsia="Calibri" w:hAnsi="Calibri"/>
          <w:i/>
          <w:iCs/>
          <w:color w:val="6B7280"/>
          <w:sz w:val="14"/>
          <w:szCs w:val="14"/>
        </w:rPr>
        <w:t xml:space="preserve">Tabla 2. Densidad de competencia y penalización por zona (OpenStreetMap mayo 2026 + Achiga 2024).</w:t>
      </w:r>
    </w:p>
    <w:p>
      <w:pPr>
        <w:pStyle w:val="Heading1"/>
        <w:spacing w:after="80" w:before="200"/>
      </w:pPr>
      <w:r>
        <w:rPr>
          <w:rFonts w:ascii="Cambria" w:cs="Cambria" w:eastAsia="Cambria" w:hAnsi="Cambria"/>
          <w:b/>
          <w:bCs/>
          <w:color w:val="1F2937"/>
          <w:sz w:val="24"/>
          <w:szCs w:val="24"/>
        </w:rPr>
        <w:t xml:space="preserve">4. Comparativo de las siete zonas evaluadas</w:t>
      </w:r>
    </w:p>
    <w:p>
      <w:pPr>
        <w:spacing w:after="80" w:line="280"/>
        <w:jc w:val="both"/>
      </w:pPr>
      <w:r>
        <w:rPr>
          <w:rFonts w:ascii="Calibri" w:cs="Calibri" w:eastAsia="Calibri" w:hAnsi="Calibri"/>
          <w:sz w:val="20"/>
          <w:szCs w:val="20"/>
        </w:rPr>
        <w:t xml:space="preserve">Cada zona fue caracterizada con seis variables: arriendo (UF/m²), flujo peatonal (OSM), ticket promedio (Procafé + ajuste por nivel socioeconómico CASEN), densidad de competencia, crecimiento poblacional INE proyección 2024, y perfil horario de demanda diferenciado por tipo de uso del suelo. Los perfiles horarios usados son: oficina (3 peaks 8h-13h-18h, weekend 30%), residencial (peak tarde + alto fin de semana), transit hub (peak masivo 7-9h y 18-20h), universitario (estacional dic-feb cae 60%), y mixto (combinación oficina + residencial).</w:t>
      </w:r>
    </w:p>
    <w:tbl>
      <w:tblPr>
        <w:tblW w:type="pct" w:w="100%"/>
        <w:tblBorders>
          <w:top w:val="single" w:color="111827" w:sz="4"/>
          <w:left w:val="none" w:color="FFFFFF" w:sz="0"/>
          <w:bottom w:val="single" w:color="111827" w:sz="4"/>
          <w:right w:val="none" w:color="FFFFFF" w:sz="0"/>
          <w:insideH w:val="single" w:color="D1D5DB" w:sz="1"/>
          <w:insideV w:val="none" w:color="FFFFFF" w:sz="0"/>
        </w:tblBorders>
      </w:tblPr>
      <w:tblGrid>
        <w:gridCol w:w="100"/>
        <w:gridCol w:w="100"/>
        <w:gridCol w:w="100"/>
        <w:gridCol w:w="100"/>
        <w:gridCol w:w="100"/>
        <w:gridCol w:w="100"/>
        <w:gridCol w:w="100"/>
        <w:gridCol w:w="100"/>
      </w:tblGrid>
      <w:tr>
        <w:trPr>
          <w:tblHeader/>
        </w:trPr>
        <w:tc>
          <w:tcPr>
            <w:shd w:fill="F3F4F6" w:color="auto" w:val="solid"/>
            <w:tcMar>
              <w:top w:type="dxa" w:w="60"/>
              <w:left w:type="dxa" w:w="80"/>
              <w:bottom w:type="dxa" w:w="60"/>
              <w:right w:type="dxa" w:w="80"/>
            </w:tcMar>
          </w:tcPr>
          <w:p>
            <w:r>
              <w:rPr>
                <w:rFonts w:ascii="Calibri" w:cs="Calibri" w:eastAsia="Calibri" w:hAnsi="Calibri"/>
                <w:b/>
                <w:bCs/>
                <w:sz w:val="16"/>
                <w:szCs w:val="16"/>
              </w:rPr>
              <w:t xml:space="preserve">#</w:t>
            </w:r>
          </w:p>
        </w:tc>
        <w:tc>
          <w:tcPr>
            <w:shd w:fill="F3F4F6" w:color="auto" w:val="solid"/>
            <w:tcMar>
              <w:top w:type="dxa" w:w="60"/>
              <w:left w:type="dxa" w:w="80"/>
              <w:bottom w:type="dxa" w:w="60"/>
              <w:right w:type="dxa" w:w="80"/>
            </w:tcMar>
          </w:tcPr>
          <w:p>
            <w:r>
              <w:rPr>
                <w:rFonts w:ascii="Calibri" w:cs="Calibri" w:eastAsia="Calibri" w:hAnsi="Calibri"/>
                <w:b/>
                <w:bCs/>
                <w:sz w:val="16"/>
                <w:szCs w:val="16"/>
              </w:rPr>
              <w:t xml:space="preserve">Zona</w:t>
            </w:r>
          </w:p>
        </w:tc>
        <w:tc>
          <w:tcPr>
            <w:shd w:fill="F3F4F6" w:color="auto" w:val="solid"/>
            <w:tcMar>
              <w:top w:type="dxa" w:w="60"/>
              <w:left w:type="dxa" w:w="80"/>
              <w:bottom w:type="dxa" w:w="60"/>
              <w:right w:type="dxa" w:w="80"/>
            </w:tcMar>
          </w:tcPr>
          <w:p>
            <w:r>
              <w:rPr>
                <w:rFonts w:ascii="Calibri" w:cs="Calibri" w:eastAsia="Calibri" w:hAnsi="Calibri"/>
                <w:b/>
                <w:bCs/>
                <w:sz w:val="16"/>
                <w:szCs w:val="16"/>
              </w:rPr>
              <w:t xml:space="preserve">Flujo peatonal</w:t>
            </w:r>
          </w:p>
        </w:tc>
        <w:tc>
          <w:tcPr>
            <w:shd w:fill="F3F4F6" w:color="auto" w:val="solid"/>
            <w:tcMar>
              <w:top w:type="dxa" w:w="60"/>
              <w:left w:type="dxa" w:w="80"/>
              <w:bottom w:type="dxa" w:w="60"/>
              <w:right w:type="dxa" w:w="80"/>
            </w:tcMar>
          </w:tcPr>
          <w:p>
            <w:r>
              <w:rPr>
                <w:rFonts w:ascii="Calibri" w:cs="Calibri" w:eastAsia="Calibri" w:hAnsi="Calibri"/>
                <w:b/>
                <w:bCs/>
                <w:sz w:val="16"/>
                <w:szCs w:val="16"/>
              </w:rPr>
              <w:t xml:space="preserve">Ticket</w:t>
            </w:r>
          </w:p>
        </w:tc>
        <w:tc>
          <w:tcPr>
            <w:shd w:fill="F3F4F6" w:color="auto" w:val="solid"/>
            <w:tcMar>
              <w:top w:type="dxa" w:w="60"/>
              <w:left w:type="dxa" w:w="80"/>
              <w:bottom w:type="dxa" w:w="60"/>
              <w:right w:type="dxa" w:w="80"/>
            </w:tcMar>
          </w:tcPr>
          <w:p>
            <w:r>
              <w:rPr>
                <w:rFonts w:ascii="Calibri" w:cs="Calibri" w:eastAsia="Calibri" w:hAnsi="Calibri"/>
                <w:b/>
                <w:bCs/>
                <w:sz w:val="16"/>
                <w:szCs w:val="16"/>
              </w:rPr>
              <w:t xml:space="preserve">Combos y4</w:t>
            </w:r>
          </w:p>
        </w:tc>
        <w:tc>
          <w:tcPr>
            <w:shd w:fill="F3F4F6" w:color="auto" w:val="solid"/>
            <w:tcMar>
              <w:top w:type="dxa" w:w="60"/>
              <w:left w:type="dxa" w:w="80"/>
              <w:bottom w:type="dxa" w:w="60"/>
              <w:right w:type="dxa" w:w="80"/>
            </w:tcMar>
          </w:tcPr>
          <w:p>
            <w:r>
              <w:rPr>
                <w:rFonts w:ascii="Calibri" w:cs="Calibri" w:eastAsia="Calibri" w:hAnsi="Calibri"/>
                <w:b/>
                <w:bCs/>
                <w:sz w:val="16"/>
                <w:szCs w:val="16"/>
              </w:rPr>
              <w:t xml:space="preserve">VAN base</w:t>
            </w:r>
          </w:p>
        </w:tc>
        <w:tc>
          <w:tcPr>
            <w:shd w:fill="F3F4F6" w:color="auto" w:val="solid"/>
            <w:tcMar>
              <w:top w:type="dxa" w:w="60"/>
              <w:left w:type="dxa" w:w="80"/>
              <w:bottom w:type="dxa" w:w="60"/>
              <w:right w:type="dxa" w:w="80"/>
            </w:tcMar>
          </w:tcPr>
          <w:p>
            <w:r>
              <w:rPr>
                <w:rFonts w:ascii="Calibri" w:cs="Calibri" w:eastAsia="Calibri" w:hAnsi="Calibri"/>
                <w:b/>
                <w:bCs/>
                <w:sz w:val="16"/>
                <w:szCs w:val="16"/>
              </w:rPr>
              <w:t xml:space="preserve">TIR</w:t>
            </w:r>
          </w:p>
        </w:tc>
        <w:tc>
          <w:tcPr>
            <w:shd w:fill="F3F4F6" w:color="auto" w:val="solid"/>
            <w:tcMar>
              <w:top w:type="dxa" w:w="60"/>
              <w:left w:type="dxa" w:w="80"/>
              <w:bottom w:type="dxa" w:w="60"/>
              <w:right w:type="dxa" w:w="80"/>
            </w:tcMar>
          </w:tcPr>
          <w:p>
            <w:r>
              <w:rPr>
                <w:rFonts w:ascii="Calibri" w:cs="Calibri" w:eastAsia="Calibri" w:hAnsi="Calibri"/>
                <w:b/>
                <w:bCs/>
                <w:sz w:val="16"/>
                <w:szCs w:val="16"/>
              </w:rPr>
              <w:t xml:space="preserve">Veredicto</w:t>
            </w:r>
          </w:p>
        </w:tc>
      </w:tr>
      <w:tr>
        <w:trPr>
          <w:tblHeader w:val="false"/>
        </w:trPr>
        <w:tc>
          <w:tcPr>
            <w:tcMar>
              <w:top w:type="dxa" w:w="60"/>
              <w:left w:type="dxa" w:w="80"/>
              <w:bottom w:type="dxa" w:w="60"/>
              <w:right w:type="dxa" w:w="80"/>
            </w:tcMar>
          </w:tcPr>
          <w:p>
            <w:r>
              <w:rPr>
                <w:rFonts w:ascii="Calibri" w:cs="Calibri" w:eastAsia="Calibri" w:hAnsi="Calibri"/>
                <w:b w:val="false"/>
                <w:bCs w:val="false"/>
                <w:sz w:val="16"/>
                <w:szCs w:val="16"/>
              </w:rPr>
              <w:t xml:space="preserve">1</w:t>
            </w:r>
          </w:p>
        </w:tc>
        <w:tc>
          <w:tcPr>
            <w:tcMar>
              <w:top w:type="dxa" w:w="60"/>
              <w:left w:type="dxa" w:w="80"/>
              <w:bottom w:type="dxa" w:w="60"/>
              <w:right w:type="dxa" w:w="80"/>
            </w:tcMar>
          </w:tcPr>
          <w:p>
            <w:r>
              <w:rPr>
                <w:rFonts w:ascii="Calibri" w:cs="Calibri" w:eastAsia="Calibri" w:hAnsi="Calibri"/>
                <w:b w:val="false"/>
                <w:bCs w:val="false"/>
                <w:sz w:val="16"/>
                <w:szCs w:val="16"/>
              </w:rPr>
              <w:t xml:space="preserve">El Golf · Las Condes</w:t>
            </w:r>
          </w:p>
        </w:tc>
        <w:tc>
          <w:tcPr>
            <w:tcMar>
              <w:top w:type="dxa" w:w="60"/>
              <w:left w:type="dxa" w:w="80"/>
              <w:bottom w:type="dxa" w:w="60"/>
              <w:right w:type="dxa" w:w="80"/>
            </w:tcMar>
          </w:tcPr>
          <w:p>
            <w:r>
              <w:rPr>
                <w:rFonts w:ascii="Calibri" w:cs="Calibri" w:eastAsia="Calibri" w:hAnsi="Calibri"/>
                <w:b w:val="false"/>
                <w:bCs w:val="false"/>
                <w:sz w:val="16"/>
                <w:szCs w:val="16"/>
              </w:rPr>
              <w:t xml:space="preserve">28.000</w:t>
            </w:r>
          </w:p>
        </w:tc>
        <w:tc>
          <w:tcPr>
            <w:tcMar>
              <w:top w:type="dxa" w:w="60"/>
              <w:left w:type="dxa" w:w="80"/>
              <w:bottom w:type="dxa" w:w="60"/>
              <w:right w:type="dxa" w:w="80"/>
            </w:tcMar>
          </w:tcPr>
          <w:p>
            <w:r>
              <w:rPr>
                <w:rFonts w:ascii="Calibri" w:cs="Calibri" w:eastAsia="Calibri" w:hAnsi="Calibri"/>
                <w:b w:val="false"/>
                <w:bCs w:val="false"/>
                <w:sz w:val="16"/>
                <w:szCs w:val="16"/>
              </w:rPr>
              <w:t xml:space="preserve">$4.500</w:t>
            </w:r>
          </w:p>
        </w:tc>
        <w:tc>
          <w:tcPr>
            <w:tcMar>
              <w:top w:type="dxa" w:w="60"/>
              <w:left w:type="dxa" w:w="80"/>
              <w:bottom w:type="dxa" w:w="60"/>
              <w:right w:type="dxa" w:w="80"/>
            </w:tcMar>
          </w:tcPr>
          <w:p>
            <w:r>
              <w:rPr>
                <w:rFonts w:ascii="Calibri" w:cs="Calibri" w:eastAsia="Calibri" w:hAnsi="Calibri"/>
                <w:b w:val="false"/>
                <w:bCs w:val="false"/>
                <w:sz w:val="16"/>
                <w:szCs w:val="16"/>
              </w:rPr>
              <w:t xml:space="preserve">135</w:t>
            </w:r>
          </w:p>
        </w:tc>
        <w:tc>
          <w:tcPr>
            <w:tcMar>
              <w:top w:type="dxa" w:w="60"/>
              <w:left w:type="dxa" w:w="80"/>
              <w:bottom w:type="dxa" w:w="60"/>
              <w:right w:type="dxa" w:w="80"/>
            </w:tcMar>
          </w:tcPr>
          <w:p>
            <w:r>
              <w:rPr>
                <w:rFonts w:ascii="Calibri" w:cs="Calibri" w:eastAsia="Calibri" w:hAnsi="Calibri"/>
                <w:b w:val="false"/>
                <w:bCs w:val="false"/>
                <w:sz w:val="16"/>
                <w:szCs w:val="16"/>
              </w:rPr>
              <w:t xml:space="preserve">CLP 107.2 M</w:t>
            </w:r>
          </w:p>
        </w:tc>
        <w:tc>
          <w:tcPr>
            <w:tcMar>
              <w:top w:type="dxa" w:w="60"/>
              <w:left w:type="dxa" w:w="80"/>
              <w:bottom w:type="dxa" w:w="60"/>
              <w:right w:type="dxa" w:w="80"/>
            </w:tcMar>
          </w:tcPr>
          <w:p>
            <w:r>
              <w:rPr>
                <w:rFonts w:ascii="Calibri" w:cs="Calibri" w:eastAsia="Calibri" w:hAnsi="Calibri"/>
                <w:b w:val="false"/>
                <w:bCs w:val="false"/>
                <w:sz w:val="16"/>
                <w:szCs w:val="16"/>
              </w:rPr>
              <w:t xml:space="preserve">49.0%</w:t>
            </w:r>
          </w:p>
        </w:tc>
        <w:tc>
          <w:tcPr>
            <w:tcMar>
              <w:top w:type="dxa" w:w="60"/>
              <w:left w:type="dxa" w:w="80"/>
              <w:bottom w:type="dxa" w:w="60"/>
              <w:right w:type="dxa" w:w="80"/>
            </w:tcMar>
          </w:tcPr>
          <w:p>
            <w:r>
              <w:rPr>
                <w:rFonts w:ascii="Calibri" w:cs="Calibri" w:eastAsia="Calibri" w:hAnsi="Calibri"/>
                <w:b w:val="false"/>
                <w:bCs w:val="false"/>
                <w:sz w:val="16"/>
                <w:szCs w:val="16"/>
              </w:rPr>
              <w:t xml:space="preserve">Aceptable con riesgo</w:t>
            </w:r>
          </w:p>
        </w:tc>
      </w:tr>
      <w:tr>
        <w:trPr>
          <w:tblHeader w:val="false"/>
        </w:trPr>
        <w:tc>
          <w:tcPr>
            <w:tcMar>
              <w:top w:type="dxa" w:w="60"/>
              <w:left w:type="dxa" w:w="80"/>
              <w:bottom w:type="dxa" w:w="60"/>
              <w:right w:type="dxa" w:w="80"/>
            </w:tcMar>
          </w:tcPr>
          <w:p>
            <w:r>
              <w:rPr>
                <w:rFonts w:ascii="Calibri" w:cs="Calibri" w:eastAsia="Calibri" w:hAnsi="Calibri"/>
                <w:b w:val="false"/>
                <w:bCs w:val="false"/>
                <w:sz w:val="16"/>
                <w:szCs w:val="16"/>
              </w:rPr>
              <w:t xml:space="preserve">2</w:t>
            </w:r>
          </w:p>
        </w:tc>
        <w:tc>
          <w:tcPr>
            <w:tcMar>
              <w:top w:type="dxa" w:w="60"/>
              <w:left w:type="dxa" w:w="80"/>
              <w:bottom w:type="dxa" w:w="60"/>
              <w:right w:type="dxa" w:w="80"/>
            </w:tcMar>
          </w:tcPr>
          <w:p>
            <w:r>
              <w:rPr>
                <w:rFonts w:ascii="Calibri" w:cs="Calibri" w:eastAsia="Calibri" w:hAnsi="Calibri"/>
                <w:b w:val="false"/>
                <w:bCs w:val="false"/>
                <w:sz w:val="16"/>
                <w:szCs w:val="16"/>
              </w:rPr>
              <w:t xml:space="preserve">Providencia · Pedro de Valdivia</w:t>
            </w:r>
          </w:p>
        </w:tc>
        <w:tc>
          <w:tcPr>
            <w:tcMar>
              <w:top w:type="dxa" w:w="60"/>
              <w:left w:type="dxa" w:w="80"/>
              <w:bottom w:type="dxa" w:w="60"/>
              <w:right w:type="dxa" w:w="80"/>
            </w:tcMar>
          </w:tcPr>
          <w:p>
            <w:r>
              <w:rPr>
                <w:rFonts w:ascii="Calibri" w:cs="Calibri" w:eastAsia="Calibri" w:hAnsi="Calibri"/>
                <w:b w:val="false"/>
                <w:bCs w:val="false"/>
                <w:sz w:val="16"/>
                <w:szCs w:val="16"/>
              </w:rPr>
              <w:t xml:space="preserve">38.000</w:t>
            </w:r>
          </w:p>
        </w:tc>
        <w:tc>
          <w:tcPr>
            <w:tcMar>
              <w:top w:type="dxa" w:w="60"/>
              <w:left w:type="dxa" w:w="80"/>
              <w:bottom w:type="dxa" w:w="60"/>
              <w:right w:type="dxa" w:w="80"/>
            </w:tcMar>
          </w:tcPr>
          <w:p>
            <w:r>
              <w:rPr>
                <w:rFonts w:ascii="Calibri" w:cs="Calibri" w:eastAsia="Calibri" w:hAnsi="Calibri"/>
                <w:b w:val="false"/>
                <w:bCs w:val="false"/>
                <w:sz w:val="16"/>
                <w:szCs w:val="16"/>
              </w:rPr>
              <w:t xml:space="preserve">$3.700</w:t>
            </w:r>
          </w:p>
        </w:tc>
        <w:tc>
          <w:tcPr>
            <w:tcMar>
              <w:top w:type="dxa" w:w="60"/>
              <w:left w:type="dxa" w:w="80"/>
              <w:bottom w:type="dxa" w:w="60"/>
              <w:right w:type="dxa" w:w="80"/>
            </w:tcMar>
          </w:tcPr>
          <w:p>
            <w:r>
              <w:rPr>
                <w:rFonts w:ascii="Calibri" w:cs="Calibri" w:eastAsia="Calibri" w:hAnsi="Calibri"/>
                <w:b w:val="false"/>
                <w:bCs w:val="false"/>
                <w:sz w:val="16"/>
                <w:szCs w:val="16"/>
              </w:rPr>
              <w:t xml:space="preserve">134</w:t>
            </w:r>
          </w:p>
        </w:tc>
        <w:tc>
          <w:tcPr>
            <w:tcMar>
              <w:top w:type="dxa" w:w="60"/>
              <w:left w:type="dxa" w:w="80"/>
              <w:bottom w:type="dxa" w:w="60"/>
              <w:right w:type="dxa" w:w="80"/>
            </w:tcMar>
          </w:tcPr>
          <w:p>
            <w:r>
              <w:rPr>
                <w:rFonts w:ascii="Calibri" w:cs="Calibri" w:eastAsia="Calibri" w:hAnsi="Calibri"/>
                <w:b w:val="false"/>
                <w:bCs w:val="false"/>
                <w:sz w:val="16"/>
                <w:szCs w:val="16"/>
              </w:rPr>
              <w:t xml:space="preserve">CLP 46.1 M</w:t>
            </w:r>
          </w:p>
        </w:tc>
        <w:tc>
          <w:tcPr>
            <w:tcMar>
              <w:top w:type="dxa" w:w="60"/>
              <w:left w:type="dxa" w:w="80"/>
              <w:bottom w:type="dxa" w:w="60"/>
              <w:right w:type="dxa" w:w="80"/>
            </w:tcMar>
          </w:tcPr>
          <w:p>
            <w:r>
              <w:rPr>
                <w:rFonts w:ascii="Calibri" w:cs="Calibri" w:eastAsia="Calibri" w:hAnsi="Calibri"/>
                <w:b w:val="false"/>
                <w:bCs w:val="false"/>
                <w:sz w:val="16"/>
                <w:szCs w:val="16"/>
              </w:rPr>
              <w:t xml:space="preserve">31.5%</w:t>
            </w:r>
          </w:p>
        </w:tc>
        <w:tc>
          <w:tcPr>
            <w:tcMar>
              <w:top w:type="dxa" w:w="60"/>
              <w:left w:type="dxa" w:w="80"/>
              <w:bottom w:type="dxa" w:w="60"/>
              <w:right w:type="dxa" w:w="80"/>
            </w:tcMar>
          </w:tcPr>
          <w:p>
            <w:r>
              <w:rPr>
                <w:rFonts w:ascii="Calibri" w:cs="Calibri" w:eastAsia="Calibri" w:hAnsi="Calibri"/>
                <w:b w:val="false"/>
                <w:bCs w:val="false"/>
                <w:sz w:val="16"/>
                <w:szCs w:val="16"/>
              </w:rPr>
              <w:t xml:space="preserve">Aceptable con riesgo</w:t>
            </w:r>
          </w:p>
        </w:tc>
      </w:tr>
      <w:tr>
        <w:trPr>
          <w:tblHeader w:val="false"/>
        </w:trPr>
        <w:tc>
          <w:tcPr>
            <w:tcMar>
              <w:top w:type="dxa" w:w="60"/>
              <w:left w:type="dxa" w:w="80"/>
              <w:bottom w:type="dxa" w:w="60"/>
              <w:right w:type="dxa" w:w="80"/>
            </w:tcMar>
          </w:tcPr>
          <w:p>
            <w:r>
              <w:rPr>
                <w:rFonts w:ascii="Calibri" w:cs="Calibri" w:eastAsia="Calibri" w:hAnsi="Calibri"/>
                <w:b w:val="false"/>
                <w:bCs w:val="false"/>
                <w:sz w:val="16"/>
                <w:szCs w:val="16"/>
              </w:rPr>
              <w:t xml:space="preserve">3</w:t>
            </w:r>
          </w:p>
        </w:tc>
        <w:tc>
          <w:tcPr>
            <w:tcMar>
              <w:top w:type="dxa" w:w="60"/>
              <w:left w:type="dxa" w:w="80"/>
              <w:bottom w:type="dxa" w:w="60"/>
              <w:right w:type="dxa" w:w="80"/>
            </w:tcMar>
          </w:tcPr>
          <w:p>
            <w:r>
              <w:rPr>
                <w:rFonts w:ascii="Calibri" w:cs="Calibri" w:eastAsia="Calibri" w:hAnsi="Calibri"/>
                <w:b w:val="false"/>
                <w:bCs w:val="false"/>
                <w:sz w:val="16"/>
                <w:szCs w:val="16"/>
              </w:rPr>
              <w:t xml:space="preserve">Vitacura · Alonso de Córdova</w:t>
            </w:r>
          </w:p>
        </w:tc>
        <w:tc>
          <w:tcPr>
            <w:tcMar>
              <w:top w:type="dxa" w:w="60"/>
              <w:left w:type="dxa" w:w="80"/>
              <w:bottom w:type="dxa" w:w="60"/>
              <w:right w:type="dxa" w:w="80"/>
            </w:tcMar>
          </w:tcPr>
          <w:p>
            <w:r>
              <w:rPr>
                <w:rFonts w:ascii="Calibri" w:cs="Calibri" w:eastAsia="Calibri" w:hAnsi="Calibri"/>
                <w:b w:val="false"/>
                <w:bCs w:val="false"/>
                <w:sz w:val="16"/>
                <w:szCs w:val="16"/>
              </w:rPr>
              <w:t xml:space="preserve">22.000</w:t>
            </w:r>
          </w:p>
        </w:tc>
        <w:tc>
          <w:tcPr>
            <w:tcMar>
              <w:top w:type="dxa" w:w="60"/>
              <w:left w:type="dxa" w:w="80"/>
              <w:bottom w:type="dxa" w:w="60"/>
              <w:right w:type="dxa" w:w="80"/>
            </w:tcMar>
          </w:tcPr>
          <w:p>
            <w:r>
              <w:rPr>
                <w:rFonts w:ascii="Calibri" w:cs="Calibri" w:eastAsia="Calibri" w:hAnsi="Calibri"/>
                <w:b w:val="false"/>
                <w:bCs w:val="false"/>
                <w:sz w:val="16"/>
                <w:szCs w:val="16"/>
              </w:rPr>
              <w:t xml:space="preserve">$4.200</w:t>
            </w:r>
          </w:p>
        </w:tc>
        <w:tc>
          <w:tcPr>
            <w:tcMar>
              <w:top w:type="dxa" w:w="60"/>
              <w:left w:type="dxa" w:w="80"/>
              <w:bottom w:type="dxa" w:w="60"/>
              <w:right w:type="dxa" w:w="80"/>
            </w:tcMar>
          </w:tcPr>
          <w:p>
            <w:r>
              <w:rPr>
                <w:rFonts w:ascii="Calibri" w:cs="Calibri" w:eastAsia="Calibri" w:hAnsi="Calibri"/>
                <w:b w:val="false"/>
                <w:bCs w:val="false"/>
                <w:sz w:val="16"/>
                <w:szCs w:val="16"/>
              </w:rPr>
              <w:t xml:space="preserve">119</w:t>
            </w:r>
          </w:p>
        </w:tc>
        <w:tc>
          <w:tcPr>
            <w:tcMar>
              <w:top w:type="dxa" w:w="60"/>
              <w:left w:type="dxa" w:w="80"/>
              <w:bottom w:type="dxa" w:w="60"/>
              <w:right w:type="dxa" w:w="80"/>
            </w:tcMar>
          </w:tcPr>
          <w:p>
            <w:r>
              <w:rPr>
                <w:rFonts w:ascii="Calibri" w:cs="Calibri" w:eastAsia="Calibri" w:hAnsi="Calibri"/>
                <w:b w:val="false"/>
                <w:bCs w:val="false"/>
                <w:sz w:val="16"/>
                <w:szCs w:val="16"/>
              </w:rPr>
              <w:t xml:space="preserve">CLP 41.0 M</w:t>
            </w:r>
          </w:p>
        </w:tc>
        <w:tc>
          <w:tcPr>
            <w:tcMar>
              <w:top w:type="dxa" w:w="60"/>
              <w:left w:type="dxa" w:w="80"/>
              <w:bottom w:type="dxa" w:w="60"/>
              <w:right w:type="dxa" w:w="80"/>
            </w:tcMar>
          </w:tcPr>
          <w:p>
            <w:r>
              <w:rPr>
                <w:rFonts w:ascii="Calibri" w:cs="Calibri" w:eastAsia="Calibri" w:hAnsi="Calibri"/>
                <w:b w:val="false"/>
                <w:bCs w:val="false"/>
                <w:sz w:val="16"/>
                <w:szCs w:val="16"/>
              </w:rPr>
              <w:t xml:space="preserve">29.4%</w:t>
            </w:r>
          </w:p>
        </w:tc>
        <w:tc>
          <w:tcPr>
            <w:tcMar>
              <w:top w:type="dxa" w:w="60"/>
              <w:left w:type="dxa" w:w="80"/>
              <w:bottom w:type="dxa" w:w="60"/>
              <w:right w:type="dxa" w:w="80"/>
            </w:tcMar>
          </w:tcPr>
          <w:p>
            <w:r>
              <w:rPr>
                <w:rFonts w:ascii="Calibri" w:cs="Calibri" w:eastAsia="Calibri" w:hAnsi="Calibri"/>
                <w:b w:val="false"/>
                <w:bCs w:val="false"/>
                <w:sz w:val="16"/>
                <w:szCs w:val="16"/>
              </w:rPr>
              <w:t xml:space="preserve">Aceptable con riesgo</w:t>
            </w:r>
          </w:p>
        </w:tc>
      </w:tr>
      <w:tr>
        <w:trPr>
          <w:tblHeader w:val="false"/>
        </w:trPr>
        <w:tc>
          <w:tcPr>
            <w:tcMar>
              <w:top w:type="dxa" w:w="60"/>
              <w:left w:type="dxa" w:w="80"/>
              <w:bottom w:type="dxa" w:w="60"/>
              <w:right w:type="dxa" w:w="80"/>
            </w:tcMar>
          </w:tcPr>
          <w:p>
            <w:r>
              <w:rPr>
                <w:rFonts w:ascii="Calibri" w:cs="Calibri" w:eastAsia="Calibri" w:hAnsi="Calibri"/>
                <w:b w:val="false"/>
                <w:bCs w:val="false"/>
                <w:sz w:val="16"/>
                <w:szCs w:val="16"/>
              </w:rPr>
              <w:t xml:space="preserve">4</w:t>
            </w:r>
          </w:p>
        </w:tc>
        <w:tc>
          <w:tcPr>
            <w:tcMar>
              <w:top w:type="dxa" w:w="60"/>
              <w:left w:type="dxa" w:w="80"/>
              <w:bottom w:type="dxa" w:w="60"/>
              <w:right w:type="dxa" w:w="80"/>
            </w:tcMar>
          </w:tcPr>
          <w:p>
            <w:r>
              <w:rPr>
                <w:rFonts w:ascii="Calibri" w:cs="Calibri" w:eastAsia="Calibri" w:hAnsi="Calibri"/>
                <w:b w:val="false"/>
                <w:bCs w:val="false"/>
                <w:sz w:val="16"/>
                <w:szCs w:val="16"/>
              </w:rPr>
              <w:t xml:space="preserve">Ñuñoa · Plaza Ñuñoa</w:t>
            </w:r>
          </w:p>
        </w:tc>
        <w:tc>
          <w:tcPr>
            <w:tcMar>
              <w:top w:type="dxa" w:w="60"/>
              <w:left w:type="dxa" w:w="80"/>
              <w:bottom w:type="dxa" w:w="60"/>
              <w:right w:type="dxa" w:w="80"/>
            </w:tcMar>
          </w:tcPr>
          <w:p>
            <w:r>
              <w:rPr>
                <w:rFonts w:ascii="Calibri" w:cs="Calibri" w:eastAsia="Calibri" w:hAnsi="Calibri"/>
                <w:b w:val="false"/>
                <w:bCs w:val="false"/>
                <w:sz w:val="16"/>
                <w:szCs w:val="16"/>
              </w:rPr>
              <w:t xml:space="preserve">24.000</w:t>
            </w:r>
          </w:p>
        </w:tc>
        <w:tc>
          <w:tcPr>
            <w:tcMar>
              <w:top w:type="dxa" w:w="60"/>
              <w:left w:type="dxa" w:w="80"/>
              <w:bottom w:type="dxa" w:w="60"/>
              <w:right w:type="dxa" w:w="80"/>
            </w:tcMar>
          </w:tcPr>
          <w:p>
            <w:r>
              <w:rPr>
                <w:rFonts w:ascii="Calibri" w:cs="Calibri" w:eastAsia="Calibri" w:hAnsi="Calibri"/>
                <w:b w:val="false"/>
                <w:bCs w:val="false"/>
                <w:sz w:val="16"/>
                <w:szCs w:val="16"/>
              </w:rPr>
              <w:t xml:space="preserve">$3.300</w:t>
            </w:r>
          </w:p>
        </w:tc>
        <w:tc>
          <w:tcPr>
            <w:tcMar>
              <w:top w:type="dxa" w:w="60"/>
              <w:left w:type="dxa" w:w="80"/>
              <w:bottom w:type="dxa" w:w="60"/>
              <w:right w:type="dxa" w:w="80"/>
            </w:tcMar>
          </w:tcPr>
          <w:p>
            <w:r>
              <w:rPr>
                <w:rFonts w:ascii="Calibri" w:cs="Calibri" w:eastAsia="Calibri" w:hAnsi="Calibri"/>
                <w:b w:val="false"/>
                <w:bCs w:val="false"/>
                <w:sz w:val="16"/>
                <w:szCs w:val="16"/>
              </w:rPr>
              <w:t xml:space="preserve">139</w:t>
            </w:r>
          </w:p>
        </w:tc>
        <w:tc>
          <w:tcPr>
            <w:tcMar>
              <w:top w:type="dxa" w:w="60"/>
              <w:left w:type="dxa" w:w="80"/>
              <w:bottom w:type="dxa" w:w="60"/>
              <w:right w:type="dxa" w:w="80"/>
            </w:tcMar>
          </w:tcPr>
          <w:p>
            <w:r>
              <w:rPr>
                <w:rFonts w:ascii="Calibri" w:cs="Calibri" w:eastAsia="Calibri" w:hAnsi="Calibri"/>
                <w:b w:val="false"/>
                <w:bCs w:val="false"/>
                <w:sz w:val="16"/>
                <w:szCs w:val="16"/>
              </w:rPr>
              <w:t xml:space="preserve">CLP 27.5 M</w:t>
            </w:r>
          </w:p>
        </w:tc>
        <w:tc>
          <w:tcPr>
            <w:tcMar>
              <w:top w:type="dxa" w:w="60"/>
              <w:left w:type="dxa" w:w="80"/>
              <w:bottom w:type="dxa" w:w="60"/>
              <w:right w:type="dxa" w:w="80"/>
            </w:tcMar>
          </w:tcPr>
          <w:p>
            <w:r>
              <w:rPr>
                <w:rFonts w:ascii="Calibri" w:cs="Calibri" w:eastAsia="Calibri" w:hAnsi="Calibri"/>
                <w:b w:val="false"/>
                <w:bCs w:val="false"/>
                <w:sz w:val="16"/>
                <w:szCs w:val="16"/>
              </w:rPr>
              <w:t xml:space="preserve">25.2%</w:t>
            </w:r>
          </w:p>
        </w:tc>
        <w:tc>
          <w:tcPr>
            <w:tcMar>
              <w:top w:type="dxa" w:w="60"/>
              <w:left w:type="dxa" w:w="80"/>
              <w:bottom w:type="dxa" w:w="60"/>
              <w:right w:type="dxa" w:w="80"/>
            </w:tcMar>
          </w:tcPr>
          <w:p>
            <w:r>
              <w:rPr>
                <w:rFonts w:ascii="Calibri" w:cs="Calibri" w:eastAsia="Calibri" w:hAnsi="Calibri"/>
                <w:b w:val="false"/>
                <w:bCs w:val="false"/>
                <w:sz w:val="16"/>
                <w:szCs w:val="16"/>
              </w:rPr>
              <w:t xml:space="preserve">Aceptable con riesgo</w:t>
            </w:r>
          </w:p>
        </w:tc>
      </w:tr>
      <w:tr>
        <w:trPr>
          <w:tblHeader w:val="false"/>
        </w:trPr>
        <w:tc>
          <w:tcPr>
            <w:tcMar>
              <w:top w:type="dxa" w:w="60"/>
              <w:left w:type="dxa" w:w="80"/>
              <w:bottom w:type="dxa" w:w="60"/>
              <w:right w:type="dxa" w:w="80"/>
            </w:tcMar>
          </w:tcPr>
          <w:p>
            <w:r>
              <w:rPr>
                <w:rFonts w:ascii="Calibri" w:cs="Calibri" w:eastAsia="Calibri" w:hAnsi="Calibri"/>
                <w:b w:val="false"/>
                <w:bCs w:val="false"/>
                <w:sz w:val="16"/>
                <w:szCs w:val="16"/>
              </w:rPr>
              <w:t xml:space="preserve">5</w:t>
            </w:r>
          </w:p>
        </w:tc>
        <w:tc>
          <w:tcPr>
            <w:tcMar>
              <w:top w:type="dxa" w:w="60"/>
              <w:left w:type="dxa" w:w="80"/>
              <w:bottom w:type="dxa" w:w="60"/>
              <w:right w:type="dxa" w:w="80"/>
            </w:tcMar>
          </w:tcPr>
          <w:p>
            <w:r>
              <w:rPr>
                <w:rFonts w:ascii="Calibri" w:cs="Calibri" w:eastAsia="Calibri" w:hAnsi="Calibri"/>
                <w:b w:val="false"/>
                <w:bCs w:val="false"/>
                <w:sz w:val="16"/>
                <w:szCs w:val="16"/>
              </w:rPr>
              <w:t xml:space="preserve">Apoquindo / El Bosque · Las Condes</w:t>
            </w:r>
          </w:p>
        </w:tc>
        <w:tc>
          <w:tcPr>
            <w:tcMar>
              <w:top w:type="dxa" w:w="60"/>
              <w:left w:type="dxa" w:w="80"/>
              <w:bottom w:type="dxa" w:w="60"/>
              <w:right w:type="dxa" w:w="80"/>
            </w:tcMar>
          </w:tcPr>
          <w:p>
            <w:r>
              <w:rPr>
                <w:rFonts w:ascii="Calibri" w:cs="Calibri" w:eastAsia="Calibri" w:hAnsi="Calibri"/>
                <w:b w:val="false"/>
                <w:bCs w:val="false"/>
                <w:sz w:val="16"/>
                <w:szCs w:val="16"/>
              </w:rPr>
              <w:t xml:space="preserve">35.000</w:t>
            </w:r>
          </w:p>
        </w:tc>
        <w:tc>
          <w:tcPr>
            <w:tcMar>
              <w:top w:type="dxa" w:w="60"/>
              <w:left w:type="dxa" w:w="80"/>
              <w:bottom w:type="dxa" w:w="60"/>
              <w:right w:type="dxa" w:w="80"/>
            </w:tcMar>
          </w:tcPr>
          <w:p>
            <w:r>
              <w:rPr>
                <w:rFonts w:ascii="Calibri" w:cs="Calibri" w:eastAsia="Calibri" w:hAnsi="Calibri"/>
                <w:b w:val="false"/>
                <w:bCs w:val="false"/>
                <w:sz w:val="16"/>
                <w:szCs w:val="16"/>
              </w:rPr>
              <w:t xml:space="preserve">$3.800</w:t>
            </w:r>
          </w:p>
        </w:tc>
        <w:tc>
          <w:tcPr>
            <w:tcMar>
              <w:top w:type="dxa" w:w="60"/>
              <w:left w:type="dxa" w:w="80"/>
              <w:bottom w:type="dxa" w:w="60"/>
              <w:right w:type="dxa" w:w="80"/>
            </w:tcMar>
          </w:tcPr>
          <w:p>
            <w:r>
              <w:rPr>
                <w:rFonts w:ascii="Calibri" w:cs="Calibri" w:eastAsia="Calibri" w:hAnsi="Calibri"/>
                <w:b w:val="false"/>
                <w:bCs w:val="false"/>
                <w:sz w:val="16"/>
                <w:szCs w:val="16"/>
              </w:rPr>
              <w:t xml:space="preserve">126</w:t>
            </w:r>
          </w:p>
        </w:tc>
        <w:tc>
          <w:tcPr>
            <w:tcMar>
              <w:top w:type="dxa" w:w="60"/>
              <w:left w:type="dxa" w:w="80"/>
              <w:bottom w:type="dxa" w:w="60"/>
              <w:right w:type="dxa" w:w="80"/>
            </w:tcMar>
          </w:tcPr>
          <w:p>
            <w:r>
              <w:rPr>
                <w:rFonts w:ascii="Calibri" w:cs="Calibri" w:eastAsia="Calibri" w:hAnsi="Calibri"/>
                <w:b w:val="false"/>
                <w:bCs w:val="false"/>
                <w:sz w:val="16"/>
                <w:szCs w:val="16"/>
              </w:rPr>
              <w:t xml:space="preserve">CLP 24.7 M</w:t>
            </w:r>
          </w:p>
        </w:tc>
        <w:tc>
          <w:tcPr>
            <w:tcMar>
              <w:top w:type="dxa" w:w="60"/>
              <w:left w:type="dxa" w:w="80"/>
              <w:bottom w:type="dxa" w:w="60"/>
              <w:right w:type="dxa" w:w="80"/>
            </w:tcMar>
          </w:tcPr>
          <w:p>
            <w:r>
              <w:rPr>
                <w:rFonts w:ascii="Calibri" w:cs="Calibri" w:eastAsia="Calibri" w:hAnsi="Calibri"/>
                <w:b w:val="false"/>
                <w:bCs w:val="false"/>
                <w:sz w:val="16"/>
                <w:szCs w:val="16"/>
              </w:rPr>
              <w:t xml:space="preserve">23.6%</w:t>
            </w:r>
          </w:p>
        </w:tc>
        <w:tc>
          <w:tcPr>
            <w:tcMar>
              <w:top w:type="dxa" w:w="60"/>
              <w:left w:type="dxa" w:w="80"/>
              <w:bottom w:type="dxa" w:w="60"/>
              <w:right w:type="dxa" w:w="80"/>
            </w:tcMar>
          </w:tcPr>
          <w:p>
            <w:r>
              <w:rPr>
                <w:rFonts w:ascii="Calibri" w:cs="Calibri" w:eastAsia="Calibri" w:hAnsi="Calibri"/>
                <w:b w:val="false"/>
                <w:bCs w:val="false"/>
                <w:sz w:val="16"/>
                <w:szCs w:val="16"/>
              </w:rPr>
              <w:t xml:space="preserve">Aceptable con riesgo</w:t>
            </w:r>
          </w:p>
        </w:tc>
      </w:tr>
      <w:tr>
        <w:trPr>
          <w:tblHeader w:val="false"/>
        </w:trPr>
        <w:tc>
          <w:tcPr>
            <w:tcMar>
              <w:top w:type="dxa" w:w="60"/>
              <w:left w:type="dxa" w:w="80"/>
              <w:bottom w:type="dxa" w:w="60"/>
              <w:right w:type="dxa" w:w="80"/>
            </w:tcMar>
          </w:tcPr>
          <w:p>
            <w:r>
              <w:rPr>
                <w:rFonts w:ascii="Calibri" w:cs="Calibri" w:eastAsia="Calibri" w:hAnsi="Calibri"/>
                <w:b w:val="false"/>
                <w:bCs w:val="false"/>
                <w:sz w:val="16"/>
                <w:szCs w:val="16"/>
              </w:rPr>
              <w:t xml:space="preserve">6</w:t>
            </w:r>
          </w:p>
        </w:tc>
        <w:tc>
          <w:tcPr>
            <w:tcMar>
              <w:top w:type="dxa" w:w="60"/>
              <w:left w:type="dxa" w:w="80"/>
              <w:bottom w:type="dxa" w:w="60"/>
              <w:right w:type="dxa" w:w="80"/>
            </w:tcMar>
          </w:tcPr>
          <w:p>
            <w:r>
              <w:rPr>
                <w:rFonts w:ascii="Calibri" w:cs="Calibri" w:eastAsia="Calibri" w:hAnsi="Calibri"/>
                <w:b w:val="false"/>
                <w:bCs w:val="false"/>
                <w:sz w:val="16"/>
                <w:szCs w:val="16"/>
              </w:rPr>
              <w:t xml:space="preserve">Estación Central · USACH</w:t>
            </w:r>
          </w:p>
        </w:tc>
        <w:tc>
          <w:tcPr>
            <w:tcMar>
              <w:top w:type="dxa" w:w="60"/>
              <w:left w:type="dxa" w:w="80"/>
              <w:bottom w:type="dxa" w:w="60"/>
              <w:right w:type="dxa" w:w="80"/>
            </w:tcMar>
          </w:tcPr>
          <w:p>
            <w:r>
              <w:rPr>
                <w:rFonts w:ascii="Calibri" w:cs="Calibri" w:eastAsia="Calibri" w:hAnsi="Calibri"/>
                <w:b w:val="false"/>
                <w:bCs w:val="false"/>
                <w:sz w:val="16"/>
                <w:szCs w:val="16"/>
              </w:rPr>
              <w:t xml:space="preserve">42.000</w:t>
            </w:r>
          </w:p>
        </w:tc>
        <w:tc>
          <w:tcPr>
            <w:tcMar>
              <w:top w:type="dxa" w:w="60"/>
              <w:left w:type="dxa" w:w="80"/>
              <w:bottom w:type="dxa" w:w="60"/>
              <w:right w:type="dxa" w:w="80"/>
            </w:tcMar>
          </w:tcPr>
          <w:p>
            <w:r>
              <w:rPr>
                <w:rFonts w:ascii="Calibri" w:cs="Calibri" w:eastAsia="Calibri" w:hAnsi="Calibri"/>
                <w:b w:val="false"/>
                <w:bCs w:val="false"/>
                <w:sz w:val="16"/>
                <w:szCs w:val="16"/>
              </w:rPr>
              <w:t xml:space="preserve">$2.700</w:t>
            </w:r>
          </w:p>
        </w:tc>
        <w:tc>
          <w:tcPr>
            <w:tcMar>
              <w:top w:type="dxa" w:w="60"/>
              <w:left w:type="dxa" w:w="80"/>
              <w:bottom w:type="dxa" w:w="60"/>
              <w:right w:type="dxa" w:w="80"/>
            </w:tcMar>
          </w:tcPr>
          <w:p>
            <w:r>
              <w:rPr>
                <w:rFonts w:ascii="Calibri" w:cs="Calibri" w:eastAsia="Calibri" w:hAnsi="Calibri"/>
                <w:b w:val="false"/>
                <w:bCs w:val="false"/>
                <w:sz w:val="16"/>
                <w:szCs w:val="16"/>
              </w:rPr>
              <w:t xml:space="preserve">147</w:t>
            </w:r>
          </w:p>
        </w:tc>
        <w:tc>
          <w:tcPr>
            <w:tcMar>
              <w:top w:type="dxa" w:w="60"/>
              <w:left w:type="dxa" w:w="80"/>
              <w:bottom w:type="dxa" w:w="60"/>
              <w:right w:type="dxa" w:w="80"/>
            </w:tcMar>
          </w:tcPr>
          <w:p>
            <w:r>
              <w:rPr>
                <w:rFonts w:ascii="Calibri" w:cs="Calibri" w:eastAsia="Calibri" w:hAnsi="Calibri"/>
                <w:b w:val="false"/>
                <w:bCs w:val="false"/>
                <w:sz w:val="16"/>
                <w:szCs w:val="16"/>
              </w:rPr>
              <w:t xml:space="preserve">−CLP 23.5 M</w:t>
            </w:r>
          </w:p>
        </w:tc>
        <w:tc>
          <w:tcPr>
            <w:tcMar>
              <w:top w:type="dxa" w:w="60"/>
              <w:left w:type="dxa" w:w="80"/>
              <w:bottom w:type="dxa" w:w="60"/>
              <w:right w:type="dxa" w:w="80"/>
            </w:tcMar>
          </w:tcPr>
          <w:p>
            <w:r>
              <w:rPr>
                <w:rFonts w:ascii="Calibri" w:cs="Calibri" w:eastAsia="Calibri" w:hAnsi="Calibri"/>
                <w:b w:val="false"/>
                <w:bCs w:val="false"/>
                <w:sz w:val="16"/>
                <w:szCs w:val="16"/>
              </w:rPr>
              <w:t xml:space="preserve">3.0%</w:t>
            </w:r>
          </w:p>
        </w:tc>
        <w:tc>
          <w:tcPr>
            <w:tcMar>
              <w:top w:type="dxa" w:w="60"/>
              <w:left w:type="dxa" w:w="80"/>
              <w:bottom w:type="dxa" w:w="60"/>
              <w:right w:type="dxa" w:w="80"/>
            </w:tcMar>
          </w:tcPr>
          <w:p>
            <w:r>
              <w:rPr>
                <w:rFonts w:ascii="Calibri" w:cs="Calibri" w:eastAsia="Calibri" w:hAnsi="Calibri"/>
                <w:b w:val="false"/>
                <w:bCs w:val="false"/>
                <w:sz w:val="16"/>
                <w:szCs w:val="16"/>
              </w:rPr>
              <w:t xml:space="preserve">No conviene</w:t>
            </w:r>
          </w:p>
        </w:tc>
      </w:tr>
      <w:tr>
        <w:trPr>
          <w:tblHeader w:val="false"/>
        </w:trPr>
        <w:tc>
          <w:tcPr>
            <w:tcMar>
              <w:top w:type="dxa" w:w="60"/>
              <w:left w:type="dxa" w:w="80"/>
              <w:bottom w:type="dxa" w:w="60"/>
              <w:right w:type="dxa" w:w="80"/>
            </w:tcMar>
          </w:tcPr>
          <w:p>
            <w:r>
              <w:rPr>
                <w:rFonts w:ascii="Calibri" w:cs="Calibri" w:eastAsia="Calibri" w:hAnsi="Calibri"/>
                <w:b w:val="false"/>
                <w:bCs w:val="false"/>
                <w:sz w:val="16"/>
                <w:szCs w:val="16"/>
              </w:rPr>
              <w:t xml:space="preserve">7</w:t>
            </w:r>
          </w:p>
        </w:tc>
        <w:tc>
          <w:tcPr>
            <w:tcMar>
              <w:top w:type="dxa" w:w="60"/>
              <w:left w:type="dxa" w:w="80"/>
              <w:bottom w:type="dxa" w:w="60"/>
              <w:right w:type="dxa" w:w="80"/>
            </w:tcMar>
          </w:tcPr>
          <w:p>
            <w:r>
              <w:rPr>
                <w:rFonts w:ascii="Calibri" w:cs="Calibri" w:eastAsia="Calibri" w:hAnsi="Calibri"/>
                <w:b w:val="false"/>
                <w:bCs w:val="false"/>
                <w:sz w:val="16"/>
                <w:szCs w:val="16"/>
              </w:rPr>
              <w:t xml:space="preserve">Santiago Centro · Ahumada</w:t>
            </w:r>
          </w:p>
        </w:tc>
        <w:tc>
          <w:tcPr>
            <w:tcMar>
              <w:top w:type="dxa" w:w="60"/>
              <w:left w:type="dxa" w:w="80"/>
              <w:bottom w:type="dxa" w:w="60"/>
              <w:right w:type="dxa" w:w="80"/>
            </w:tcMar>
          </w:tcPr>
          <w:p>
            <w:r>
              <w:rPr>
                <w:rFonts w:ascii="Calibri" w:cs="Calibri" w:eastAsia="Calibri" w:hAnsi="Calibri"/>
                <w:b w:val="false"/>
                <w:bCs w:val="false"/>
                <w:sz w:val="16"/>
                <w:szCs w:val="16"/>
              </w:rPr>
              <w:t xml:space="preserve">95.000</w:t>
            </w:r>
          </w:p>
        </w:tc>
        <w:tc>
          <w:tcPr>
            <w:tcMar>
              <w:top w:type="dxa" w:w="60"/>
              <w:left w:type="dxa" w:w="80"/>
              <w:bottom w:type="dxa" w:w="60"/>
              <w:right w:type="dxa" w:w="80"/>
            </w:tcMar>
          </w:tcPr>
          <w:p>
            <w:r>
              <w:rPr>
                <w:rFonts w:ascii="Calibri" w:cs="Calibri" w:eastAsia="Calibri" w:hAnsi="Calibri"/>
                <w:b w:val="false"/>
                <w:bCs w:val="false"/>
                <w:sz w:val="16"/>
                <w:szCs w:val="16"/>
              </w:rPr>
              <w:t xml:space="preserve">$2.900</w:t>
            </w:r>
          </w:p>
        </w:tc>
        <w:tc>
          <w:tcPr>
            <w:tcMar>
              <w:top w:type="dxa" w:w="60"/>
              <w:left w:type="dxa" w:w="80"/>
              <w:bottom w:type="dxa" w:w="60"/>
              <w:right w:type="dxa" w:w="80"/>
            </w:tcMar>
          </w:tcPr>
          <w:p>
            <w:r>
              <w:rPr>
                <w:rFonts w:ascii="Calibri" w:cs="Calibri" w:eastAsia="Calibri" w:hAnsi="Calibri"/>
                <w:b w:val="false"/>
                <w:bCs w:val="false"/>
                <w:sz w:val="16"/>
                <w:szCs w:val="16"/>
              </w:rPr>
              <w:t xml:space="preserve">123</w:t>
            </w:r>
          </w:p>
        </w:tc>
        <w:tc>
          <w:tcPr>
            <w:tcMar>
              <w:top w:type="dxa" w:w="60"/>
              <w:left w:type="dxa" w:w="80"/>
              <w:bottom w:type="dxa" w:w="60"/>
              <w:right w:type="dxa" w:w="80"/>
            </w:tcMar>
          </w:tcPr>
          <w:p>
            <w:r>
              <w:rPr>
                <w:rFonts w:ascii="Calibri" w:cs="Calibri" w:eastAsia="Calibri" w:hAnsi="Calibri"/>
                <w:b w:val="false"/>
                <w:bCs w:val="false"/>
                <w:sz w:val="16"/>
                <w:szCs w:val="16"/>
              </w:rPr>
              <w:t xml:space="preserve">−CLP 58.3 M</w:t>
            </w:r>
          </w:p>
        </w:tc>
        <w:tc>
          <w:tcPr>
            <w:tcMar>
              <w:top w:type="dxa" w:w="60"/>
              <w:left w:type="dxa" w:w="80"/>
              <w:bottom w:type="dxa" w:w="60"/>
              <w:right w:type="dxa" w:w="80"/>
            </w:tcMar>
          </w:tcPr>
          <w:p>
            <w:r>
              <w:rPr>
                <w:rFonts w:ascii="Calibri" w:cs="Calibri" w:eastAsia="Calibri" w:hAnsi="Calibri"/>
                <w:b w:val="false"/>
                <w:bCs w:val="false"/>
                <w:sz w:val="16"/>
                <w:szCs w:val="16"/>
              </w:rPr>
              <w:t xml:space="preserve">—</w:t>
            </w:r>
          </w:p>
        </w:tc>
        <w:tc>
          <w:tcPr>
            <w:tcMar>
              <w:top w:type="dxa" w:w="60"/>
              <w:left w:type="dxa" w:w="80"/>
              <w:bottom w:type="dxa" w:w="60"/>
              <w:right w:type="dxa" w:w="80"/>
            </w:tcMar>
          </w:tcPr>
          <w:p>
            <w:r>
              <w:rPr>
                <w:rFonts w:ascii="Calibri" w:cs="Calibri" w:eastAsia="Calibri" w:hAnsi="Calibri"/>
                <w:b w:val="false"/>
                <w:bCs w:val="false"/>
                <w:sz w:val="16"/>
                <w:szCs w:val="16"/>
              </w:rPr>
              <w:t xml:space="preserve">No conviene</w:t>
            </w:r>
          </w:p>
        </w:tc>
      </w:tr>
    </w:tbl>
    <w:p>
      <w:pPr>
        <w:spacing w:after="120" w:before="30"/>
        <w:jc w:val="left"/>
      </w:pPr>
      <w:r>
        <w:rPr>
          <w:rFonts w:ascii="Calibri" w:cs="Calibri" w:eastAsia="Calibri" w:hAnsi="Calibri"/>
          <w:i/>
          <w:iCs/>
          <w:color w:val="6B7280"/>
          <w:sz w:val="14"/>
          <w:szCs w:val="14"/>
        </w:rPr>
        <w:t xml:space="preserve">Tabla 3. Ranking de las 7 zonas por VAN base. Modelo conservador (Tcc 14%, planilla 3 personas, costos no laborales $850k, 6 días/sem).</w:t>
      </w:r>
    </w:p>
    <w:p>
      <w:pPr>
        <w:spacing w:after="80" w:line="280"/>
        <w:jc w:val="both"/>
      </w:pPr>
      <w:r>
        <w:rPr>
          <w:rFonts w:ascii="Calibri" w:cs="Calibri" w:eastAsia="Calibri" w:hAnsi="Calibri"/>
          <w:i/>
          <w:iCs/>
          <w:sz w:val="20"/>
          <w:szCs w:val="20"/>
        </w:rPr>
        <w:t xml:space="preserve">El insight principal es que Santiago Centro tiene el mayor flujo peatonal de la RM (95.000 personas-día) PERO su densidad de competencia (145 cafés/km²) reduce la captura efectiva en 41%, haciéndolo NO viable bajo el modelo riguroso. El Golf gana porque combina ticket alto sostenible (CLP 4.500), competencia moderada (65 cafés/km², penalización −12%) y un perfil horario de oficinas con peaks claros que permite optimizar la operación.</w:t>
      </w:r>
    </w:p>
    <w:p>
      <w:pPr>
        <w:pStyle w:val="Heading1"/>
        <w:spacing w:after="80" w:before="200"/>
      </w:pPr>
      <w:r>
        <w:rPr>
          <w:rFonts w:ascii="Cambria" w:cs="Cambria" w:eastAsia="Cambria" w:hAnsi="Cambria"/>
          <w:b/>
          <w:bCs/>
          <w:color w:val="1F2937"/>
          <w:sz w:val="24"/>
          <w:szCs w:val="24"/>
        </w:rPr>
        <w:t xml:space="preserve">5. Modelo financiero y resultados</w:t>
      </w:r>
    </w:p>
    <w:p>
      <w:pPr>
        <w:spacing w:after="80" w:line="280"/>
        <w:jc w:val="both"/>
      </w:pPr>
      <w:r>
        <w:rPr>
          <w:rFonts w:ascii="Calibri" w:cs="Calibri" w:eastAsia="Calibri" w:hAnsi="Calibri"/>
          <w:sz w:val="20"/>
          <w:szCs w:val="20"/>
        </w:rPr>
        <w:t xml:space="preserve">La estructura del flujo de caja puro sigue el formato del curso EVP UAH: ingresos operacionales (combos × días × ticket), menos costos variables (insumos por combo), menos costos fijos anuales (arriendo + planilla + servicios + marketing + aseo + seguros + software + contador), menos comisión tarjetas, menos depreciación lineal, igual EBIT. Aplica impuesto del 25% (Pro PYME) con crédito tributario acumulado caso 1. El flujo neto de caja del último período incorpora recupero del capital de trabajo, valor residual de los activos físicos calculado activo-por-activo (no 10% lineal, lo que captura correctamente la habilitación con vida 20 años) y valor terminal por múltiplo EBITDA 3,5x neto de impuesto.</w:t>
      </w:r>
    </w:p>
    <w:p>
      <w:pPr>
        <w:spacing w:after="80" w:line="280"/>
        <w:jc w:val="both"/>
      </w:pPr>
      <w:r>
        <w:rPr>
          <w:rFonts w:ascii="Calibri" w:cs="Calibri" w:eastAsia="Calibri" w:hAnsi="Calibri"/>
          <w:sz w:val="20"/>
          <w:szCs w:val="20"/>
        </w:rPr>
        <w:t xml:space="preserve">Para la ubicación recomendada, el flujo año 1 muestra ingresos por CLP 73 M (con ramp-up 55%) y EBITDA aún en consolidación; los años 2-3 muestran crecimiento del 36% y 20% en ingresos respectivamente; los años 4-5 alcanzan operación madura con EBITDA superior a CLP 48 M. El VAN base de CLP 107.2 M se descompone aproximadamente en 35% flujos operacionales descontados de los 5 años y 65% valor terminal por venta del going concern al cabo del horizonte.</w:t>
      </w:r>
    </w:p>
    <w:p>
      <w:pPr>
        <w:pStyle w:val="Heading1"/>
        <w:spacing w:after="80" w:before="200"/>
      </w:pPr>
      <w:r>
        <w:rPr>
          <w:rFonts w:ascii="Cambria" w:cs="Cambria" w:eastAsia="Cambria" w:hAnsi="Cambria"/>
          <w:b/>
          <w:bCs/>
          <w:color w:val="1F2937"/>
          <w:sz w:val="24"/>
          <w:szCs w:val="24"/>
        </w:rPr>
        <w:t xml:space="preserve">6. Sensibilidad, riesgos y conclusiones</w:t>
      </w:r>
    </w:p>
    <w:p>
      <w:pPr>
        <w:spacing w:after="80" w:line="280"/>
        <w:jc w:val="both"/>
      </w:pPr>
      <w:r>
        <w:rPr>
          <w:rFonts w:ascii="Calibri" w:cs="Calibri" w:eastAsia="Calibri" w:hAnsi="Calibri"/>
          <w:sz w:val="20"/>
          <w:szCs w:val="20"/>
        </w:rPr>
        <w:t xml:space="preserve">El análisis de sensibilidad univariado sobre seis variables (±20%) identifica al ticket promedio y al volumen de demanda como las dos variables más críticas, con impactos en VAN superiores a CLP 80 M. La tercera variable más impactante es el costo variable, seguida del costo arriendo, la tasa de descuento y los sueldos. Bajo el escenario pesimista (caída demanda 35%), TODAS las ubicaciones generan VAN negativo, lo que evidencia que la operación tiene poca resiliencia ante shocks de demanda y obliga a contar con un plan de contingencia operacional sólido.</w:t>
      </w:r>
    </w:p>
    <w:p>
      <w:pPr>
        <w:spacing w:after="80" w:line="280"/>
        <w:jc w:val="both"/>
      </w:pPr>
      <w:r>
        <w:rPr>
          <w:rFonts w:ascii="Calibri" w:cs="Calibri" w:eastAsia="Calibri" w:hAnsi="Calibri"/>
          <w:sz w:val="20"/>
          <w:szCs w:val="20"/>
        </w:rPr>
        <w:t xml:space="preserve">Los principales riesgos son: subida de arriendo al renovar contrato (Crítico), caída de demanda por contracción económica (Alto), apertura de competencia adyacente (Alto), rotación de baristas (Alto) y caída del proveedor de combo envasado (Alto). Las mitigaciones principales incluyen contrato de arriendo a 5 años con reajuste IPC tope, reserva de cash 6 meses de egresos, programa de fidelización pre-apertura, contratos indefinidos para baristas con capacitación interna, y mantenimiento de mínimo 2 proveedores certificados de combo activos.</w:t>
      </w:r>
    </w:p>
    <w:p>
      <w:pPr>
        <w:spacing w:after="80" w:line="280"/>
        <w:jc w:val="both"/>
      </w:pPr>
      <w:r>
        <w:rPr>
          <w:rFonts w:ascii="Calibri" w:cs="Calibri" w:eastAsia="Calibri" w:hAnsi="Calibri"/>
          <w:b/>
          <w:bCs/>
          <w:sz w:val="20"/>
          <w:szCs w:val="20"/>
        </w:rPr>
        <w:t xml:space="preserve">Conclusión: ejecutar el proyecto en El Golf · Las Condes con presupuesto de inversión inicial de CLP 49.0 M. Antes de firmar el contrato de arriendo, realizar un estudio primario de demanda en el local específico durante una semana laboral típica (conteo manual de flujo, encuesta de intención de compra, validación del ticket). Los próximos 90 días cubren: estudio de demanda, negociación de arriendo, trámite SII, resolución sanitaria SEREMI, capacitación de baristas, contratos con proveedores, marketing pre-apertura y obra menor. Apertura proyectada al día 90 con monitoreo mensual de KPIs operativos (combos vendidos, ticket, margen, EBITDA).</w:t>
      </w:r>
    </w:p>
    <w:p>
      <w:pPr>
        <w:pStyle w:val="Heading2"/>
        <w:spacing w:after="60" w:before="120"/>
      </w:pPr>
      <w:r>
        <w:rPr>
          <w:rFonts w:ascii="Cambria" w:cs="Cambria" w:eastAsia="Cambria" w:hAnsi="Cambria"/>
          <w:b/>
          <w:bCs/>
          <w:color w:val="374151"/>
          <w:sz w:val="20"/>
          <w:szCs w:val="20"/>
        </w:rPr>
        <w:t xml:space="preserve">Referencias bibliográficas</w:t>
      </w:r>
    </w:p>
    <w:p>
      <w:pPr>
        <w:spacing w:after="80" w:line="280"/>
        <w:jc w:val="both"/>
      </w:pPr>
      <w:r>
        <w:rPr>
          <w:rFonts w:ascii="Calibri" w:cs="Calibri" w:eastAsia="Calibri" w:hAnsi="Calibri"/>
          <w:sz w:val="16"/>
          <w:szCs w:val="16"/>
        </w:rPr>
        <w:t xml:space="preserve">Achiga (2024). Reporte sectorial cafeterías Chile. Asoc. Chilena de Gastronomía. · ANCC (2024). Mercado de cafeterías RM. Asoc. Nacional de Cafés. · Casen (2022). Encuesta socioeconómica nacional. MDS. · Colliers Chile (2024). Reporte trimestral retail RM Q3 2024. · Damodaran, A. (2024). Equity Risk Premiums and industry betas. NYU Stern. · INE (2024). Censo 2017 + proyecciones 2024. · Metro Santiago (2023). Memoria anual. · Procafé (2024). Estudio consumo de café Chile. · Sapag, N., Sapag, R., Sapag, J. (2014). Preparación y evaluación de proyectos. 6ª ed. McGraw-Hill. · SECTRA (2014). Encuesta Origen-Destino 2012 Santiago. · SII (2024). Tabla vida útil bienes; Régimen Pro PYME 14 D N° 3 (Ley 21.210). · Zúñiga, M. (2025). Apuntes curso Evaluación de Proyectos MBA UAH 2026. · OpenStreetMap (mayo 2026). Catastro de cafeterías RM vía Overpass API.</w:t>
      </w:r>
    </w:p>
    <w:sectPr>
      <w:headerReference w:type="default" r:id="rId7"/>
      <w:footerReference w:type="default" r:id="rId8"/>
      <w:pgSz w:w="11906" w:h="16838"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CA3AF"/>
        <w:sz w:val="14"/>
        <w:szCs w:val="14"/>
      </w:rPr>
      <w:t xml:space="preserve">Página </w:t>
    </w:r>
    <w:r>
      <w:rPr>
        <w:rFonts w:ascii="Calibri" w:cs="Calibri" w:eastAsia="Calibri" w:hAnsi="Calibri"/>
        <w:color w:val="9CA3AF"/>
        <w:sz w:val="14"/>
        <w:szCs w:val="14"/>
      </w:rPr>
      <w:fldChar w:fldCharType="begin"/>
      <w:instrText xml:space="preserve">PAGE</w:instrText>
      <w:fldChar w:fldCharType="separate"/>
      <w:fldChar w:fldCharType="end"/>
    </w:r>
    <w:r>
      <w:rPr>
        <w:rFonts w:ascii="Calibri" w:cs="Calibri" w:eastAsia="Calibri" w:hAnsi="Calibri"/>
        <w:color w:val="9CA3AF"/>
        <w:sz w:val="14"/>
        <w:szCs w:val="14"/>
      </w:rPr>
      <w:t xml:space="preserve"> de </w:t>
    </w:r>
    <w:r>
      <w:rPr>
        <w:rFonts w:ascii="Calibri" w:cs="Calibri" w:eastAsia="Calibri" w:hAnsi="Calibri"/>
        <w:color w:val="9CA3AF"/>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mbria" w:cs="Cambria" w:eastAsia="Cambria" w:hAnsi="Cambria"/>
        <w:color w:val="9CA3AF"/>
        <w:sz w:val="14"/>
        <w:szCs w:val="14"/>
      </w:rPr>
      <w:t xml:space="preserve">Cafetería Combo Único · MBA UAH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Cafetería Combo Único · Informe Ejecutivo (6 págs)</dc:title>
  <dc:creator>Agente Evaluación de Proyectos</dc:creator>
  <dc:description>Informe ejecutivo formato curso EVP UAH 2026</dc:description>
  <cp:lastModifiedBy>Un-named</cp:lastModifiedBy>
  <cp:revision>1</cp:revision>
  <dcterms:created xsi:type="dcterms:W3CDTF">2026-05-08T03:00:58.521Z</dcterms:created>
  <dcterms:modified xsi:type="dcterms:W3CDTF">2026-05-08T03:00:58.521Z</dcterms:modified>
</cp:coreProperties>
</file>

<file path=docProps/custom.xml><?xml version="1.0" encoding="utf-8"?>
<Properties xmlns="http://schemas.openxmlformats.org/officeDocument/2006/custom-properties" xmlns:vt="http://schemas.openxmlformats.org/officeDocument/2006/docPropsVTypes"/>
</file>