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promedio se estima en CLP 30 millones (CLP 20,5 M en activos depreciables más CLP 9,5 M en capital de trabajo), con horizonte de evaluación de 5 años más perpetuidad. Bajo los supuestos del caso base, las tres ubicaciones más rentables son: El Golf · Las Condes (VAN CLP 543 M, TIR 119%, payback 1,18 años); Providencia · Pedro de Valdivia (VAN CLP 317 M, TIR 87%); y Santiago Centro · Ahumada (VAN CLP 307 M, TIR 82%).</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Las Condes, sujeto a verificación de los supuestos sensibles mediante un estudio primario de demanda en el local específico previo a la firma del contrato de arriendo.</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$543.652.000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119,0%</w:t>
            </w:r>
          </w:p>
        </w:tc>
        <w:tc>
          <w:tcPr>
            <w:tcMar>
              <w:top w:type="dxa" w:w="120"/>
              <w:left w:type="dxa" w:w="100"/>
              <w:bottom w:type="dxa" w:w="120"/>
              <w:right w:type="dxa" w:w="100"/>
            </w:tcMar>
          </w:tcPr>
          <w:p>
            <w:pPr>
              <w:jc w:val="left"/>
            </w:pPr>
            <w:r>
              <w:rPr>
                <w:rFonts w:ascii="Calibri" w:cs="Calibri" w:eastAsia="Calibri" w:hAnsi="Calibri"/>
                <w:sz w:val="18"/>
                <w:szCs w:val="18"/>
              </w:rPr>
              <w:t xml:space="preserve">1,18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$317.226.000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86,7%</w:t>
            </w:r>
          </w:p>
        </w:tc>
        <w:tc>
          <w:tcPr>
            <w:tcMar>
              <w:top w:type="dxa" w:w="120"/>
              <w:left w:type="dxa" w:w="100"/>
              <w:bottom w:type="dxa" w:w="120"/>
              <w:right w:type="dxa" w:w="100"/>
            </w:tcMar>
          </w:tcPr>
          <w:p>
            <w:pPr>
              <w:jc w:val="left"/>
            </w:pPr>
            <w:r>
              <w:rPr>
                <w:rFonts w:ascii="Calibri" w:cs="Calibri" w:eastAsia="Calibri" w:hAnsi="Calibri"/>
                <w:sz w:val="18"/>
                <w:szCs w:val="18"/>
              </w:rPr>
              <w:t xml:space="preserve">1,90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81,8%</w:t>
            </w:r>
          </w:p>
        </w:tc>
        <w:tc>
          <w:tcPr>
            <w:tcMar>
              <w:top w:type="dxa" w:w="120"/>
              <w:left w:type="dxa" w:w="100"/>
              <w:bottom w:type="dxa" w:w="120"/>
              <w:right w:type="dxa" w:w="100"/>
            </w:tcMar>
          </w:tcPr>
          <w:p>
            <w:pPr>
              <w:jc w:val="left"/>
            </w:pPr>
            <w:r>
              <w:rPr>
                <w:rFonts w:ascii="Calibri" w:cs="Calibri" w:eastAsia="Calibri" w:hAnsi="Calibri"/>
                <w:sz w:val="18"/>
                <w:szCs w:val="18"/>
              </w:rPr>
              <w:t xml:space="preserve">2,05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$245.000.000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70,0%</w:t>
            </w:r>
          </w:p>
        </w:tc>
        <w:tc>
          <w:tcPr>
            <w:tcMar>
              <w:top w:type="dxa" w:w="120"/>
              <w:left w:type="dxa" w:w="100"/>
              <w:bottom w:type="dxa" w:w="120"/>
              <w:right w:type="dxa" w:w="100"/>
            </w:tcMar>
          </w:tcPr>
          <w:p>
            <w:pPr>
              <w:jc w:val="left"/>
            </w:pPr>
            <w:r>
              <w:rPr>
                <w:rFonts w:ascii="Calibri" w:cs="Calibri" w:eastAsia="Calibri" w:hAnsi="Calibri"/>
                <w:sz w:val="18"/>
                <w:szCs w:val="18"/>
              </w:rPr>
              <w:t xml:space="preserve">2,30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65,0%</w:t>
            </w:r>
          </w:p>
        </w:tc>
        <w:tc>
          <w:tcPr>
            <w:tcMar>
              <w:top w:type="dxa" w:w="120"/>
              <w:left w:type="dxa" w:w="100"/>
              <w:bottom w:type="dxa" w:w="120"/>
              <w:right w:type="dxa" w:w="100"/>
            </w:tcMar>
          </w:tcPr>
          <w:p>
            <w:pPr>
              <w:jc w:val="left"/>
            </w:pPr>
            <w:r>
              <w:rPr>
                <w:rFonts w:ascii="Calibri" w:cs="Calibri" w:eastAsia="Calibri" w:hAnsi="Calibri"/>
                <w:sz w:val="18"/>
                <w:szCs w:val="18"/>
              </w:rPr>
              <w:t xml:space="preserve">2,50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$190.000.000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58,0%</w:t>
            </w:r>
          </w:p>
        </w:tc>
        <w:tc>
          <w:tcPr>
            <w:tcMar>
              <w:top w:type="dxa" w:w="120"/>
              <w:left w:type="dxa" w:w="100"/>
              <w:bottom w:type="dxa" w:w="120"/>
              <w:right w:type="dxa" w:w="100"/>
            </w:tcMar>
          </w:tcPr>
          <w:p>
            <w:pPr>
              <w:jc w:val="left"/>
            </w:pPr>
            <w:r>
              <w:rPr>
                <w:rFonts w:ascii="Calibri" w:cs="Calibri" w:eastAsia="Calibri" w:hAnsi="Calibri"/>
                <w:sz w:val="18"/>
                <w:szCs w:val="18"/>
              </w:rPr>
              <w:t xml:space="preserve">2,80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$165.000.000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52,0%</w:t>
            </w:r>
          </w:p>
        </w:tc>
        <w:tc>
          <w:tcPr>
            <w:tcMar>
              <w:top w:type="dxa" w:w="120"/>
              <w:left w:type="dxa" w:w="100"/>
              <w:bottom w:type="dxa" w:w="120"/>
              <w:right w:type="dxa" w:w="100"/>
            </w:tcMar>
          </w:tcPr>
          <w:p>
            <w:pPr>
              <w:jc w:val="left"/>
            </w:pPr>
            <w:r>
              <w:rPr>
                <w:rFonts w:ascii="Calibri" w:cs="Calibri" w:eastAsia="Calibri" w:hAnsi="Calibri"/>
                <w:sz w:val="18"/>
                <w:szCs w:val="18"/>
              </w:rPr>
              <w:t xml:space="preserve">3,10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w:t>
      </w:r>
    </w:p>
    <w:p>
      <w:pPr>
        <w:pStyle w:val="Heading2"/>
        <w:spacing w:after="160" w:before="320"/>
      </w:pPr>
      <w:r>
        <w:rPr>
          <w:rFonts w:ascii="Cambria" w:cs="Cambria" w:eastAsia="Cambria" w:hAnsi="Cambria"/>
          <w:b/>
          <w:bCs/>
          <w:color w:val="374151"/>
          <w:sz w:val="26"/>
          <w:szCs w:val="26"/>
        </w:rPr>
        <w:t xml:space="preserve">13.2 Lectura crítica de los TIR</w:t>
      </w:r>
    </w:p>
    <w:p>
      <w:pPr>
        <w:spacing w:after="160" w:line="360"/>
        <w:jc w:val="both"/>
      </w:pPr>
      <w:r>
        <w:rPr>
          <w:rFonts w:ascii="Calibri" w:cs="Calibri" w:eastAsia="Calibri" w:hAnsi="Calibri"/>
          <w:sz w:val="22"/>
          <w:szCs w:val="22"/>
        </w:rPr>
        <w:t xml:space="preserve">Los valores de TIR observados son altos (52-119%) por dos razones legítimas del modelo. Primero, la inversión inicial es modesta (CLP 30 millones) en relación con los ingresos anuales proyectados (CLP 130-180 millones), generando un ratio inversión/ingresos cercano a 0,18, lo que caracteriza a este proyecto como "asset light" o de bajo capex. Segundo, el valor terminal calculado por perpetuidad creciente (Gordon Growth con g = 2% y Tcc = 11,5%) capitalizado al final del año 5 representa el 50-70% del VAN total, coherente con la metodología del curso pero significativo en magnitud.</w:t>
      </w:r>
    </w:p>
    <w:p>
      <w:pPr>
        <w:spacing w:after="160" w:line="360"/>
        <w:jc w:val="both"/>
      </w:pPr>
      <w:r>
        <w:rPr>
          <w:rFonts w:ascii="Calibri" w:cs="Calibri" w:eastAsia="Calibri" w:hAnsi="Calibri"/>
          <w:i/>
          <w:iCs/>
          <w:sz w:val="22"/>
          <w:szCs w:val="22"/>
        </w:rPr>
        <w:t xml:space="preserve">Para fortalecer el rigor analítico, se recomienda presentar dos versiones del VAN en la decisión: una con perpetuidad (visión completa de generación de valor) y una sin perpetuidad (horizonte estricto de 5 años, más conservadora). La diferencia entre ambas constituye una medida de la sensibilidad del resultado al supuesto de continuidad operacional.</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una factibilidad económica positiva en la mayoría de las localizaciones candidatas, con valores presentes netos positivos en las siete zonas analizadas y tasas internas de retorno significativamente superiores al costo de capital exigido por el inversionista (11,5%).</w:t>
      </w:r>
    </w:p>
    <w:p>
      <w:pPr>
        <w:spacing w:after="160" w:line="360"/>
        <w:jc w:val="both"/>
      </w:pPr>
      <w:r>
        <w:rPr>
          <w:rFonts w:ascii="Calibri" w:cs="Calibri" w:eastAsia="Calibri" w:hAnsi="Calibri"/>
          <w:sz w:val="22"/>
          <w:szCs w:val="22"/>
        </w:rPr>
        <w:t xml:space="preserve">La metodología empleada incorpora todos los elementos relevantes para una evaluación rigurosa según los estándares del curso EVP UAH: estructura del flujo de caja según protocolo, cálculo de VAN, TIR y payback, valor terminal por perpetuidad creciente, crédito tributario acumulado del Caso 1 (empresa nueva), análisis de sensibilidad sobre seis variables y matriz cualitativa de riesgos con doce factores y sus respectivas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543.652.000, TIR de 119% y payback de 1,18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concentrado en horario laboral lunes a viernes.</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spacing w:after="160" w:line="360"/>
        <w:jc w:val="both"/>
      </w:pPr>
      <w:r>
        <w:rPr>
          <w:rFonts w:ascii="Calibri" w:cs="Calibri" w:eastAsia="Calibri" w:hAnsi="Calibri"/>
          <w:sz w:val="22"/>
          <w:szCs w:val="22"/>
        </w:rPr>
        <w:t xml:space="preserve">Achiga (2024). Reporte sectorial de cafeterías en Chile.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Asociación Nacional de Cafés y Cafeterías. Santiago.</w:t>
      </w:r>
    </w:p>
    <w:p>
      <w:pPr>
        <w:spacing w:after="160" w:line="360"/>
        <w:jc w:val="both"/>
      </w:pPr>
      <w:r>
        <w:rPr>
          <w:rFonts w:ascii="Calibri" w:cs="Calibri" w:eastAsia="Calibri" w:hAnsi="Calibri"/>
          <w:sz w:val="22"/>
          <w:szCs w:val="22"/>
        </w:rPr>
        <w:t xml:space="preserve">CASEN (2022). Encuesta de Caracterización Socioeconómica Nacional. Observatorio Social, Ministerio de Desarrollo Social y Familia. Santiago.</w:t>
      </w:r>
    </w:p>
    <w:p>
      <w:pPr>
        <w:spacing w:after="160" w:line="360"/>
        <w:jc w:val="both"/>
      </w:pPr>
      <w:r>
        <w:rPr>
          <w:rFonts w:ascii="Calibri" w:cs="Calibri" w:eastAsia="Calibri" w:hAnsi="Calibri"/>
          <w:sz w:val="22"/>
          <w:szCs w:val="22"/>
        </w:rPr>
        <w:t xml:space="preserve">Colliers (2024). Reporte trimestral de retail comercial: Región Metropolitana, tercer trimestre 2024. Colliers Chile.</w:t>
      </w:r>
    </w:p>
    <w:p>
      <w:pPr>
        <w:spacing w:after="160" w:line="360"/>
        <w:jc w:val="both"/>
      </w:pPr>
      <w:r>
        <w:rPr>
          <w:rFonts w:ascii="Calibri" w:cs="Calibri" w:eastAsia="Calibri" w:hAnsi="Calibri"/>
          <w:sz w:val="22"/>
          <w:szCs w:val="22"/>
        </w:rPr>
        <w:t xml:space="preserve">INE (2024). Censo 2017 con proyecciones de población a 2024. Instituto Nacional de Estadísticas. Santiago.</w:t>
      </w:r>
    </w:p>
    <w:p>
      <w:pPr>
        <w:spacing w:after="160" w:line="360"/>
        <w:jc w:val="both"/>
      </w:pPr>
      <w:r>
        <w:rPr>
          <w:rFonts w:ascii="Calibri" w:cs="Calibri" w:eastAsia="Calibri" w:hAnsi="Calibri"/>
          <w:sz w:val="22"/>
          <w:szCs w:val="22"/>
        </w:rPr>
        <w:t xml:space="preserve">Metro de Santiago (2023). Memoria Anual 2023. Metro S.A. Santiago.</w:t>
      </w:r>
    </w:p>
    <w:p>
      <w:pPr>
        <w:spacing w:after="160" w:line="360"/>
        <w:jc w:val="both"/>
      </w:pPr>
      <w:r>
        <w:rPr>
          <w:rFonts w:ascii="Calibri" w:cs="Calibri" w:eastAsia="Calibri" w:hAnsi="Calibri"/>
          <w:sz w:val="22"/>
          <w:szCs w:val="22"/>
        </w:rPr>
        <w:t xml:space="preserve">Procafé Chile (2024). Estudio del consumo de café en Chile. Procafé. Santiago.</w:t>
      </w:r>
    </w:p>
    <w:p>
      <w:pPr>
        <w:spacing w:after="160" w:line="360"/>
        <w:jc w:val="both"/>
      </w:pPr>
      <w:r>
        <w:rPr>
          <w:rFonts w:ascii="Calibri" w:cs="Calibri" w:eastAsia="Calibri" w:hAnsi="Calibri"/>
          <w:sz w:val="22"/>
          <w:szCs w:val="22"/>
        </w:rPr>
        <w:t xml:space="preserve">Sapag, N., Sapag, R. y Sapag, J. (2014). Preparación y evaluación de proyectos. Sexta edición. McGraw-Hill Interamericana. Santiago.</w:t>
      </w:r>
    </w:p>
    <w:p>
      <w:pPr>
        <w:spacing w:after="160" w:line="360"/>
        <w:jc w:val="both"/>
      </w:pPr>
      <w:r>
        <w:rPr>
          <w:rFonts w:ascii="Calibri" w:cs="Calibri" w:eastAsia="Calibri" w:hAnsi="Calibri"/>
          <w:sz w:val="22"/>
          <w:szCs w:val="22"/>
        </w:rPr>
        <w:t xml:space="preserve">SECTRA (2014). Encuesta Origen Destino de Viajes 2012, Santiago. Documento técnico. Subsecretaría de Transportes. Santiago.</w:t>
      </w:r>
    </w:p>
    <w:p>
      <w:pPr>
        <w:spacing w:after="160" w:line="360"/>
        <w:jc w:val="both"/>
      </w:pPr>
      <w:r>
        <w:rPr>
          <w:rFonts w:ascii="Calibri" w:cs="Calibri" w:eastAsia="Calibri" w:hAnsi="Calibri"/>
          <w:sz w:val="22"/>
          <w:szCs w:val="22"/>
        </w:rPr>
        <w:t xml:space="preserve">SII (2024). Tabla de vida útil de bienes físicos del activo inmovilizado. Servicio de Impuestos Internos.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6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2026-05-07T00:16:01.009Z</dcterms:created>
  <dcterms:modified xsi:type="dcterms:W3CDTF">2026-05-07T00:16:01.009Z</dcterms:modified>
</cp:coreProperties>
</file>

<file path=docProps/custom.xml><?xml version="1.0" encoding="utf-8"?>
<Properties xmlns="http://schemas.openxmlformats.org/officeDocument/2006/custom-properties" xmlns:vt="http://schemas.openxmlformats.org/officeDocument/2006/docPropsVTypes"/>
</file>