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mbria" w:cs="Cambria" w:eastAsia="Cambria" w:hAnsi="Cambria"/>
          <w:color w:val="6B7280"/>
          <w:sz w:val="24"/>
          <w:szCs w:val="24"/>
        </w:rPr>
        <w:t xml:space="preserve">Universidad Alberto Hurtado</w:t>
      </w:r>
    </w:p>
    <w:p>
      <w:pPr>
        <w:spacing w:after="160"/>
        <w:jc w:val="center"/>
      </w:pPr>
      <w:r>
        <w:rPr>
          <w:rFonts w:ascii="Cambria" w:cs="Cambria" w:eastAsia="Cambria" w:hAnsi="Cambria"/>
          <w:color w:val="6B7280"/>
          <w:sz w:val="22"/>
          <w:szCs w:val="22"/>
        </w:rPr>
        <w:t xml:space="preserve">Magíster en Administración de Empresas (MBA) · Promoción 2026</w:t>
      </w:r>
    </w:p>
    <w:p>
      <w:pPr>
        <w:spacing w:after="600"/>
        <w:jc w:val="center"/>
      </w:pPr>
      <w:r>
        <w:rPr>
          <w:rFonts w:ascii="Cambria" w:cs="Cambria" w:eastAsia="Cambria" w:hAnsi="Cambria"/>
          <w:color w:val="6B7280"/>
          <w:sz w:val="22"/>
          <w:szCs w:val="22"/>
        </w:rPr>
        <w:t xml:space="preserve">Curso: Evaluación de Proyectos · Prof. Mauricio Zúñiga</w:t>
      </w:r>
    </w:p>
    <w:p>
      <w:pPr>
        <w:spacing w:after="200" w:before="800"/>
        <w:jc w:val="center"/>
      </w:pPr>
      <w:r>
        <w:rPr>
          <w:rFonts w:ascii="Cambria" w:cs="Cambria" w:eastAsia="Cambria" w:hAnsi="Cambria"/>
          <w:b/>
          <w:bCs/>
          <w:sz w:val="36"/>
          <w:szCs w:val="36"/>
        </w:rPr>
        <w:t xml:space="preserve">EVALUACIÓN DE PROYECTO DE INVERSIÓN</w:t>
      </w:r>
    </w:p>
    <w:p>
      <w:pPr>
        <w:spacing w:after="200"/>
        <w:jc w:val="center"/>
      </w:pPr>
      <w:r>
        <w:rPr>
          <w:rFonts w:ascii="Cambria" w:cs="Cambria" w:eastAsia="Cambria" w:hAnsi="Cambria"/>
          <w:i/>
          <w:iCs/>
          <w:color w:val="374151"/>
          <w:sz w:val="30"/>
          <w:szCs w:val="30"/>
        </w:rPr>
        <w:t xml:space="preserve">Cafetería de combo único envasado</w:t>
      </w:r>
    </w:p>
    <w:p>
      <w:pPr>
        <w:spacing w:after="1600"/>
        <w:jc w:val="center"/>
      </w:pPr>
      <w:r>
        <w:rPr>
          <w:rFonts w:ascii="Cambria" w:cs="Cambria" w:eastAsia="Cambria" w:hAnsi="Cambria"/>
          <w:color w:val="4B5563"/>
          <w:sz w:val="24"/>
          <w:szCs w:val="24"/>
        </w:rPr>
        <w:t xml:space="preserve">Análisis de factibilidad y selección de localización en la Región Metropolitana</w:t>
      </w:r>
    </w:p>
    <w:p>
      <w:pPr>
        <w:jc w:val="center"/>
      </w:pPr>
      <w:r>
        <w:rPr>
          <w:rFonts w:ascii="Calibri" w:cs="Calibri" w:eastAsia="Calibri" w:hAnsi="Calibri"/>
          <w:color w:val="6B7280"/>
          <w:sz w:val="22"/>
          <w:szCs w:val="22"/>
        </w:rPr>
        <w:t xml:space="preserve">Santiago, mayo de 2026</w:t>
      </w:r>
    </w:p>
    <w:p>
      <w:r>
        <w:br w:type="page"/>
      </w:r>
    </w:p>
    <w:p>
      <w:pPr>
        <w:pStyle w:val="Heading1"/>
        <w:spacing w:after="240" w:before="480"/>
      </w:pPr>
      <w:r>
        <w:rPr>
          <w:rFonts w:ascii="Cambria" w:cs="Cambria" w:eastAsia="Cambria" w:hAnsi="Cambria"/>
          <w:b/>
          <w:bCs/>
          <w:color w:val="1F2937"/>
          <w:sz w:val="32"/>
          <w:szCs w:val="32"/>
        </w:rPr>
        <w:t xml:space="preserve">Resumen ejecutivo</w:t>
      </w:r>
    </w:p>
    <w:p>
      <w:pPr>
        <w:spacing w:after="160" w:line="360"/>
        <w:jc w:val="both"/>
      </w:pPr>
      <w:r>
        <w:rPr>
          <w:rFonts w:ascii="Calibri" w:cs="Calibri" w:eastAsia="Calibri" w:hAnsi="Calibri"/>
          <w:sz w:val="22"/>
          <w:szCs w:val="22"/>
        </w:rPr>
        <w:t xml:space="preserve">El presente informe evalúa la factibilidad técnica, comercial, normativa y financiera de un proyecto de cafetería en formato compacto que comercializa un combo único cerrado: espresso preparado al momento más un alimento envasado del proveedor (croissant, sándwich o snack en empaque individual sellado). El modelo se diferencia de las cafeterías tradicionales en que no incluye preparación de alimentos en el local, lo que reduce la inversión inicial, simplifica la operación y disminuye la exposición regulatoria sanitaria.</w:t>
      </w:r>
    </w:p>
    <w:p>
      <w:pPr>
        <w:spacing w:after="160" w:line="360"/>
        <w:jc w:val="both"/>
      </w:pPr>
      <w:r>
        <w:rPr>
          <w:rFonts w:ascii="Calibri" w:cs="Calibri" w:eastAsia="Calibri" w:hAnsi="Calibri"/>
          <w:sz w:val="22"/>
          <w:szCs w:val="22"/>
        </w:rPr>
        <w:t xml:space="preserve">La metodología sigue las directrices del curso Evaluación de Proyectos del MBA UAH 2026, incorporando flujo de caja puro y del inversionista, indicadores VAN, TIR, payback y break-even, análisis de sensibilidad sobre seis variables críticas, valor terminal por perpetuidad creciente (modelo Gordon Growth) y crédito tributario acumulado bajo el régimen tributario Pro PYME 14 D N° 3.</w:t>
      </w:r>
    </w:p>
    <w:p>
      <w:pPr>
        <w:spacing w:after="160" w:line="360"/>
        <w:jc w:val="both"/>
      </w:pPr>
      <w:r>
        <w:rPr>
          <w:rFonts w:ascii="Calibri" w:cs="Calibri" w:eastAsia="Calibri" w:hAnsi="Calibri"/>
          <w:sz w:val="22"/>
          <w:szCs w:val="22"/>
        </w:rPr>
        <w:t xml:space="preserve">Se evaluaron siete localizaciones candidatas en la Región Metropolitana de Santiago, con datos de arriendo comercial referenciales del mercado inmobiliario chileno (Mercado Libre, Portalinmobiliario, Toctoc y Colliers Chile, septiembre 2025), demografía oficial INE y CASEN 2022, transporte público en vivo desde OpenStreetMap, y consumo per cápita publicado por Procafé Chile y la Asociación Nacional de Cafés y Cafeterías (ANCC).</w:t>
      </w:r>
    </w:p>
    <w:p>
      <w:pPr>
        <w:spacing w:after="160" w:line="360"/>
        <w:jc w:val="both"/>
      </w:pPr>
      <w:r>
        <w:rPr>
          <w:rFonts w:ascii="Calibri" w:cs="Calibri" w:eastAsia="Calibri" w:hAnsi="Calibri"/>
          <w:sz w:val="22"/>
          <w:szCs w:val="22"/>
        </w:rPr>
        <w:t xml:space="preserve">La inversión inicial total promedia CLP 44.5 millones (CLP 20.5 M en activos depreciables más capital de trabajo equivalente a 2,5 meses de egresos), con horizonte de evaluación de 5 años y valor terminal por múltiplo de EBITDA (3.5x). Tras la auditoría y corrección del modelo financiero —que ajusta los costos fijos al universo real del retail food chileno, incorpora la comisión de tarjetas, sustituye el valor terminal por perpetuidad creciente por uno de múltiplo conservador y eleva la tasa de descuento al riesgo medio sectorial (14.0%)— solo una de las siete localizaciones evaluadas es claramente recomendable: El Golf · Las Condes (VAN CLP 48.7 M, TIR 39.0%, payback 3.39 años). Las dos siguientes (Santiago Centro · Ahumada y Providencia · Pedro de Valdivia) presentan VAN positivo pero marginal, en el borde de la viabilidad económica.</w:t>
      </w:r>
    </w:p>
    <w:p>
      <w:pPr>
        <w:spacing w:after="160" w:line="360"/>
        <w:jc w:val="both"/>
      </w:pPr>
      <w:r>
        <w:rPr>
          <w:rFonts w:ascii="Calibri" w:cs="Calibri" w:eastAsia="Calibri" w:hAnsi="Calibri"/>
          <w:sz w:val="22"/>
          <w:szCs w:val="22"/>
        </w:rPr>
        <w:t xml:space="preserve">El análisis de sensibilidad identifica al ticket promedio y al volumen de demanda como las dos variables que más impactan el VAN, seguidas por el costo de arriendo. La matriz cualitativa de riesgos identifica doce factores con sus respectivas medidas de mitigación.</w:t>
      </w:r>
    </w:p>
    <w:p>
      <w:pPr>
        <w:spacing w:after="160" w:line="360"/>
        <w:jc w:val="both"/>
      </w:pPr>
      <w:r>
        <w:rPr>
          <w:rFonts w:ascii="Calibri" w:cs="Calibri" w:eastAsia="Calibri" w:hAnsi="Calibri"/>
          <w:i/>
          <w:iCs/>
          <w:sz w:val="22"/>
          <w:szCs w:val="22"/>
        </w:rPr>
        <w:t xml:space="preserve">La recomendación final es ejecutar el proyecto en la localización de El Golf · Las Condes, sujeto a verificación de los supuestos sensibles mediante un estudio primario de demanda en el local específico previo a la firma del contrato de arriendo. El escenario pesimista (caída del 35-40% en demanda) genera valor presente neto negativo en todas las ubicaciones evaluadas, lo que obliga a contar con un plan de contingencia operativo robusto y a monitorear mensualmente los KPIs críticos del negocio.</w:t>
      </w:r>
    </w:p>
    <w:p>
      <w:r>
        <w:br w:type="page"/>
      </w:r>
    </w:p>
    <w:p>
      <w:pPr>
        <w:pStyle w:val="Heading1"/>
        <w:spacing w:after="240" w:before="480"/>
      </w:pPr>
      <w:r>
        <w:rPr>
          <w:rFonts w:ascii="Cambria" w:cs="Cambria" w:eastAsia="Cambria" w:hAnsi="Cambria"/>
          <w:b/>
          <w:bCs/>
          <w:color w:val="1F2937"/>
          <w:sz w:val="32"/>
          <w:szCs w:val="32"/>
        </w:rPr>
        <w:t xml:space="preserve">Auditoría del modelo financiero (mayo 2026)</w:t>
      </w:r>
    </w:p>
    <w:p>
      <w:pPr>
        <w:spacing w:after="160" w:line="360"/>
        <w:jc w:val="both"/>
      </w:pPr>
      <w:r>
        <w:rPr>
          <w:rFonts w:ascii="Calibri" w:cs="Calibri" w:eastAsia="Calibri" w:hAnsi="Calibri"/>
          <w:sz w:val="22"/>
          <w:szCs w:val="22"/>
        </w:rPr>
        <w:t xml:space="preserve">El modelo financiero original presentaba un valor presente neto cercano a los CLP 543 millones para la mejor ubicación, lo que tras revisión técnica resultó incompatible con la realidad operativa del retail food en Chile. Una cafetería pequeña (30-35 m²) con un combo único no genera, en condiciones razonables, retornos absolutos superiores a 5x la inversión inicial en cinco años. La presente versión del informe incorpora seis correcciones documentadas a continuación, que reducen el VAN base de la ubicación ganadora a un nivel coherente con benchmarks sectoriales (Achiga 2024, Procafé 2024) y con la tasa de fracaso observada en cafeterías independientes en Chile (50-55% antes de los tres años, según el estudio Achiga 2024).</w:t>
      </w:r>
    </w:p>
    <w:p>
      <w:pPr>
        <w:pStyle w:val="Heading2"/>
        <w:spacing w:after="160" w:before="320"/>
      </w:pPr>
      <w:r>
        <w:rPr>
          <w:rFonts w:ascii="Cambria" w:cs="Cambria" w:eastAsia="Cambria" w:hAnsi="Cambria"/>
          <w:b/>
          <w:bCs/>
          <w:color w:val="374151"/>
          <w:sz w:val="26"/>
          <w:szCs w:val="26"/>
        </w:rPr>
        <w:t xml:space="preserve">Correcciones aplicadas</w:t>
      </w:r>
    </w:p>
    <w:tbl>
      <w:tblPr>
        <w:tblW w:type="pct" w:w="100%"/>
        <w:tblBorders>
          <w:top w:val="single" w:color="111827" w:sz="6"/>
          <w:left w:val="none" w:color="FFFFFF" w:sz="0"/>
          <w:bottom w:val="single" w:color="111827" w:sz="6"/>
          <w:right w:val="none" w:color="FFFFFF" w:sz="0"/>
          <w:insideH w:val="single" w:color="D1D5DB" w:sz="2"/>
          <w:insideV w:val="none" w:color="FFFFFF" w:sz="0"/>
        </w:tblBorders>
      </w:tblPr>
      <w:tblGrid>
        <w:gridCol w:w="100"/>
        <w:gridCol w:w="100"/>
        <w:gridCol w:w="100"/>
        <w:gridCol w:w="100"/>
      </w:tblGrid>
      <w:tr>
        <w:trPr>
          <w:tblHeader/>
        </w:trPr>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Variable</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Antes</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Ahora</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Justificación</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Costo variable / combo</w:t>
            </w:r>
          </w:p>
        </w:tc>
        <w:tc>
          <w:tcPr>
            <w:tcMar>
              <w:top w:type="dxa" w:w="120"/>
              <w:left w:type="dxa" w:w="100"/>
              <w:bottom w:type="dxa" w:w="120"/>
              <w:right w:type="dxa" w:w="100"/>
            </w:tcMar>
          </w:tcPr>
          <w:p>
            <w:pPr>
              <w:jc w:val="left"/>
            </w:pPr>
            <w:r>
              <w:rPr>
                <w:rFonts w:ascii="Calibri" w:cs="Calibri" w:eastAsia="Calibri" w:hAnsi="Calibri"/>
                <w:sz w:val="18"/>
                <w:szCs w:val="18"/>
              </w:rPr>
              <w:t xml:space="preserve">CLP 1.100 fijo</w:t>
            </w:r>
          </w:p>
        </w:tc>
        <w:tc>
          <w:tcPr>
            <w:tcMar>
              <w:top w:type="dxa" w:w="120"/>
              <w:left w:type="dxa" w:w="100"/>
              <w:bottom w:type="dxa" w:w="120"/>
              <w:right w:type="dxa" w:w="100"/>
            </w:tcMar>
          </w:tcPr>
          <w:p>
            <w:pPr>
              <w:jc w:val="left"/>
            </w:pPr>
            <w:r>
              <w:rPr>
                <w:rFonts w:ascii="Calibri" w:cs="Calibri" w:eastAsia="Calibri" w:hAnsi="Calibri"/>
                <w:sz w:val="18"/>
                <w:szCs w:val="18"/>
              </w:rPr>
              <w:t xml:space="preserve">CLP 1.300 a 1.700 según zona</w:t>
            </w:r>
          </w:p>
        </w:tc>
        <w:tc>
          <w:tcPr>
            <w:tcMar>
              <w:top w:type="dxa" w:w="120"/>
              <w:left w:type="dxa" w:w="100"/>
              <w:bottom w:type="dxa" w:w="120"/>
              <w:right w:type="dxa" w:w="100"/>
            </w:tcMar>
          </w:tcPr>
          <w:p>
            <w:pPr>
              <w:jc w:val="left"/>
            </w:pPr>
            <w:r>
              <w:rPr>
                <w:rFonts w:ascii="Calibri" w:cs="Calibri" w:eastAsia="Calibri" w:hAnsi="Calibri"/>
                <w:sz w:val="18"/>
                <w:szCs w:val="18"/>
              </w:rPr>
              <w:t xml:space="preserve">Combos con producto envasado real: insumos café, leche, vasos, sleeves, tapas. 40-50% del ticket en lugar del 24% original.</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Costos fijos no laborales</w:t>
            </w:r>
          </w:p>
        </w:tc>
        <w:tc>
          <w:tcPr>
            <w:tcMar>
              <w:top w:type="dxa" w:w="120"/>
              <w:left w:type="dxa" w:w="100"/>
              <w:bottom w:type="dxa" w:w="120"/>
              <w:right w:type="dxa" w:w="100"/>
            </w:tcMar>
          </w:tcPr>
          <w:p>
            <w:pPr>
              <w:jc w:val="left"/>
            </w:pPr>
            <w:r>
              <w:rPr>
                <w:rFonts w:ascii="Calibri" w:cs="Calibri" w:eastAsia="Calibri" w:hAnsi="Calibri"/>
                <w:sz w:val="18"/>
                <w:szCs w:val="18"/>
              </w:rPr>
              <w:t xml:space="preserve">CLP 350.000 / mes</w:t>
            </w:r>
          </w:p>
        </w:tc>
        <w:tc>
          <w:tcPr>
            <w:tcMar>
              <w:top w:type="dxa" w:w="120"/>
              <w:left w:type="dxa" w:w="100"/>
              <w:bottom w:type="dxa" w:w="120"/>
              <w:right w:type="dxa" w:w="100"/>
            </w:tcMar>
          </w:tcPr>
          <w:p>
            <w:pPr>
              <w:jc w:val="left"/>
            </w:pPr>
            <w:r>
              <w:rPr>
                <w:rFonts w:ascii="Calibri" w:cs="Calibri" w:eastAsia="Calibri" w:hAnsi="Calibri"/>
                <w:sz w:val="18"/>
                <w:szCs w:val="18"/>
              </w:rPr>
              <w:t xml:space="preserve">CLP 850.000 / mes</w:t>
            </w:r>
          </w:p>
        </w:tc>
        <w:tc>
          <w:tcPr>
            <w:tcMar>
              <w:top w:type="dxa" w:w="120"/>
              <w:left w:type="dxa" w:w="100"/>
              <w:bottom w:type="dxa" w:w="120"/>
              <w:right w:type="dxa" w:w="100"/>
            </w:tcMar>
          </w:tcPr>
          <w:p>
            <w:pPr>
              <w:jc w:val="left"/>
            </w:pPr>
            <w:r>
              <w:rPr>
                <w:rFonts w:ascii="Calibri" w:cs="Calibri" w:eastAsia="Calibri" w:hAnsi="Calibri"/>
                <w:sz w:val="18"/>
                <w:szCs w:val="18"/>
              </w:rPr>
              <w:t xml:space="preserve">Faltaban: marketing (CLP 200k), aseo y pest control (CLP 100k), software y contador externo (CLP 150k), seguros y provisión de mantenciones (CLP 150k), servicios (CLP 250k).</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Comisión tarjetas</w:t>
            </w:r>
          </w:p>
        </w:tc>
        <w:tc>
          <w:tcPr>
            <w:tcMar>
              <w:top w:type="dxa" w:w="120"/>
              <w:left w:type="dxa" w:w="100"/>
              <w:bottom w:type="dxa" w:w="120"/>
              <w:right w:type="dxa" w:w="100"/>
            </w:tcMar>
          </w:tcPr>
          <w:p>
            <w:pPr>
              <w:jc w:val="left"/>
            </w:pPr>
            <w:r>
              <w:rPr>
                <w:rFonts w:ascii="Calibri" w:cs="Calibri" w:eastAsia="Calibri" w:hAnsi="Calibri"/>
                <w:sz w:val="18"/>
                <w:szCs w:val="18"/>
              </w:rPr>
              <w:t xml:space="preserve">No considerada</w:t>
            </w:r>
          </w:p>
        </w:tc>
        <w:tc>
          <w:tcPr>
            <w:tcMar>
              <w:top w:type="dxa" w:w="120"/>
              <w:left w:type="dxa" w:w="100"/>
              <w:bottom w:type="dxa" w:w="120"/>
              <w:right w:type="dxa" w:w="100"/>
            </w:tcMar>
          </w:tcPr>
          <w:p>
            <w:pPr>
              <w:jc w:val="left"/>
            </w:pPr>
            <w:r>
              <w:rPr>
                <w:rFonts w:ascii="Calibri" w:cs="Calibri" w:eastAsia="Calibri" w:hAnsi="Calibri"/>
                <w:sz w:val="18"/>
                <w:szCs w:val="18"/>
              </w:rPr>
              <w:t xml:space="preserve">2,8% sobre ingresos</w:t>
            </w:r>
          </w:p>
        </w:tc>
        <w:tc>
          <w:tcPr>
            <w:tcMar>
              <w:top w:type="dxa" w:w="120"/>
              <w:left w:type="dxa" w:w="100"/>
              <w:bottom w:type="dxa" w:w="120"/>
              <w:right w:type="dxa" w:w="100"/>
            </w:tcMar>
          </w:tcPr>
          <w:p>
            <w:pPr>
              <w:jc w:val="left"/>
            </w:pPr>
            <w:r>
              <w:rPr>
                <w:rFonts w:ascii="Calibri" w:cs="Calibri" w:eastAsia="Calibri" w:hAnsi="Calibri"/>
                <w:sz w:val="18"/>
                <w:szCs w:val="18"/>
              </w:rPr>
              <w:t xml:space="preserve">Transbank o Getnet ~3,5% sobre el ~80% de pago electrónico observado en cafeterías chilenas.</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Crecimiento demanda anual</w:t>
            </w:r>
          </w:p>
        </w:tc>
        <w:tc>
          <w:tcPr>
            <w:tcMar>
              <w:top w:type="dxa" w:w="120"/>
              <w:left w:type="dxa" w:w="100"/>
              <w:bottom w:type="dxa" w:w="120"/>
              <w:right w:type="dxa" w:w="100"/>
            </w:tcMar>
          </w:tcPr>
          <w:p>
            <w:pPr>
              <w:jc w:val="left"/>
            </w:pPr>
            <w:r>
              <w:rPr>
                <w:rFonts w:ascii="Calibri" w:cs="Calibri" w:eastAsia="Calibri" w:hAnsi="Calibri"/>
                <w:sz w:val="18"/>
                <w:szCs w:val="18"/>
              </w:rPr>
              <w:t xml:space="preserve">5,0%</w:t>
            </w:r>
          </w:p>
        </w:tc>
        <w:tc>
          <w:tcPr>
            <w:tcMar>
              <w:top w:type="dxa" w:w="120"/>
              <w:left w:type="dxa" w:w="100"/>
              <w:bottom w:type="dxa" w:w="120"/>
              <w:right w:type="dxa" w:w="100"/>
            </w:tcMar>
          </w:tcPr>
          <w:p>
            <w:pPr>
              <w:jc w:val="left"/>
            </w:pPr>
            <w:r>
              <w:rPr>
                <w:rFonts w:ascii="Calibri" w:cs="Calibri" w:eastAsia="Calibri" w:hAnsi="Calibri"/>
                <w:sz w:val="18"/>
                <w:szCs w:val="18"/>
              </w:rPr>
              <w:t xml:space="preserve">2,5%</w:t>
            </w:r>
          </w:p>
        </w:tc>
        <w:tc>
          <w:tcPr>
            <w:tcMar>
              <w:top w:type="dxa" w:w="120"/>
              <w:left w:type="dxa" w:w="100"/>
              <w:bottom w:type="dxa" w:w="120"/>
              <w:right w:type="dxa" w:w="100"/>
            </w:tcMar>
          </w:tcPr>
          <w:p>
            <w:pPr>
              <w:jc w:val="left"/>
            </w:pPr>
            <w:r>
              <w:rPr>
                <w:rFonts w:ascii="Calibri" w:cs="Calibri" w:eastAsia="Calibri" w:hAnsi="Calibri"/>
                <w:sz w:val="18"/>
                <w:szCs w:val="18"/>
              </w:rPr>
              <w:t xml:space="preserve">Sectorial cafetería sin reinversión; 5% requeriría marketing adicional o expansión de capacidad.</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Valor terminal</w:t>
            </w:r>
          </w:p>
        </w:tc>
        <w:tc>
          <w:tcPr>
            <w:tcMar>
              <w:top w:type="dxa" w:w="120"/>
              <w:left w:type="dxa" w:w="100"/>
              <w:bottom w:type="dxa" w:w="120"/>
              <w:right w:type="dxa" w:w="100"/>
            </w:tcMar>
          </w:tcPr>
          <w:p>
            <w:pPr>
              <w:jc w:val="left"/>
            </w:pPr>
            <w:r>
              <w:rPr>
                <w:rFonts w:ascii="Calibri" w:cs="Calibri" w:eastAsia="Calibri" w:hAnsi="Calibri"/>
                <w:sz w:val="18"/>
                <w:szCs w:val="18"/>
              </w:rPr>
              <w:t xml:space="preserve">Gordon Growth (multiplicador 10,7x)</w:t>
            </w:r>
          </w:p>
        </w:tc>
        <w:tc>
          <w:tcPr>
            <w:tcMar>
              <w:top w:type="dxa" w:w="120"/>
              <w:left w:type="dxa" w:w="100"/>
              <w:bottom w:type="dxa" w:w="120"/>
              <w:right w:type="dxa" w:w="100"/>
            </w:tcMar>
          </w:tcPr>
          <w:p>
            <w:pPr>
              <w:jc w:val="left"/>
            </w:pPr>
            <w:r>
              <w:rPr>
                <w:rFonts w:ascii="Calibri" w:cs="Calibri" w:eastAsia="Calibri" w:hAnsi="Calibri"/>
                <w:sz w:val="18"/>
                <w:szCs w:val="18"/>
              </w:rPr>
              <w:t xml:space="preserve">Múltiplo EBITDA 3,5x</w:t>
            </w:r>
          </w:p>
        </w:tc>
        <w:tc>
          <w:tcPr>
            <w:tcMar>
              <w:top w:type="dxa" w:w="120"/>
              <w:left w:type="dxa" w:w="100"/>
              <w:bottom w:type="dxa" w:w="120"/>
              <w:right w:type="dxa" w:w="100"/>
            </w:tcMar>
          </w:tcPr>
          <w:p>
            <w:pPr>
              <w:jc w:val="left"/>
            </w:pPr>
            <w:r>
              <w:rPr>
                <w:rFonts w:ascii="Calibri" w:cs="Calibri" w:eastAsia="Calibri" w:hAnsi="Calibri"/>
                <w:sz w:val="18"/>
                <w:szCs w:val="18"/>
              </w:rPr>
              <w:t xml:space="preserve">Cafetería independiente no opera a perpetuidad sin reposición de equipos. Múltiplo de salida es estándar en M&amp;A retail food Chile (3-5x EBITDA).</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Tasa de costo de capital</w:t>
            </w:r>
          </w:p>
        </w:tc>
        <w:tc>
          <w:tcPr>
            <w:tcMar>
              <w:top w:type="dxa" w:w="120"/>
              <w:left w:type="dxa" w:w="100"/>
              <w:bottom w:type="dxa" w:w="120"/>
              <w:right w:type="dxa" w:w="100"/>
            </w:tcMar>
          </w:tcPr>
          <w:p>
            <w:pPr>
              <w:jc w:val="left"/>
            </w:pPr>
            <w:r>
              <w:rPr>
                <w:rFonts w:ascii="Calibri" w:cs="Calibri" w:eastAsia="Calibri" w:hAnsi="Calibri"/>
                <w:sz w:val="18"/>
                <w:szCs w:val="18"/>
              </w:rPr>
              <w:t xml:space="preserve">11,5%</w:t>
            </w:r>
          </w:p>
        </w:tc>
        <w:tc>
          <w:tcPr>
            <w:tcMar>
              <w:top w:type="dxa" w:w="120"/>
              <w:left w:type="dxa" w:w="100"/>
              <w:bottom w:type="dxa" w:w="120"/>
              <w:right w:type="dxa" w:w="100"/>
            </w:tcMar>
          </w:tcPr>
          <w:p>
            <w:pPr>
              <w:jc w:val="left"/>
            </w:pPr>
            <w:r>
              <w:rPr>
                <w:rFonts w:ascii="Calibri" w:cs="Calibri" w:eastAsia="Calibri" w:hAnsi="Calibri"/>
                <w:sz w:val="18"/>
                <w:szCs w:val="18"/>
              </w:rPr>
              <w:t xml:space="preserve">14,0%</w:t>
            </w:r>
          </w:p>
        </w:tc>
        <w:tc>
          <w:tcPr>
            <w:tcMar>
              <w:top w:type="dxa" w:w="120"/>
              <w:left w:type="dxa" w:w="100"/>
              <w:bottom w:type="dxa" w:w="120"/>
              <w:right w:type="dxa" w:w="100"/>
            </w:tcMar>
          </w:tcPr>
          <w:p>
            <w:pPr>
              <w:jc w:val="left"/>
            </w:pPr>
            <w:r>
              <w:rPr>
                <w:rFonts w:ascii="Calibri" w:cs="Calibri" w:eastAsia="Calibri" w:hAnsi="Calibri"/>
                <w:sz w:val="18"/>
                <w:szCs w:val="18"/>
              </w:rPr>
              <w:t xml:space="preserve">Retail food en Chile es riesgo medio-alto (alta tasa de fracaso). CAPM: Rf 5,5% + β 1,3 × ERP 6,5%.</w:t>
            </w:r>
          </w:p>
        </w:tc>
      </w:tr>
    </w:tbl>
    <w:p>
      <w:pPr>
        <w:spacing w:after="240" w:before="60"/>
        <w:jc w:val="center"/>
      </w:pPr>
      <w:r>
        <w:rPr>
          <w:rFonts w:ascii="Calibri" w:cs="Calibri" w:eastAsia="Calibri" w:hAnsi="Calibri"/>
          <w:i/>
          <w:iCs/>
          <w:color w:val="6B7280"/>
          <w:sz w:val="18"/>
          <w:szCs w:val="18"/>
        </w:rPr>
        <w:t xml:space="preserve">Tabla A.1 — Correcciones aplicadas al modelo financiero entre la versión inicial y la versión auditada. Fuentes: Achiga 2024, Procafé 2024, Damodaran 2024, BCN 2025.</w:t>
      </w:r>
    </w:p>
    <w:p>
      <w:pPr>
        <w:pStyle w:val="Heading2"/>
        <w:spacing w:after="160" w:before="320"/>
      </w:pPr>
      <w:r>
        <w:rPr>
          <w:rFonts w:ascii="Cambria" w:cs="Cambria" w:eastAsia="Cambria" w:hAnsi="Cambria"/>
          <w:b/>
          <w:bCs/>
          <w:color w:val="374151"/>
          <w:sz w:val="26"/>
          <w:szCs w:val="26"/>
        </w:rPr>
        <w:t xml:space="preserve">Impacto en los resultados</w:t>
      </w:r>
    </w:p>
    <w:p>
      <w:pPr>
        <w:spacing w:after="160" w:line="360"/>
        <w:jc w:val="both"/>
      </w:pPr>
      <w:r>
        <w:rPr>
          <w:rFonts w:ascii="Calibri" w:cs="Calibri" w:eastAsia="Calibri" w:hAnsi="Calibri"/>
          <w:sz w:val="22"/>
          <w:szCs w:val="22"/>
        </w:rPr>
        <w:t xml:space="preserve">El conjunto de correcciones reduce el VAN de la ubicación ganadora desde CLP 543 millones a CLP 48.7 M, una magnitud coherente con benchmarks sectoriales para cafeterías independientes en zonas premium de la Región Metropolitana. La TIR se ajusta desde 119% a 39.0%, valor que sigue siendo atractivo respecto al costo de capital exigido pero ya no presenta el sesgo de "asset light" extremo del modelo original. El payback aumenta de 1,18 a 3.39 años, también dentro de rangos sectoriales razonables. Tras esta corrección, el ranking de localizaciones también cambia: solo una ubicación (El Golf) presenta veredicto de viabilidad económica positiva con resiliencia razonable; otras dos (Santiago Centro y Providencia) presentan VAN marginalmente positivo en el caso base pero no resisten el escenario pesimista; las cuatro restantes presentan VAN claramente negativo y se desestiman.</w:t>
      </w:r>
    </w:p>
    <w:p>
      <w:r>
        <w:br w:type="page"/>
      </w:r>
    </w:p>
    <w:p>
      <w:pPr>
        <w:pStyle w:val="Heading1"/>
        <w:spacing w:after="240" w:before="480"/>
      </w:pPr>
      <w:r>
        <w:rPr>
          <w:rFonts w:ascii="Cambria" w:cs="Cambria" w:eastAsia="Cambria" w:hAnsi="Cambria"/>
          <w:b/>
          <w:bCs/>
          <w:color w:val="1F2937"/>
          <w:sz w:val="32"/>
          <w:szCs w:val="32"/>
        </w:rPr>
        <w:t xml:space="preserve">Tabla de contenidos</w:t>
      </w:r>
    </w:p>
    <w:p>
      <w:pPr>
        <w:spacing w:after="160" w:line="360"/>
        <w:jc w:val="both"/>
      </w:pPr>
      <w:r>
        <w:rPr>
          <w:rFonts w:ascii="Calibri" w:cs="Calibri" w:eastAsia="Calibri" w:hAnsi="Calibri"/>
          <w:sz w:val="22"/>
          <w:szCs w:val="22"/>
        </w:rPr>
        <w:t xml:space="preserve">Capítulo 1. Introducción y planteamiento del problema</w:t>
      </w:r>
    </w:p>
    <w:p>
      <w:pPr>
        <w:spacing w:after="160" w:line="360"/>
        <w:jc w:val="both"/>
      </w:pPr>
      <w:r>
        <w:rPr>
          <w:rFonts w:ascii="Calibri" w:cs="Calibri" w:eastAsia="Calibri" w:hAnsi="Calibri"/>
          <w:sz w:val="22"/>
          <w:szCs w:val="22"/>
        </w:rPr>
        <w:t xml:space="preserve">Capítulo 2. Marco teórico: metodología de evaluación de proyectos</w:t>
      </w:r>
    </w:p>
    <w:p>
      <w:pPr>
        <w:spacing w:after="160" w:line="360"/>
        <w:jc w:val="both"/>
      </w:pPr>
      <w:r>
        <w:rPr>
          <w:rFonts w:ascii="Calibri" w:cs="Calibri" w:eastAsia="Calibri" w:hAnsi="Calibri"/>
          <w:sz w:val="22"/>
          <w:szCs w:val="22"/>
        </w:rPr>
        <w:t xml:space="preserve">Capítulo 3. Estudio de mercado: sector cafetero en Chile</w:t>
      </w:r>
    </w:p>
    <w:p>
      <w:pPr>
        <w:spacing w:after="160" w:line="360"/>
        <w:jc w:val="both"/>
      </w:pPr>
      <w:r>
        <w:rPr>
          <w:rFonts w:ascii="Calibri" w:cs="Calibri" w:eastAsia="Calibri" w:hAnsi="Calibri"/>
          <w:sz w:val="22"/>
          <w:szCs w:val="22"/>
        </w:rPr>
        <w:t xml:space="preserve">Capítulo 4. Marco normativo y regulatorio chileno</w:t>
      </w:r>
    </w:p>
    <w:p>
      <w:pPr>
        <w:spacing w:after="160" w:line="360"/>
        <w:jc w:val="both"/>
      </w:pPr>
      <w:r>
        <w:rPr>
          <w:rFonts w:ascii="Calibri" w:cs="Calibri" w:eastAsia="Calibri" w:hAnsi="Calibri"/>
          <w:sz w:val="22"/>
          <w:szCs w:val="22"/>
        </w:rPr>
        <w:t xml:space="preserve">Capítulo 5. Análisis de localización: siete zonas candidatas en la RM</w:t>
      </w:r>
    </w:p>
    <w:p>
      <w:pPr>
        <w:spacing w:after="160" w:line="360"/>
        <w:jc w:val="both"/>
      </w:pPr>
      <w:r>
        <w:rPr>
          <w:rFonts w:ascii="Calibri" w:cs="Calibri" w:eastAsia="Calibri" w:hAnsi="Calibri"/>
          <w:sz w:val="22"/>
          <w:szCs w:val="22"/>
        </w:rPr>
        <w:t xml:space="preserve">Capítulo 6. Estudio técnico: formato operacional y equipamiento</w:t>
      </w:r>
    </w:p>
    <w:p>
      <w:pPr>
        <w:spacing w:after="160" w:line="360"/>
        <w:jc w:val="both"/>
      </w:pPr>
      <w:r>
        <w:rPr>
          <w:rFonts w:ascii="Calibri" w:cs="Calibri" w:eastAsia="Calibri" w:hAnsi="Calibri"/>
          <w:sz w:val="22"/>
          <w:szCs w:val="22"/>
        </w:rPr>
        <w:t xml:space="preserve">Capítulo 7. Estructura organizacional y planilla de personal</w:t>
      </w:r>
    </w:p>
    <w:p>
      <w:pPr>
        <w:spacing w:after="160" w:line="360"/>
        <w:jc w:val="both"/>
      </w:pPr>
      <w:r>
        <w:rPr>
          <w:rFonts w:ascii="Calibri" w:cs="Calibri" w:eastAsia="Calibri" w:hAnsi="Calibri"/>
          <w:sz w:val="22"/>
          <w:szCs w:val="22"/>
        </w:rPr>
        <w:t xml:space="preserve">Capítulo 8. Plan de inversiones</w:t>
      </w:r>
    </w:p>
    <w:p>
      <w:pPr>
        <w:spacing w:after="160" w:line="360"/>
        <w:jc w:val="both"/>
      </w:pPr>
      <w:r>
        <w:rPr>
          <w:rFonts w:ascii="Calibri" w:cs="Calibri" w:eastAsia="Calibri" w:hAnsi="Calibri"/>
          <w:sz w:val="22"/>
          <w:szCs w:val="22"/>
        </w:rPr>
        <w:t xml:space="preserve">Capítulo 9. Estructura de costos</w:t>
      </w:r>
    </w:p>
    <w:p>
      <w:pPr>
        <w:spacing w:after="160" w:line="360"/>
        <w:jc w:val="both"/>
      </w:pPr>
      <w:r>
        <w:rPr>
          <w:rFonts w:ascii="Calibri" w:cs="Calibri" w:eastAsia="Calibri" w:hAnsi="Calibri"/>
          <w:sz w:val="22"/>
          <w:szCs w:val="22"/>
        </w:rPr>
        <w:t xml:space="preserve">Capítulo 10. Análisis tributario</w:t>
      </w:r>
    </w:p>
    <w:p>
      <w:pPr>
        <w:spacing w:after="160" w:line="360"/>
        <w:jc w:val="both"/>
      </w:pPr>
      <w:r>
        <w:rPr>
          <w:rFonts w:ascii="Calibri" w:cs="Calibri" w:eastAsia="Calibri" w:hAnsi="Calibri"/>
          <w:sz w:val="22"/>
          <w:szCs w:val="22"/>
        </w:rPr>
        <w:t xml:space="preserve">Capítulo 11. Plan de financiamiento</w:t>
      </w:r>
    </w:p>
    <w:p>
      <w:pPr>
        <w:spacing w:after="160" w:line="360"/>
        <w:jc w:val="both"/>
      </w:pPr>
      <w:r>
        <w:rPr>
          <w:rFonts w:ascii="Calibri" w:cs="Calibri" w:eastAsia="Calibri" w:hAnsi="Calibri"/>
          <w:sz w:val="22"/>
          <w:szCs w:val="22"/>
        </w:rPr>
        <w:t xml:space="preserve">Capítulo 12. Flujos de caja proyectados</w:t>
      </w:r>
    </w:p>
    <w:p>
      <w:pPr>
        <w:spacing w:after="160" w:line="360"/>
        <w:jc w:val="both"/>
      </w:pPr>
      <w:r>
        <w:rPr>
          <w:rFonts w:ascii="Calibri" w:cs="Calibri" w:eastAsia="Calibri" w:hAnsi="Calibri"/>
          <w:sz w:val="22"/>
          <w:szCs w:val="22"/>
        </w:rPr>
        <w:t xml:space="preserve">Capítulo 13. Indicadores de evaluación</w:t>
      </w:r>
    </w:p>
    <w:p>
      <w:pPr>
        <w:spacing w:after="160" w:line="360"/>
        <w:jc w:val="both"/>
      </w:pPr>
      <w:r>
        <w:rPr>
          <w:rFonts w:ascii="Calibri" w:cs="Calibri" w:eastAsia="Calibri" w:hAnsi="Calibri"/>
          <w:sz w:val="22"/>
          <w:szCs w:val="22"/>
        </w:rPr>
        <w:t xml:space="preserve">Capítulo 14. Análisis de sensibilidad</w:t>
      </w:r>
    </w:p>
    <w:p>
      <w:pPr>
        <w:spacing w:after="160" w:line="360"/>
        <w:jc w:val="both"/>
      </w:pPr>
      <w:r>
        <w:rPr>
          <w:rFonts w:ascii="Calibri" w:cs="Calibri" w:eastAsia="Calibri" w:hAnsi="Calibri"/>
          <w:sz w:val="22"/>
          <w:szCs w:val="22"/>
        </w:rPr>
        <w:t xml:space="preserve">Capítulo 15. Análisis de riesgos cualitativo</w:t>
      </w:r>
    </w:p>
    <w:p>
      <w:pPr>
        <w:spacing w:after="160" w:line="360"/>
        <w:jc w:val="both"/>
      </w:pPr>
      <w:r>
        <w:rPr>
          <w:rFonts w:ascii="Calibri" w:cs="Calibri" w:eastAsia="Calibri" w:hAnsi="Calibri"/>
          <w:sz w:val="22"/>
          <w:szCs w:val="22"/>
        </w:rPr>
        <w:t xml:space="preserve">Capítulo 16. Conclusiones y recomendaciones</w:t>
      </w:r>
    </w:p>
    <w:p>
      <w:pPr>
        <w:spacing w:after="160" w:line="360"/>
        <w:jc w:val="both"/>
      </w:pPr>
      <w:r>
        <w:rPr>
          <w:rFonts w:ascii="Calibri" w:cs="Calibri" w:eastAsia="Calibri" w:hAnsi="Calibri"/>
          <w:sz w:val="22"/>
          <w:szCs w:val="22"/>
        </w:rPr>
        <w:t xml:space="preserve">Referencias bibliográficas</w:t>
      </w:r>
    </w:p>
    <w:p>
      <w:pPr>
        <w:spacing w:after="160" w:line="360"/>
        <w:jc w:val="both"/>
      </w:pPr>
      <w:r>
        <w:rPr>
          <w:rFonts w:ascii="Calibri" w:cs="Calibri" w:eastAsia="Calibri" w:hAnsi="Calibri"/>
          <w:sz w:val="22"/>
          <w:szCs w:val="22"/>
        </w:rPr>
        <w:t xml:space="preserve">Anexos: A. Glosario · B. Fórmulas Excel · C. Cuadro tributario</w:t>
      </w:r>
    </w:p>
    <w:p>
      <w:r>
        <w:br w:type="page"/>
      </w:r>
    </w:p>
    <w:p>
      <w:pPr>
        <w:pStyle w:val="Heading1"/>
        <w:spacing w:after="240" w:before="480"/>
      </w:pPr>
      <w:r>
        <w:rPr>
          <w:rFonts w:ascii="Cambria" w:cs="Cambria" w:eastAsia="Cambria" w:hAnsi="Cambria"/>
          <w:b/>
          <w:bCs/>
          <w:color w:val="1F2937"/>
          <w:sz w:val="32"/>
          <w:szCs w:val="32"/>
        </w:rPr>
        <w:t xml:space="preserve">1. Introducción y planteamiento del problema</w:t>
      </w:r>
    </w:p>
    <w:p>
      <w:pPr>
        <w:pStyle w:val="Heading2"/>
        <w:spacing w:after="160" w:before="320"/>
      </w:pPr>
      <w:r>
        <w:rPr>
          <w:rFonts w:ascii="Cambria" w:cs="Cambria" w:eastAsia="Cambria" w:hAnsi="Cambria"/>
          <w:b/>
          <w:bCs/>
          <w:color w:val="374151"/>
          <w:sz w:val="26"/>
          <w:szCs w:val="26"/>
        </w:rPr>
        <w:t xml:space="preserve">1.1 Contexto de la oportunidad</w:t>
      </w:r>
    </w:p>
    <w:p>
      <w:pPr>
        <w:spacing w:after="160" w:line="360"/>
        <w:jc w:val="both"/>
      </w:pPr>
      <w:r>
        <w:rPr>
          <w:rFonts w:ascii="Calibri" w:cs="Calibri" w:eastAsia="Calibri" w:hAnsi="Calibri"/>
          <w:sz w:val="22"/>
          <w:szCs w:val="22"/>
        </w:rPr>
        <w:t xml:space="preserve">El consumo de café en Chile ha mostrado crecimiento sostenido durante la última década. Según datos de Procafé Chile, el consumo per cápita anual se ubica en torno a 1,4 kilogramos por habitante (Procafé, 2024), cifra inferior a la de mercados maduros como Brasil (5,6 kg) o Italia (6,0 kg) pero con una tasa de crecimiento promedio del 4-6% anual durante el último quinquenio, impulsada principalmente por la categoría de café espresso (32% del share) y el surgimiento del segmento de café de especialidad o "tercera ola".</w:t>
      </w:r>
    </w:p>
    <w:p>
      <w:pPr>
        <w:spacing w:after="160" w:line="360"/>
        <w:jc w:val="both"/>
      </w:pPr>
      <w:r>
        <w:rPr>
          <w:rFonts w:ascii="Calibri" w:cs="Calibri" w:eastAsia="Calibri" w:hAnsi="Calibri"/>
          <w:sz w:val="22"/>
          <w:szCs w:val="22"/>
        </w:rPr>
        <w:t xml:space="preserve">La Asociación Nacional de Cafés y Cafeterías (ANCC) reporta que existen aproximadamente 4.500 establecimientos formales con giro principal en café en Chile, concentrados en un 58% en la Región Metropolitana. Sin embargo, el crecimiento del segmento ha estado liderado por formatos innovadores: cafeterías de paso (to-go), cafeterías de especialidad y dark kitchens enfocadas en delivery. El formato tradicional de cafetería con cocina y carta amplia ha mostrado señales de saturación en zonas comerciales tradicionales.</w:t>
      </w:r>
    </w:p>
    <w:p>
      <w:pPr>
        <w:pStyle w:val="Heading2"/>
        <w:spacing w:after="160" w:before="320"/>
      </w:pPr>
      <w:r>
        <w:rPr>
          <w:rFonts w:ascii="Cambria" w:cs="Cambria" w:eastAsia="Cambria" w:hAnsi="Cambria"/>
          <w:b/>
          <w:bCs/>
          <w:color w:val="374151"/>
          <w:sz w:val="26"/>
          <w:szCs w:val="26"/>
        </w:rPr>
        <w:t xml:space="preserve">1.2 Justificación del modelo</w:t>
      </w:r>
    </w:p>
    <w:p>
      <w:pPr>
        <w:spacing w:after="160" w:line="360"/>
        <w:jc w:val="both"/>
      </w:pPr>
      <w:r>
        <w:rPr>
          <w:rFonts w:ascii="Calibri" w:cs="Calibri" w:eastAsia="Calibri" w:hAnsi="Calibri"/>
          <w:sz w:val="22"/>
          <w:szCs w:val="22"/>
        </w:rPr>
        <w:t xml:space="preserve">El proyecto evaluado propone un formato simplificado: cafetería compacta (30-35 m²) que vende un combo único (espresso + alimento envasado individual). Este modelo presenta tres ventajas estratégicas frente al café tradicional:</w:t>
      </w:r>
    </w:p>
    <w:p>
      <w:pPr>
        <w:pStyle w:val="ListParagraph"/>
        <w:numPr>
          <w:ilvl w:val="0"/>
          <w:numId w:val="1"/>
        </w:numPr>
        <w:spacing w:after="80" w:line="320"/>
      </w:pPr>
      <w:r>
        <w:rPr>
          <w:rFonts w:ascii="Calibri" w:cs="Calibri" w:eastAsia="Calibri" w:hAnsi="Calibri"/>
          <w:sz w:val="22"/>
          <w:szCs w:val="22"/>
        </w:rPr>
        <w:t xml:space="preserve">Menor inversión inicial: al no requerir cocina industrial, sistema de extracción potente, lavavajillas grado HORECA, ni mobiliario gourmet, la inversión se reduce aproximadamente en un 30-35%.</w:t>
      </w:r>
    </w:p>
    <w:p>
      <w:pPr>
        <w:pStyle w:val="ListParagraph"/>
        <w:numPr>
          <w:ilvl w:val="0"/>
          <w:numId w:val="1"/>
        </w:numPr>
        <w:spacing w:after="80" w:line="320"/>
      </w:pPr>
      <w:r>
        <w:rPr>
          <w:rFonts w:ascii="Calibri" w:cs="Calibri" w:eastAsia="Calibri" w:hAnsi="Calibri"/>
          <w:sz w:val="22"/>
          <w:szCs w:val="22"/>
        </w:rPr>
        <w:t xml:space="preserve">Simplicidad operacional: la planilla mínima viable es de tres personas (dos baristas certificados como manipuladores de alimentos más un reemplazo a media jornada), lo que reduce la rotación crítica y simplifica la gestión de personal.</w:t>
      </w:r>
    </w:p>
    <w:p>
      <w:pPr>
        <w:pStyle w:val="ListParagraph"/>
        <w:numPr>
          <w:ilvl w:val="0"/>
          <w:numId w:val="1"/>
        </w:numPr>
        <w:spacing w:after="80" w:line="320"/>
      </w:pPr>
      <w:r>
        <w:rPr>
          <w:rFonts w:ascii="Calibri" w:cs="Calibri" w:eastAsia="Calibri" w:hAnsi="Calibri"/>
          <w:sz w:val="22"/>
          <w:szCs w:val="22"/>
        </w:rPr>
        <w:t xml:space="preserve">Menor exposición regulatoria: al no preparar alimentos en el local, la categoría sanitaria SEREMI aplicable es "manipulación mínima", con arancel y plazos significativamente menores y sin requerir manual HACCP completo.</w:t>
      </w:r>
    </w:p>
    <w:p>
      <w:pPr>
        <w:pStyle w:val="Heading2"/>
        <w:spacing w:after="160" w:before="320"/>
      </w:pPr>
      <w:r>
        <w:rPr>
          <w:rFonts w:ascii="Cambria" w:cs="Cambria" w:eastAsia="Cambria" w:hAnsi="Cambria"/>
          <w:b/>
          <w:bCs/>
          <w:color w:val="374151"/>
          <w:sz w:val="26"/>
          <w:szCs w:val="26"/>
        </w:rPr>
        <w:t xml:space="preserve">1.3 Pregunta de investigación</w:t>
      </w:r>
    </w:p>
    <w:p>
      <w:pPr>
        <w:spacing w:after="200" w:line="320"/>
        <w:ind w:left="720" w:right="720"/>
        <w:jc w:val="both"/>
      </w:pPr>
      <w:r>
        <w:rPr>
          <w:rFonts w:ascii="Calibri" w:cs="Calibri" w:eastAsia="Calibri" w:hAnsi="Calibri"/>
          <w:i/>
          <w:iCs/>
          <w:color w:val="6B7280"/>
          <w:sz w:val="20"/>
          <w:szCs w:val="20"/>
        </w:rPr>
        <w:t xml:space="preserve">¿Cuál es la localización óptima en la Región Metropolitana para implementar el proyecto, considerando las variables financieras, comerciales y operacionales relevantes en un horizonte de cinco años?</w:t>
      </w:r>
    </w:p>
    <w:p>
      <w:pPr>
        <w:pStyle w:val="Heading2"/>
        <w:spacing w:after="160" w:before="320"/>
      </w:pPr>
      <w:r>
        <w:rPr>
          <w:rFonts w:ascii="Cambria" w:cs="Cambria" w:eastAsia="Cambria" w:hAnsi="Cambria"/>
          <w:b/>
          <w:bCs/>
          <w:color w:val="374151"/>
          <w:sz w:val="26"/>
          <w:szCs w:val="26"/>
        </w:rPr>
        <w:t xml:space="preserve">1.4 Objetivos</w:t>
      </w:r>
    </w:p>
    <w:p>
      <w:pPr>
        <w:pStyle w:val="Heading3"/>
        <w:spacing w:after="100" w:before="200"/>
      </w:pPr>
      <w:r>
        <w:rPr>
          <w:rFonts w:ascii="Cambria" w:cs="Cambria" w:eastAsia="Cambria" w:hAnsi="Cambria"/>
          <w:b/>
          <w:bCs/>
          <w:color w:val="4B5563"/>
          <w:sz w:val="22"/>
          <w:szCs w:val="22"/>
        </w:rPr>
        <w:t xml:space="preserve">Objetivo general</w:t>
      </w:r>
    </w:p>
    <w:p>
      <w:pPr>
        <w:spacing w:after="160" w:line="360"/>
        <w:jc w:val="both"/>
      </w:pPr>
      <w:r>
        <w:rPr>
          <w:rFonts w:ascii="Calibri" w:cs="Calibri" w:eastAsia="Calibri" w:hAnsi="Calibri"/>
          <w:sz w:val="22"/>
          <w:szCs w:val="22"/>
        </w:rPr>
        <w:t xml:space="preserve">Evaluar la factibilidad económica y financiera del proyecto en distintas localizaciones de la Región Metropolitana, identificando aquella que maximice el valor económico generado bajo el conjunto de supuestos definidos.</w:t>
      </w:r>
    </w:p>
    <w:p>
      <w:pPr>
        <w:pStyle w:val="Heading3"/>
        <w:spacing w:after="100" w:before="200"/>
      </w:pPr>
      <w:r>
        <w:rPr>
          <w:rFonts w:ascii="Cambria" w:cs="Cambria" w:eastAsia="Cambria" w:hAnsi="Cambria"/>
          <w:b/>
          <w:bCs/>
          <w:color w:val="4B5563"/>
          <w:sz w:val="22"/>
          <w:szCs w:val="22"/>
        </w:rPr>
        <w:t xml:space="preserve">Objetivos específicos</w:t>
      </w:r>
    </w:p>
    <w:p>
      <w:pPr>
        <w:pStyle w:val="ListParagraph"/>
        <w:numPr>
          <w:ilvl w:val="0"/>
          <w:numId w:val="1"/>
        </w:numPr>
        <w:spacing w:after="80" w:line="320"/>
      </w:pPr>
      <w:r>
        <w:rPr>
          <w:rFonts w:ascii="Calibri" w:cs="Calibri" w:eastAsia="Calibri" w:hAnsi="Calibri"/>
          <w:sz w:val="22"/>
          <w:szCs w:val="22"/>
        </w:rPr>
        <w:t xml:space="preserve">Construir el flujo de caja puro y del inversionista del proyecto en cada localización candidata.</w:t>
      </w:r>
    </w:p>
    <w:p>
      <w:pPr>
        <w:pStyle w:val="ListParagraph"/>
        <w:numPr>
          <w:ilvl w:val="0"/>
          <w:numId w:val="1"/>
        </w:numPr>
        <w:spacing w:after="80" w:line="320"/>
      </w:pPr>
      <w:r>
        <w:rPr>
          <w:rFonts w:ascii="Calibri" w:cs="Calibri" w:eastAsia="Calibri" w:hAnsi="Calibri"/>
          <w:sz w:val="22"/>
          <w:szCs w:val="22"/>
        </w:rPr>
        <w:t xml:space="preserve">Calcular los indicadores VAN, TIR, payback y break-even para cada localización.</w:t>
      </w:r>
    </w:p>
    <w:p>
      <w:pPr>
        <w:pStyle w:val="ListParagraph"/>
        <w:numPr>
          <w:ilvl w:val="0"/>
          <w:numId w:val="1"/>
        </w:numPr>
        <w:spacing w:after="80" w:line="320"/>
      </w:pPr>
      <w:r>
        <w:rPr>
          <w:rFonts w:ascii="Calibri" w:cs="Calibri" w:eastAsia="Calibri" w:hAnsi="Calibri"/>
          <w:sz w:val="22"/>
          <w:szCs w:val="22"/>
        </w:rPr>
        <w:t xml:space="preserve">Realizar análisis de sensibilidad sobre las variables críticas del modelo.</w:t>
      </w:r>
    </w:p>
    <w:p>
      <w:pPr>
        <w:pStyle w:val="ListParagraph"/>
        <w:numPr>
          <w:ilvl w:val="0"/>
          <w:numId w:val="1"/>
        </w:numPr>
        <w:spacing w:after="80" w:line="320"/>
      </w:pPr>
      <w:r>
        <w:rPr>
          <w:rFonts w:ascii="Calibri" w:cs="Calibri" w:eastAsia="Calibri" w:hAnsi="Calibri"/>
          <w:sz w:val="22"/>
          <w:szCs w:val="22"/>
        </w:rPr>
        <w:t xml:space="preserve">Identificar los riesgos cualitativos del proyecto y proponer medidas de mitigación.</w:t>
      </w:r>
    </w:p>
    <w:p>
      <w:pPr>
        <w:pStyle w:val="ListParagraph"/>
        <w:numPr>
          <w:ilvl w:val="0"/>
          <w:numId w:val="1"/>
        </w:numPr>
        <w:spacing w:after="80" w:line="320"/>
      </w:pPr>
      <w:r>
        <w:rPr>
          <w:rFonts w:ascii="Calibri" w:cs="Calibri" w:eastAsia="Calibri" w:hAnsi="Calibri"/>
          <w:sz w:val="22"/>
          <w:szCs w:val="22"/>
        </w:rPr>
        <w:t xml:space="preserve">Documentar el cumplimiento normativo y tributario aplicable en Chile.</w:t>
      </w:r>
    </w:p>
    <w:p>
      <w:pPr>
        <w:pStyle w:val="ListParagraph"/>
        <w:numPr>
          <w:ilvl w:val="0"/>
          <w:numId w:val="1"/>
        </w:numPr>
        <w:spacing w:after="80" w:line="320"/>
      </w:pPr>
      <w:r>
        <w:rPr>
          <w:rFonts w:ascii="Calibri" w:cs="Calibri" w:eastAsia="Calibri" w:hAnsi="Calibri"/>
          <w:sz w:val="22"/>
          <w:szCs w:val="22"/>
        </w:rPr>
        <w:t xml:space="preserve">Emitir una recomendación fundamentada sobre la decisión de inversión.</w:t>
      </w:r>
    </w:p>
    <w:p>
      <w:r>
        <w:br w:type="page"/>
      </w:r>
    </w:p>
    <w:p>
      <w:pPr>
        <w:pStyle w:val="Heading1"/>
        <w:spacing w:after="240" w:before="480"/>
      </w:pPr>
      <w:r>
        <w:rPr>
          <w:rFonts w:ascii="Cambria" w:cs="Cambria" w:eastAsia="Cambria" w:hAnsi="Cambria"/>
          <w:b/>
          <w:bCs/>
          <w:color w:val="1F2937"/>
          <w:sz w:val="32"/>
          <w:szCs w:val="32"/>
        </w:rPr>
        <w:t xml:space="preserve">2. Marco teórico: metodología de evaluación de proyectos</w:t>
      </w:r>
    </w:p>
    <w:p>
      <w:pPr>
        <w:pStyle w:val="Heading2"/>
        <w:spacing w:after="160" w:before="320"/>
      </w:pPr>
      <w:r>
        <w:rPr>
          <w:rFonts w:ascii="Cambria" w:cs="Cambria" w:eastAsia="Cambria" w:hAnsi="Cambria"/>
          <w:b/>
          <w:bCs/>
          <w:color w:val="374151"/>
          <w:sz w:val="26"/>
          <w:szCs w:val="26"/>
        </w:rPr>
        <w:t xml:space="preserve">2.1 Estructura del flujo de caja</w:t>
      </w:r>
    </w:p>
    <w:p>
      <w:pPr>
        <w:spacing w:after="160" w:line="360"/>
        <w:jc w:val="both"/>
      </w:pPr>
      <w:r>
        <w:rPr>
          <w:rFonts w:ascii="Calibri" w:cs="Calibri" w:eastAsia="Calibri" w:hAnsi="Calibri"/>
          <w:sz w:val="22"/>
          <w:szCs w:val="22"/>
        </w:rPr>
        <w:t xml:space="preserve">La metodología utilizada sigue la estructura clásica del curso de Evaluación de Proyectos UAH:</w:t>
      </w:r>
    </w:p>
    <w:p>
      <w:pPr>
        <w:spacing w:after="100"/>
      </w:pPr>
      <w:r>
        <w:rPr>
          <w:rFonts w:ascii="Consolas" w:cs="Consolas" w:eastAsia="Consolas" w:hAnsi="Consolas"/>
          <w:color w:val="374151"/>
          <w:sz w:val="18"/>
          <w:szCs w:val="18"/>
        </w:rPr>
        <w:t xml:space="preserve">+ Ingresos afectos a impuesto</w:t>
      </w:r>
    </w:p>
    <w:p>
      <w:pPr>
        <w:spacing w:after="100"/>
      </w:pPr>
      <w:r>
        <w:rPr>
          <w:rFonts w:ascii="Consolas" w:cs="Consolas" w:eastAsia="Consolas" w:hAnsi="Consolas"/>
          <w:color w:val="374151"/>
          <w:sz w:val="18"/>
          <w:szCs w:val="18"/>
        </w:rPr>
        <w:t xml:space="preserve">- Egresos afectos (costos variables, fijos, personal)</w:t>
      </w:r>
    </w:p>
    <w:p>
      <w:pPr>
        <w:spacing w:after="100"/>
      </w:pPr>
      <w:r>
        <w:rPr>
          <w:rFonts w:ascii="Consolas" w:cs="Consolas" w:eastAsia="Consolas" w:hAnsi="Consolas"/>
          <w:color w:val="374151"/>
          <w:sz w:val="18"/>
          <w:szCs w:val="18"/>
        </w:rPr>
        <w:t xml:space="preserve">- Gastos no desembolsables (depreciación)</w:t>
      </w:r>
    </w:p>
    <w:p>
      <w:pPr>
        <w:spacing w:after="100"/>
      </w:pPr>
      <w:r>
        <w:rPr>
          <w:rFonts w:ascii="Consolas" w:cs="Consolas" w:eastAsia="Consolas" w:hAnsi="Consolas"/>
          <w:color w:val="374151"/>
          <w:sz w:val="18"/>
          <w:szCs w:val="18"/>
        </w:rPr>
        <w:t xml:space="preserve">- Intereses deuda (sólo flujo del inversionista)</w:t>
      </w:r>
    </w:p>
    <w:p>
      <w:pPr>
        <w:spacing w:after="100"/>
      </w:pPr>
      <w:r>
        <w:rPr>
          <w:rFonts w:ascii="Consolas" w:cs="Consolas" w:eastAsia="Consolas" w:hAnsi="Consolas"/>
          <w:color w:val="374151"/>
          <w:sz w:val="18"/>
          <w:szCs w:val="18"/>
        </w:rPr>
        <w:t xml:space="preserve">= Utilidad Antes de Impuesto (UAI)</w:t>
      </w:r>
    </w:p>
    <w:p>
      <w:pPr>
        <w:spacing w:after="100"/>
      </w:pPr>
      <w:r>
        <w:rPr>
          <w:rFonts w:ascii="Consolas" w:cs="Consolas" w:eastAsia="Consolas" w:hAnsi="Consolas"/>
          <w:color w:val="374151"/>
          <w:sz w:val="18"/>
          <w:szCs w:val="18"/>
        </w:rPr>
        <w:t xml:space="preserve">- Impuesto (con crédito tributario acumulado, caso 1 nueva empresa)</w:t>
      </w:r>
    </w:p>
    <w:p>
      <w:pPr>
        <w:spacing w:after="100"/>
      </w:pPr>
      <w:r>
        <w:rPr>
          <w:rFonts w:ascii="Consolas" w:cs="Consolas" w:eastAsia="Consolas" w:hAnsi="Consolas"/>
          <w:color w:val="374151"/>
          <w:sz w:val="18"/>
          <w:szCs w:val="18"/>
        </w:rPr>
        <w:t xml:space="preserve">= Utilidad Después de Impuesto (UDI)</w:t>
      </w:r>
    </w:p>
    <w:p>
      <w:pPr>
        <w:spacing w:after="100"/>
      </w:pPr>
      <w:r>
        <w:rPr>
          <w:rFonts w:ascii="Consolas" w:cs="Consolas" w:eastAsia="Consolas" w:hAnsi="Consolas"/>
          <w:color w:val="374151"/>
          <w:sz w:val="18"/>
          <w:szCs w:val="18"/>
        </w:rPr>
        <w:t xml:space="preserve">+ Reversión depreciación (no es desembolso real)</w:t>
      </w:r>
    </w:p>
    <w:p>
      <w:pPr>
        <w:spacing w:after="100"/>
      </w:pPr>
      <w:r>
        <w:rPr>
          <w:rFonts w:ascii="Consolas" w:cs="Consolas" w:eastAsia="Consolas" w:hAnsi="Consolas"/>
          <w:color w:val="374151"/>
          <w:sz w:val="18"/>
          <w:szCs w:val="18"/>
        </w:rPr>
        <w:t xml:space="preserve">- Inversión inicial + capital de trabajo (sólo período 0)</w:t>
      </w:r>
    </w:p>
    <w:p>
      <w:pPr>
        <w:spacing w:after="100"/>
      </w:pPr>
      <w:r>
        <w:rPr>
          <w:rFonts w:ascii="Consolas" w:cs="Consolas" w:eastAsia="Consolas" w:hAnsi="Consolas"/>
          <w:color w:val="374151"/>
          <w:sz w:val="18"/>
          <w:szCs w:val="18"/>
        </w:rPr>
        <w:t xml:space="preserve">+ Recupero capital de trabajo + valor residual neto + valor terminal (sólo último período)</w:t>
      </w:r>
    </w:p>
    <w:p>
      <w:pPr>
        <w:spacing w:after="100"/>
      </w:pPr>
      <w:r>
        <w:rPr>
          <w:rFonts w:ascii="Consolas" w:cs="Consolas" w:eastAsia="Consolas" w:hAnsi="Consolas"/>
          <w:color w:val="374151"/>
          <w:sz w:val="18"/>
          <w:szCs w:val="18"/>
        </w:rPr>
        <w:t xml:space="preserve">+ Préstamo (sólo período 0) - Amortización del principal (sólo flujo inversionista)</w:t>
      </w:r>
    </w:p>
    <w:p>
      <w:pPr>
        <w:spacing w:after="100"/>
      </w:pPr>
      <w:r>
        <w:rPr>
          <w:rFonts w:ascii="Consolas" w:cs="Consolas" w:eastAsia="Consolas" w:hAnsi="Consolas"/>
          <w:color w:val="374151"/>
          <w:sz w:val="18"/>
          <w:szCs w:val="18"/>
        </w:rPr>
        <w:t xml:space="preserve">= Flujo Neto de Caja</w:t>
      </w:r>
    </w:p>
    <w:p>
      <w:pPr>
        <w:pStyle w:val="Heading2"/>
        <w:spacing w:after="160" w:before="320"/>
      </w:pPr>
      <w:r>
        <w:rPr>
          <w:rFonts w:ascii="Cambria" w:cs="Cambria" w:eastAsia="Cambria" w:hAnsi="Cambria"/>
          <w:b/>
          <w:bCs/>
          <w:color w:val="374151"/>
          <w:sz w:val="26"/>
          <w:szCs w:val="26"/>
        </w:rPr>
        <w:t xml:space="preserve">2.2 Indicadores</w:t>
      </w:r>
    </w:p>
    <w:p>
      <w:pPr>
        <w:pStyle w:val="Heading3"/>
        <w:spacing w:after="100" w:before="200"/>
      </w:pPr>
      <w:r>
        <w:rPr>
          <w:rFonts w:ascii="Cambria" w:cs="Cambria" w:eastAsia="Cambria" w:hAnsi="Cambria"/>
          <w:b/>
          <w:bCs/>
          <w:color w:val="4B5563"/>
          <w:sz w:val="22"/>
          <w:szCs w:val="22"/>
        </w:rPr>
        <w:t xml:space="preserve">Valor Actual Neto (VAN)</w:t>
      </w:r>
    </w:p>
    <w:p>
      <w:pPr>
        <w:spacing w:after="160" w:line="360"/>
        <w:jc w:val="both"/>
      </w:pPr>
      <w:r>
        <w:rPr>
          <w:rFonts w:ascii="Calibri" w:cs="Calibri" w:eastAsia="Calibri" w:hAnsi="Calibri"/>
          <w:sz w:val="22"/>
          <w:szCs w:val="22"/>
        </w:rPr>
        <w:t xml:space="preserve">Mide la riqueza adicional generada por el proyecto en valor presente, descontando los flujos a la tasa de costo de capital (Tcc). Criterio: aceptar si VAN &gt; 0; rechazar si VAN &lt; 0.</w:t>
      </w:r>
    </w:p>
    <w:p>
      <w:pPr>
        <w:spacing w:after="100"/>
      </w:pPr>
      <w:r>
        <w:rPr>
          <w:rFonts w:ascii="Consolas" w:cs="Consolas" w:eastAsia="Consolas" w:hAnsi="Consolas"/>
          <w:color w:val="374151"/>
          <w:sz w:val="18"/>
          <w:szCs w:val="18"/>
        </w:rPr>
        <w:t xml:space="preserve">VAN = Σ [Flujo_t / (1 + Tcc)^t] − Inversión inicial</w:t>
      </w:r>
    </w:p>
    <w:p>
      <w:pPr>
        <w:pStyle w:val="Heading3"/>
        <w:spacing w:after="100" w:before="200"/>
      </w:pPr>
      <w:r>
        <w:rPr>
          <w:rFonts w:ascii="Cambria" w:cs="Cambria" w:eastAsia="Cambria" w:hAnsi="Cambria"/>
          <w:b/>
          <w:bCs/>
          <w:color w:val="4B5563"/>
          <w:sz w:val="22"/>
          <w:szCs w:val="22"/>
        </w:rPr>
        <w:t xml:space="preserve">Tasa Interna de Retorno (TIR)</w:t>
      </w:r>
    </w:p>
    <w:p>
      <w:pPr>
        <w:spacing w:after="160" w:line="360"/>
        <w:jc w:val="both"/>
      </w:pPr>
      <w:r>
        <w:rPr>
          <w:rFonts w:ascii="Calibri" w:cs="Calibri" w:eastAsia="Calibri" w:hAnsi="Calibri"/>
          <w:sz w:val="22"/>
          <w:szCs w:val="22"/>
        </w:rPr>
        <w:t xml:space="preserve">Es la tasa de descuento que iguala el VAN a cero. Mide la rentabilidad efectiva del proyecto. Criterio: aceptar si TIR &gt; Tcc.</w:t>
      </w:r>
    </w:p>
    <w:p>
      <w:pPr>
        <w:pStyle w:val="Heading3"/>
        <w:spacing w:after="100" w:before="200"/>
      </w:pPr>
      <w:r>
        <w:rPr>
          <w:rFonts w:ascii="Cambria" w:cs="Cambria" w:eastAsia="Cambria" w:hAnsi="Cambria"/>
          <w:b/>
          <w:bCs/>
          <w:color w:val="4B5563"/>
          <w:sz w:val="22"/>
          <w:szCs w:val="22"/>
        </w:rPr>
        <w:t xml:space="preserve">Payback</w:t>
      </w:r>
    </w:p>
    <w:p>
      <w:pPr>
        <w:spacing w:after="160" w:line="360"/>
        <w:jc w:val="both"/>
      </w:pPr>
      <w:r>
        <w:rPr>
          <w:rFonts w:ascii="Calibri" w:cs="Calibri" w:eastAsia="Calibri" w:hAnsi="Calibri"/>
          <w:sz w:val="22"/>
          <w:szCs w:val="22"/>
        </w:rPr>
        <w:t xml:space="preserve">Período en el que la suma acumulada de flujos pasa de negativa a positiva. Indicador complementario de liquidez; no considera el valor del dinero en el tiempo.</w:t>
      </w:r>
    </w:p>
    <w:p>
      <w:pPr>
        <w:pStyle w:val="Heading3"/>
        <w:spacing w:after="100" w:before="200"/>
      </w:pPr>
      <w:r>
        <w:rPr>
          <w:rFonts w:ascii="Cambria" w:cs="Cambria" w:eastAsia="Cambria" w:hAnsi="Cambria"/>
          <w:b/>
          <w:bCs/>
          <w:color w:val="4B5563"/>
          <w:sz w:val="22"/>
          <w:szCs w:val="22"/>
        </w:rPr>
        <w:t xml:space="preserve">Break-even</w:t>
      </w:r>
    </w:p>
    <w:p>
      <w:pPr>
        <w:spacing w:after="160" w:line="360"/>
        <w:jc w:val="both"/>
      </w:pPr>
      <w:r>
        <w:rPr>
          <w:rFonts w:ascii="Calibri" w:cs="Calibri" w:eastAsia="Calibri" w:hAnsi="Calibri"/>
          <w:sz w:val="22"/>
          <w:szCs w:val="22"/>
        </w:rPr>
        <w:t xml:space="preserve">Demanda mínima diaria que hace VAN = 0. Permite identificar el margen de seguridad operacional del proyecto.</w:t>
      </w:r>
    </w:p>
    <w:p>
      <w:pPr>
        <w:pStyle w:val="Heading2"/>
        <w:spacing w:after="160" w:before="320"/>
      </w:pPr>
      <w:r>
        <w:rPr>
          <w:rFonts w:ascii="Cambria" w:cs="Cambria" w:eastAsia="Cambria" w:hAnsi="Cambria"/>
          <w:b/>
          <w:bCs/>
          <w:color w:val="374151"/>
          <w:sz w:val="26"/>
          <w:szCs w:val="26"/>
        </w:rPr>
        <w:t xml:space="preserve">2.3 Valor terminal por perpetuidad creciente</w:t>
      </w:r>
    </w:p>
    <w:p>
      <w:pPr>
        <w:spacing w:after="160" w:line="360"/>
        <w:jc w:val="both"/>
      </w:pPr>
      <w:r>
        <w:rPr>
          <w:rFonts w:ascii="Calibri" w:cs="Calibri" w:eastAsia="Calibri" w:hAnsi="Calibri"/>
          <w:sz w:val="22"/>
          <w:szCs w:val="22"/>
        </w:rPr>
        <w:t xml:space="preserve">Para proyectos cuyo horizonte de operación efectivo excede el horizonte de evaluación, se aplica el modelo de perpetuidad creciente de Gordon Growth:</w:t>
      </w:r>
    </w:p>
    <w:p>
      <w:pPr>
        <w:spacing w:after="100"/>
      </w:pPr>
      <w:r>
        <w:rPr>
          <w:rFonts w:ascii="Consolas" w:cs="Consolas" w:eastAsia="Consolas" w:hAnsi="Consolas"/>
          <w:color w:val="374151"/>
          <w:sz w:val="18"/>
          <w:szCs w:val="18"/>
        </w:rPr>
        <w:t xml:space="preserve">VT = FlujoOperacional_steady × (1 + g) / (Tcc − g)</w:t>
      </w:r>
    </w:p>
    <w:p>
      <w:pPr>
        <w:spacing w:after="160" w:line="360"/>
        <w:jc w:val="both"/>
      </w:pPr>
      <w:r>
        <w:rPr>
          <w:rFonts w:ascii="Calibri" w:cs="Calibri" w:eastAsia="Calibri" w:hAnsi="Calibri"/>
          <w:sz w:val="22"/>
          <w:szCs w:val="22"/>
        </w:rPr>
        <w:t xml:space="preserve">Donde g es la tasa de crecimiento esperada en perpetuidad. La condición de convergencia matemática exige g &lt; Tcc. La base del cálculo corresponde al flujo operacional steady-state, excluyendo elementos no recurrentes como recupero de capital de trabajo, valor residual de activos o amortización de deuda; estos componentes son inherentes al cierre del horizonte y no se replican en perpetuidad.</w:t>
      </w:r>
    </w:p>
    <w:p>
      <w:pPr>
        <w:pStyle w:val="Heading2"/>
        <w:spacing w:after="160" w:before="320"/>
      </w:pPr>
      <w:r>
        <w:rPr>
          <w:rFonts w:ascii="Cambria" w:cs="Cambria" w:eastAsia="Cambria" w:hAnsi="Cambria"/>
          <w:b/>
          <w:bCs/>
          <w:color w:val="374151"/>
          <w:sz w:val="26"/>
          <w:szCs w:val="26"/>
        </w:rPr>
        <w:t xml:space="preserve">2.4 Crédito tributario acumulado (Caso 1)</w:t>
      </w:r>
    </w:p>
    <w:p>
      <w:pPr>
        <w:spacing w:after="160" w:line="360"/>
        <w:jc w:val="both"/>
      </w:pPr>
      <w:r>
        <w:rPr>
          <w:rFonts w:ascii="Calibri" w:cs="Calibri" w:eastAsia="Calibri" w:hAnsi="Calibri"/>
          <w:sz w:val="22"/>
          <w:szCs w:val="22"/>
        </w:rPr>
        <w:t xml:space="preserve">Para proyectos correspondientes a empresas nuevas con RUT independiente, las pérdidas tributarias generadas en períodos con UAI negativa no se pierden: se acumulan como crédito fiscal a favor (calculado como tasa de impuesto multiplicada por el valor absoluto de la pérdida), descontable contra impuestos de períodos futuros hasta su agotamiento.</w:t>
      </w:r>
    </w:p>
    <w:p>
      <w:pPr>
        <w:pStyle w:val="Heading2"/>
        <w:spacing w:after="160" w:before="320"/>
      </w:pPr>
      <w:r>
        <w:rPr>
          <w:rFonts w:ascii="Cambria" w:cs="Cambria" w:eastAsia="Cambria" w:hAnsi="Cambria"/>
          <w:b/>
          <w:bCs/>
          <w:color w:val="374151"/>
          <w:sz w:val="26"/>
          <w:szCs w:val="26"/>
        </w:rPr>
        <w:t xml:space="preserve">2.5 Régimen Pro PYME (Art. 14 D N°3 LIR)</w:t>
      </w:r>
    </w:p>
    <w:p>
      <w:pPr>
        <w:spacing w:after="160" w:line="360"/>
        <w:jc w:val="both"/>
      </w:pPr>
      <w:r>
        <w:rPr>
          <w:rFonts w:ascii="Calibri" w:cs="Calibri" w:eastAsia="Calibri" w:hAnsi="Calibri"/>
          <w:sz w:val="22"/>
          <w:szCs w:val="22"/>
        </w:rPr>
        <w:t xml:space="preserve">Establecido por la Ley 21.210 de Modernización Tributaria, este régimen aplicable a empresas con ventas anuales inferiores a 75.000 UF entrega tres beneficios principales: tasa de impuesto a la renta de 25% (vs. 27% del régimen general), depreciación instantánea de los activos físicos depreciables y reconocimiento del gasto al pago efectivo (criterio caja) y no al devengo. Adicionalmente, las empresas con ventas inferiores a 50.000 UF están exentas de pagos provisionales mensuales (PPM).</w:t>
      </w:r>
    </w:p>
    <w:p>
      <w:r>
        <w:br w:type="page"/>
      </w:r>
    </w:p>
    <w:p>
      <w:pPr>
        <w:pStyle w:val="Heading1"/>
        <w:spacing w:after="240" w:before="480"/>
      </w:pPr>
      <w:r>
        <w:rPr>
          <w:rFonts w:ascii="Cambria" w:cs="Cambria" w:eastAsia="Cambria" w:hAnsi="Cambria"/>
          <w:b/>
          <w:bCs/>
          <w:color w:val="1F2937"/>
          <w:sz w:val="32"/>
          <w:szCs w:val="32"/>
        </w:rPr>
        <w:t xml:space="preserve">3. Estudio de mercado: sector cafetero en Chile</w:t>
      </w:r>
    </w:p>
    <w:p>
      <w:pPr>
        <w:pStyle w:val="Heading2"/>
        <w:spacing w:after="160" w:before="320"/>
      </w:pPr>
      <w:r>
        <w:rPr>
          <w:rFonts w:ascii="Cambria" w:cs="Cambria" w:eastAsia="Cambria" w:hAnsi="Cambria"/>
          <w:b/>
          <w:bCs/>
          <w:color w:val="374151"/>
          <w:sz w:val="26"/>
          <w:szCs w:val="26"/>
        </w:rPr>
        <w:t xml:space="preserve">3.1 Tamaño y crecimiento del mercado</w:t>
      </w:r>
    </w:p>
    <w:p>
      <w:pPr>
        <w:spacing w:after="160" w:line="360"/>
        <w:jc w:val="both"/>
      </w:pPr>
      <w:r>
        <w:rPr>
          <w:rFonts w:ascii="Calibri" w:cs="Calibri" w:eastAsia="Calibri" w:hAnsi="Calibri"/>
          <w:sz w:val="22"/>
          <w:szCs w:val="22"/>
        </w:rPr>
        <w:t xml:space="preserve">El mercado del café en Chile está caracterizado por dos segmentos diferenciados. El consumo masivo está liderado por café soluble (Nescafé, controlando aproximadamente el 65% del retail según datos de Nielsen), mientras que el consumo en cafeterías representa una categoría con dinámicas distintas, estimada en USD 380 millones anuales en facturación según el reporte sectorial de Achiga 2024.</w:t>
      </w:r>
    </w:p>
    <w:p>
      <w:pPr>
        <w:spacing w:after="160" w:line="360"/>
        <w:jc w:val="both"/>
      </w:pPr>
      <w:r>
        <w:rPr>
          <w:rFonts w:ascii="Calibri" w:cs="Calibri" w:eastAsia="Calibri" w:hAnsi="Calibri"/>
          <w:sz w:val="22"/>
          <w:szCs w:val="22"/>
        </w:rPr>
        <w:t xml:space="preserve">La Asociación Nacional de Cafés y Cafeterías (ANCC) estima que el segmento de cafeterías formales factura aproximadamente CLP 280 mil millones anuales en la Región Metropolitana, con un crecimiento promedio de 5,2% anual durante el último quinquenio. La pandemia de COVID-19 generó una contracción severa en 2020-2021, con el cierre estimado del 18% de los locales formales, pero el segmento se recuperó vigorosamente entre 2022 y 2024 impulsado por el formato to-go y el delivery.</w:t>
      </w:r>
    </w:p>
    <w:p>
      <w:pPr>
        <w:pStyle w:val="Heading2"/>
        <w:spacing w:after="160" w:before="320"/>
      </w:pPr>
      <w:r>
        <w:rPr>
          <w:rFonts w:ascii="Cambria" w:cs="Cambria" w:eastAsia="Cambria" w:hAnsi="Cambria"/>
          <w:b/>
          <w:bCs/>
          <w:color w:val="374151"/>
          <w:sz w:val="26"/>
          <w:szCs w:val="26"/>
        </w:rPr>
        <w:t xml:space="preserve">3.2 Segmentación del consumidor</w:t>
      </w:r>
    </w:p>
    <w:p>
      <w:pPr>
        <w:spacing w:after="160" w:line="360"/>
        <w:jc w:val="both"/>
      </w:pPr>
      <w:r>
        <w:rPr>
          <w:rFonts w:ascii="Calibri" w:cs="Calibri" w:eastAsia="Calibri" w:hAnsi="Calibri"/>
          <w:sz w:val="22"/>
          <w:szCs w:val="22"/>
        </w:rPr>
        <w:t xml:space="preserve">La encuesta Procafé 2024 identifica cuatro perfiles principales del consumidor chileno de café en cafetería:</w:t>
      </w:r>
    </w:p>
    <w:p>
      <w:pPr>
        <w:pStyle w:val="ListParagraph"/>
        <w:numPr>
          <w:ilvl w:val="0"/>
          <w:numId w:val="1"/>
        </w:numPr>
        <w:spacing w:after="80" w:line="320"/>
      </w:pPr>
      <w:r>
        <w:rPr>
          <w:rFonts w:ascii="Calibri" w:cs="Calibri" w:eastAsia="Calibri" w:hAnsi="Calibri"/>
          <w:sz w:val="22"/>
          <w:szCs w:val="22"/>
        </w:rPr>
        <w:t xml:space="preserve">Consumidor laboral matutino (35% del flujo): busca rapidez, ticket medio CLP 2.500-3.500, alto recurrencia diaria, café simple sin acompañamiento o con bollería rápida.</w:t>
      </w:r>
    </w:p>
    <w:p>
      <w:pPr>
        <w:pStyle w:val="ListParagraph"/>
        <w:numPr>
          <w:ilvl w:val="0"/>
          <w:numId w:val="1"/>
        </w:numPr>
        <w:spacing w:after="80" w:line="320"/>
      </w:pPr>
      <w:r>
        <w:rPr>
          <w:rFonts w:ascii="Calibri" w:cs="Calibri" w:eastAsia="Calibri" w:hAnsi="Calibri"/>
          <w:sz w:val="22"/>
          <w:szCs w:val="22"/>
        </w:rPr>
        <w:t xml:space="preserve">Consumidor de almuerzo (28% del flujo): combinación café + sándwich/ensalada, ticket CLP 4.500-7.500, concentrado entre 12:30 y 14:30.</w:t>
      </w:r>
    </w:p>
    <w:p>
      <w:pPr>
        <w:pStyle w:val="ListParagraph"/>
        <w:numPr>
          <w:ilvl w:val="0"/>
          <w:numId w:val="1"/>
        </w:numPr>
        <w:spacing w:after="80" w:line="320"/>
      </w:pPr>
      <w:r>
        <w:rPr>
          <w:rFonts w:ascii="Calibri" w:cs="Calibri" w:eastAsia="Calibri" w:hAnsi="Calibri"/>
          <w:sz w:val="22"/>
          <w:szCs w:val="22"/>
        </w:rPr>
        <w:t xml:space="preserve">Consumidor "café de tarde" (22% del flujo): brunch, repostería, encuentros sociales, ticket CLP 5.000-9.000, mayor permanencia en local.</w:t>
      </w:r>
    </w:p>
    <w:p>
      <w:pPr>
        <w:pStyle w:val="ListParagraph"/>
        <w:numPr>
          <w:ilvl w:val="0"/>
          <w:numId w:val="1"/>
        </w:numPr>
        <w:spacing w:after="80" w:line="320"/>
      </w:pPr>
      <w:r>
        <w:rPr>
          <w:rFonts w:ascii="Calibri" w:cs="Calibri" w:eastAsia="Calibri" w:hAnsi="Calibri"/>
          <w:sz w:val="22"/>
          <w:szCs w:val="22"/>
        </w:rPr>
        <w:t xml:space="preserve">Consumidor de especialidad (15% del flujo): café de origen, métodos de filtrado, ticket CLP 7.500-15.000, baja frecuencia pero alta lealtad.</w:t>
      </w:r>
    </w:p>
    <w:p>
      <w:pPr>
        <w:spacing w:after="160" w:line="360"/>
        <w:jc w:val="both"/>
      </w:pPr>
      <w:r>
        <w:rPr>
          <w:rFonts w:ascii="Calibri" w:cs="Calibri" w:eastAsia="Calibri" w:hAnsi="Calibri"/>
          <w:sz w:val="22"/>
          <w:szCs w:val="22"/>
        </w:rPr>
        <w:t xml:space="preserve">El proyecto evaluado se enfoca primariamente en el primer segmento (consumidor laboral matutino), con una porción del segundo segmento (almuerzo rápido), mediante un combo único cerrado que combina espresso con un alimento envasado individual.</w:t>
      </w:r>
    </w:p>
    <w:p>
      <w:pPr>
        <w:pStyle w:val="Heading2"/>
        <w:spacing w:after="160" w:before="320"/>
      </w:pPr>
      <w:r>
        <w:rPr>
          <w:rFonts w:ascii="Cambria" w:cs="Cambria" w:eastAsia="Cambria" w:hAnsi="Cambria"/>
          <w:b/>
          <w:bCs/>
          <w:color w:val="374151"/>
          <w:sz w:val="26"/>
          <w:szCs w:val="26"/>
        </w:rPr>
        <w:t xml:space="preserve">3.3 Competencia</w:t>
      </w:r>
    </w:p>
    <w:p>
      <w:pPr>
        <w:spacing w:after="160" w:line="360"/>
        <w:jc w:val="both"/>
      </w:pPr>
      <w:r>
        <w:rPr>
          <w:rFonts w:ascii="Calibri" w:cs="Calibri" w:eastAsia="Calibri" w:hAnsi="Calibri"/>
          <w:sz w:val="22"/>
          <w:szCs w:val="22"/>
        </w:rPr>
        <w:t xml:space="preserve">Las cadenas internacionales (Starbucks Coffee Chile y Juan Valdez Café) operan aproximadamente 165 locales en conjunto en la Región Metropolitana al cierre de 2024. El segmento independiente representa el 78% de los puntos de venta y registra una rotación elevada (las cafeterías independientes tienen una vida promedio de 3,8 años según el estudio Achiga 2024).</w:t>
      </w:r>
    </w:p>
    <w:p>
      <w:pPr>
        <w:spacing w:after="160" w:line="360"/>
        <w:jc w:val="both"/>
      </w:pPr>
      <w:r>
        <w:rPr>
          <w:rFonts w:ascii="Calibri" w:cs="Calibri" w:eastAsia="Calibri" w:hAnsi="Calibri"/>
          <w:sz w:val="22"/>
          <w:szCs w:val="22"/>
        </w:rPr>
        <w:t xml:space="preserve">La densidad de competencia en zonas comerciales premium de la Región Metropolitana se sitúa entre 60 y 145 cafeterías por kilómetro cuadrado, lo que constituye un factor crítico de localización.</w:t>
      </w:r>
    </w:p>
    <w:p>
      <w:pPr>
        <w:pStyle w:val="Heading2"/>
        <w:spacing w:after="160" w:before="320"/>
      </w:pPr>
      <w:r>
        <w:rPr>
          <w:rFonts w:ascii="Cambria" w:cs="Cambria" w:eastAsia="Cambria" w:hAnsi="Cambria"/>
          <w:b/>
          <w:bCs/>
          <w:color w:val="374151"/>
          <w:sz w:val="26"/>
          <w:szCs w:val="26"/>
        </w:rPr>
        <w:t xml:space="preserve">3.4 Tendencias relevantes para el proyecto</w:t>
      </w:r>
    </w:p>
    <w:p>
      <w:pPr>
        <w:pStyle w:val="ListParagraph"/>
        <w:numPr>
          <w:ilvl w:val="0"/>
          <w:numId w:val="1"/>
        </w:numPr>
        <w:spacing w:after="80" w:line="320"/>
      </w:pPr>
      <w:r>
        <w:rPr>
          <w:rFonts w:ascii="Calibri" w:cs="Calibri" w:eastAsia="Calibri" w:hAnsi="Calibri"/>
          <w:sz w:val="22"/>
          <w:szCs w:val="22"/>
        </w:rPr>
        <w:t xml:space="preserve">Crecimiento del formato to-go: tras la pandemia, el 42% de las transacciones se efectúan en take-away (vs. 28% pre-COVID), favoreciendo formatos compactos sin servicio en mesa.</w:t>
      </w:r>
    </w:p>
    <w:p>
      <w:pPr>
        <w:pStyle w:val="ListParagraph"/>
        <w:numPr>
          <w:ilvl w:val="0"/>
          <w:numId w:val="1"/>
        </w:numPr>
        <w:spacing w:after="80" w:line="320"/>
      </w:pPr>
      <w:r>
        <w:rPr>
          <w:rFonts w:ascii="Calibri" w:cs="Calibri" w:eastAsia="Calibri" w:hAnsi="Calibri"/>
          <w:sz w:val="22"/>
          <w:szCs w:val="22"/>
        </w:rPr>
        <w:t xml:space="preserve">Aumento de la sensibilidad al precio: el ticket promedio creció 18% nominal entre 2022 y 2024, alineado con la inflación, pero el volumen creció solo 6% en el mismo período, indicando elasticidad creciente.</w:t>
      </w:r>
    </w:p>
    <w:p>
      <w:pPr>
        <w:pStyle w:val="ListParagraph"/>
        <w:numPr>
          <w:ilvl w:val="0"/>
          <w:numId w:val="1"/>
        </w:numPr>
        <w:spacing w:after="80" w:line="320"/>
      </w:pPr>
      <w:r>
        <w:rPr>
          <w:rFonts w:ascii="Calibri" w:cs="Calibri" w:eastAsia="Calibri" w:hAnsi="Calibri"/>
          <w:sz w:val="22"/>
          <w:szCs w:val="22"/>
        </w:rPr>
        <w:t xml:space="preserve">Profesionalización del barista: la Specialty Coffee Association of Chile (SCA Chile) ha certificado a más de 800 baristas desde 2018, elevando la calidad promedio del producto.</w:t>
      </w:r>
    </w:p>
    <w:p>
      <w:pPr>
        <w:pStyle w:val="ListParagraph"/>
        <w:numPr>
          <w:ilvl w:val="0"/>
          <w:numId w:val="1"/>
        </w:numPr>
        <w:spacing w:after="80" w:line="320"/>
      </w:pPr>
      <w:r>
        <w:rPr>
          <w:rFonts w:ascii="Calibri" w:cs="Calibri" w:eastAsia="Calibri" w:hAnsi="Calibri"/>
          <w:sz w:val="22"/>
          <w:szCs w:val="22"/>
        </w:rPr>
        <w:t xml:space="preserve">Concentración de proveedores de combo envasado: existen aproximadamente 12 proveedores en RM con resolución sanitaria vigente para producción industrial de croissants, sándwiches y snacks individualmente envasados (Carozzi Food Service, Watt's Alimentos, Bofrost, entre otros).</w:t>
      </w:r>
    </w:p>
    <w:p>
      <w:r>
        <w:br w:type="page"/>
      </w:r>
    </w:p>
    <w:p>
      <w:pPr>
        <w:pStyle w:val="Heading1"/>
        <w:spacing w:after="240" w:before="480"/>
      </w:pPr>
      <w:r>
        <w:rPr>
          <w:rFonts w:ascii="Cambria" w:cs="Cambria" w:eastAsia="Cambria" w:hAnsi="Cambria"/>
          <w:b/>
          <w:bCs/>
          <w:color w:val="1F2937"/>
          <w:sz w:val="32"/>
          <w:szCs w:val="32"/>
        </w:rPr>
        <w:t xml:space="preserve">4. Marco normativo y regulatorio chileno</w:t>
      </w:r>
    </w:p>
    <w:p>
      <w:pPr>
        <w:pStyle w:val="Heading2"/>
        <w:spacing w:after="160" w:before="320"/>
      </w:pPr>
      <w:r>
        <w:rPr>
          <w:rFonts w:ascii="Cambria" w:cs="Cambria" w:eastAsia="Cambria" w:hAnsi="Cambria"/>
          <w:b/>
          <w:bCs/>
          <w:color w:val="374151"/>
          <w:sz w:val="26"/>
          <w:szCs w:val="26"/>
        </w:rPr>
        <w:t xml:space="preserve">4.1 Permisos sanitarios</w:t>
      </w:r>
    </w:p>
    <w:p>
      <w:pPr>
        <w:spacing w:after="160" w:line="360"/>
        <w:jc w:val="both"/>
      </w:pPr>
      <w:r>
        <w:rPr>
          <w:rFonts w:ascii="Calibri" w:cs="Calibri" w:eastAsia="Calibri" w:hAnsi="Calibri"/>
          <w:sz w:val="22"/>
          <w:szCs w:val="22"/>
        </w:rPr>
        <w:t xml:space="preserve">Todo establecimiento que expenda alimentos al público requiere autorización sanitaria, regulada por el Decreto Supremo 977 de 1996 (Reglamento Sanitario de los Alimentos), administrado por la SEREMI de Salud Metropolitana. Para el modelo evaluado, aplica la categoría de "establecimiento de alimentos con manipulación mínima · preparación de bebidas calientes", que es la más simple del reglamento. Las exigencias son las siguientes:</w:t>
      </w:r>
    </w:p>
    <w:p>
      <w:pPr>
        <w:pStyle w:val="ListParagraph"/>
        <w:numPr>
          <w:ilvl w:val="0"/>
          <w:numId w:val="1"/>
        </w:numPr>
        <w:spacing w:after="80" w:line="320"/>
      </w:pPr>
      <w:r>
        <w:rPr>
          <w:rFonts w:ascii="Calibri" w:cs="Calibri" w:eastAsia="Calibri" w:hAnsi="Calibri"/>
          <w:sz w:val="22"/>
          <w:szCs w:val="22"/>
        </w:rPr>
        <w:t xml:space="preserve">Resolución sanitaria vigente expedida por la SEREMI Salud RM, con arancel referencial de CLP 180.000 más adecuaciones eventuales.</w:t>
      </w:r>
    </w:p>
    <w:p>
      <w:pPr>
        <w:pStyle w:val="ListParagraph"/>
        <w:numPr>
          <w:ilvl w:val="0"/>
          <w:numId w:val="1"/>
        </w:numPr>
        <w:spacing w:after="80" w:line="320"/>
      </w:pPr>
      <w:r>
        <w:rPr>
          <w:rFonts w:ascii="Calibri" w:cs="Calibri" w:eastAsia="Calibri" w:hAnsi="Calibri"/>
          <w:sz w:val="22"/>
          <w:szCs w:val="22"/>
        </w:rPr>
        <w:t xml:space="preserve">Croquis del establecimiento con identificación de áreas (almacenamiento, preparación de bebidas, atención público, baño).</w:t>
      </w:r>
    </w:p>
    <w:p>
      <w:pPr>
        <w:pStyle w:val="ListParagraph"/>
        <w:numPr>
          <w:ilvl w:val="0"/>
          <w:numId w:val="1"/>
        </w:numPr>
        <w:spacing w:after="80" w:line="320"/>
      </w:pPr>
      <w:r>
        <w:rPr>
          <w:rFonts w:ascii="Calibri" w:cs="Calibri" w:eastAsia="Calibri" w:hAnsi="Calibri"/>
          <w:sz w:val="22"/>
          <w:szCs w:val="22"/>
        </w:rPr>
        <w:t xml:space="preserve">Certificado de manipuladores de alimentos para todo el personal que tenga contacto con alimentos o bebidas, incluso si los productos vienen envasados (Art. 60 DS 977).</w:t>
      </w:r>
    </w:p>
    <w:p>
      <w:pPr>
        <w:pStyle w:val="ListParagraph"/>
        <w:numPr>
          <w:ilvl w:val="0"/>
          <w:numId w:val="1"/>
        </w:numPr>
        <w:spacing w:after="80" w:line="320"/>
      </w:pPr>
      <w:r>
        <w:rPr>
          <w:rFonts w:ascii="Calibri" w:cs="Calibri" w:eastAsia="Calibri" w:hAnsi="Calibri"/>
          <w:sz w:val="22"/>
          <w:szCs w:val="22"/>
        </w:rPr>
        <w:t xml:space="preserve">Sistema de trazabilidad de proveedores: facturas, certificados sanitarios actualizados de cada lote, registro de cadena de frío.</w:t>
      </w:r>
    </w:p>
    <w:p>
      <w:pPr>
        <w:pStyle w:val="ListParagraph"/>
        <w:numPr>
          <w:ilvl w:val="0"/>
          <w:numId w:val="1"/>
        </w:numPr>
        <w:spacing w:after="80" w:line="320"/>
      </w:pPr>
      <w:r>
        <w:rPr>
          <w:rFonts w:ascii="Calibri" w:cs="Calibri" w:eastAsia="Calibri" w:hAnsi="Calibri"/>
          <w:sz w:val="22"/>
          <w:szCs w:val="22"/>
        </w:rPr>
        <w:t xml:space="preserve">Plan de limpieza simplificado (no se requiere manual HACCP completo).</w:t>
      </w:r>
    </w:p>
    <w:p>
      <w:pPr>
        <w:pStyle w:val="Heading2"/>
        <w:spacing w:after="160" w:before="320"/>
      </w:pPr>
      <w:r>
        <w:rPr>
          <w:rFonts w:ascii="Cambria" w:cs="Cambria" w:eastAsia="Cambria" w:hAnsi="Cambria"/>
          <w:b/>
          <w:bCs/>
          <w:color w:val="374151"/>
          <w:sz w:val="26"/>
          <w:szCs w:val="26"/>
        </w:rPr>
        <w:t xml:space="preserve">4.2 Permisos municipales</w:t>
      </w:r>
    </w:p>
    <w:p>
      <w:pPr>
        <w:spacing w:after="160" w:line="360"/>
        <w:jc w:val="both"/>
      </w:pPr>
      <w:r>
        <w:rPr>
          <w:rFonts w:ascii="Calibri" w:cs="Calibri" w:eastAsia="Calibri" w:hAnsi="Calibri"/>
          <w:sz w:val="22"/>
          <w:szCs w:val="22"/>
        </w:rPr>
        <w:t xml:space="preserve">La operación requiere obtención de patente comercial municipal, regulada por el Decreto Ley 3.063 de 1979 (Ley de Rentas Municipales). El monto se calcula como porcentaje del capital propio inicial declarado al Servicio de Impuestos Internos, con tasas que varían entre 0,25% y 0,5% según la municipalidad, con tope de 8.000 UTM. Para una inversión declarada de CLP 30 millones, el costo anual de patente comercial se estima en CLP 350.000-500.000 según la comuna.</w:t>
      </w:r>
    </w:p>
    <w:p>
      <w:pPr>
        <w:spacing w:after="160" w:line="360"/>
        <w:jc w:val="both"/>
      </w:pPr>
      <w:r>
        <w:rPr>
          <w:rFonts w:ascii="Calibri" w:cs="Calibri" w:eastAsia="Calibri" w:hAnsi="Calibri"/>
          <w:sz w:val="22"/>
          <w:szCs w:val="22"/>
        </w:rPr>
        <w:t xml:space="preserve">Adicionalmente se requiere informe de zonificación favorable (verificación que el rubro está permitido en la dirección específica), pago anual de derecho de aseo comercial (estimado CLP 240.000) y, en caso de letrero o publicidad exterior visible, permiso de publicidad en vía pública (estimado CLP 95.000 anuales).</w:t>
      </w:r>
    </w:p>
    <w:p>
      <w:pPr>
        <w:pStyle w:val="Heading2"/>
        <w:spacing w:after="160" w:before="320"/>
      </w:pPr>
      <w:r>
        <w:rPr>
          <w:rFonts w:ascii="Cambria" w:cs="Cambria" w:eastAsia="Cambria" w:hAnsi="Cambria"/>
          <w:b/>
          <w:bCs/>
          <w:color w:val="374151"/>
          <w:sz w:val="26"/>
          <w:szCs w:val="26"/>
        </w:rPr>
        <w:t xml:space="preserve">4.3 Permisos tributarios</w:t>
      </w:r>
    </w:p>
    <w:p>
      <w:pPr>
        <w:spacing w:after="160" w:line="360"/>
        <w:jc w:val="both"/>
      </w:pPr>
      <w:r>
        <w:rPr>
          <w:rFonts w:ascii="Calibri" w:cs="Calibri" w:eastAsia="Calibri" w:hAnsi="Calibri"/>
          <w:sz w:val="22"/>
          <w:szCs w:val="22"/>
        </w:rPr>
        <w:t xml:space="preserve">El emprendimiento debe registrar inicio de actividades en el Servicio de Impuestos Internos mediante Formulario 4415 (trámite gratuito en línea), con el código de actividad económica 561010 (cafés y restaurantes). Si las ventas anuales proyectadas son inferiores a 75.000 UF, se recomienda acogerse al régimen Pro PYME 14 D N° 3 al momento del inicio de actividades.</w:t>
      </w:r>
    </w:p>
    <w:p>
      <w:pPr>
        <w:pStyle w:val="Heading2"/>
        <w:spacing w:after="160" w:before="320"/>
      </w:pPr>
      <w:r>
        <w:rPr>
          <w:rFonts w:ascii="Cambria" w:cs="Cambria" w:eastAsia="Cambria" w:hAnsi="Cambria"/>
          <w:b/>
          <w:bCs/>
          <w:color w:val="374151"/>
          <w:sz w:val="26"/>
          <w:szCs w:val="26"/>
        </w:rPr>
        <w:t xml:space="preserve">4.4 Normativa laboral</w:t>
      </w:r>
    </w:p>
    <w:p>
      <w:pPr>
        <w:spacing w:after="160" w:line="360"/>
        <w:jc w:val="both"/>
      </w:pPr>
      <w:r>
        <w:rPr>
          <w:rFonts w:ascii="Calibri" w:cs="Calibri" w:eastAsia="Calibri" w:hAnsi="Calibri"/>
          <w:sz w:val="22"/>
          <w:szCs w:val="22"/>
        </w:rPr>
        <w:t xml:space="preserve">La contratación de personal está regulada por el Código del Trabajo y supervisada por la Dirección del Trabajo. Los principales requerimientos son:</w:t>
      </w:r>
    </w:p>
    <w:p>
      <w:pPr>
        <w:pStyle w:val="ListParagraph"/>
        <w:numPr>
          <w:ilvl w:val="0"/>
          <w:numId w:val="1"/>
        </w:numPr>
        <w:spacing w:after="80" w:line="320"/>
      </w:pPr>
      <w:r>
        <w:rPr>
          <w:rFonts w:ascii="Calibri" w:cs="Calibri" w:eastAsia="Calibri" w:hAnsi="Calibri"/>
          <w:sz w:val="22"/>
          <w:szCs w:val="22"/>
        </w:rPr>
        <w:t xml:space="preserve">Contrato de trabajo escrito firmado dentro de los 15 días siguientes al inicio de la relación laboral, registrado en el Registro Electrónico Laboral (Art. 9 CT).</w:t>
      </w:r>
    </w:p>
    <w:p>
      <w:pPr>
        <w:pStyle w:val="ListParagraph"/>
        <w:numPr>
          <w:ilvl w:val="0"/>
          <w:numId w:val="1"/>
        </w:numPr>
        <w:spacing w:after="80" w:line="320"/>
      </w:pPr>
      <w:r>
        <w:rPr>
          <w:rFonts w:ascii="Calibri" w:cs="Calibri" w:eastAsia="Calibri" w:hAnsi="Calibri"/>
          <w:sz w:val="22"/>
          <w:szCs w:val="22"/>
        </w:rPr>
        <w:t xml:space="preserve">Cotización al Seguro de Cesantía AFC: empleador 2,4% (contrato indefinido) o 3% (plazo fijo), trabajador 0,6% solo si indefinido (Ley 19.728).</w:t>
      </w:r>
    </w:p>
    <w:p>
      <w:pPr>
        <w:pStyle w:val="ListParagraph"/>
        <w:numPr>
          <w:ilvl w:val="0"/>
          <w:numId w:val="1"/>
        </w:numPr>
        <w:spacing w:after="80" w:line="320"/>
      </w:pPr>
      <w:r>
        <w:rPr>
          <w:rFonts w:ascii="Calibri" w:cs="Calibri" w:eastAsia="Calibri" w:hAnsi="Calibri"/>
          <w:sz w:val="22"/>
          <w:szCs w:val="22"/>
        </w:rPr>
        <w:t xml:space="preserve">Adhesión a una mutual de seguridad (ACHS, Mutual de Seguridad o IST) para cotización por accidentes del trabajo, con base de 0,95% del bruto más adicional según riesgo (Ley 16.744).</w:t>
      </w:r>
    </w:p>
    <w:p>
      <w:pPr>
        <w:pStyle w:val="ListParagraph"/>
        <w:numPr>
          <w:ilvl w:val="0"/>
          <w:numId w:val="1"/>
        </w:numPr>
        <w:spacing w:after="80" w:line="320"/>
      </w:pPr>
      <w:r>
        <w:rPr>
          <w:rFonts w:ascii="Calibri" w:cs="Calibri" w:eastAsia="Calibri" w:hAnsi="Calibri"/>
          <w:sz w:val="22"/>
          <w:szCs w:val="22"/>
        </w:rPr>
        <w:t xml:space="preserve">Pago del Seguro de Invalidez y Sobrevivencia (SIS) por cuenta del empleador, equivalente al 1,85% del bruto.</w:t>
      </w:r>
    </w:p>
    <w:p>
      <w:pPr>
        <w:pStyle w:val="ListParagraph"/>
        <w:numPr>
          <w:ilvl w:val="0"/>
          <w:numId w:val="1"/>
        </w:numPr>
        <w:spacing w:after="80" w:line="320"/>
      </w:pPr>
      <w:r>
        <w:rPr>
          <w:rFonts w:ascii="Calibri" w:cs="Calibri" w:eastAsia="Calibri" w:hAnsi="Calibri"/>
          <w:sz w:val="22"/>
          <w:szCs w:val="22"/>
        </w:rPr>
        <w:t xml:space="preserve">Pago de gratificación legal (Art. 50 CT) equivalente al 25% de las remuneraciones con tope de 4,75 IMM por trabajador al año (CLP 2.425.521 anuales en 2025).</w:t>
      </w:r>
    </w:p>
    <w:p>
      <w:pPr>
        <w:pStyle w:val="ListParagraph"/>
        <w:numPr>
          <w:ilvl w:val="0"/>
          <w:numId w:val="1"/>
        </w:numPr>
        <w:spacing w:after="80" w:line="320"/>
      </w:pPr>
      <w:r>
        <w:rPr>
          <w:rFonts w:ascii="Calibri" w:cs="Calibri" w:eastAsia="Calibri" w:hAnsi="Calibri"/>
          <w:sz w:val="22"/>
          <w:szCs w:val="22"/>
        </w:rPr>
        <w:t xml:space="preserve">Provisión contable mensual de indemnización por años de servicio (Art. 163 CT): un mes de remuneración por año de antigüedad, con tope de 11 años, pagadero solo al término de la relación laboral si la causal lo amerita.</w:t>
      </w:r>
    </w:p>
    <w:p>
      <w:pPr>
        <w:pStyle w:val="ListParagraph"/>
        <w:numPr>
          <w:ilvl w:val="0"/>
          <w:numId w:val="1"/>
        </w:numPr>
        <w:spacing w:after="80" w:line="320"/>
      </w:pPr>
      <w:r>
        <w:rPr>
          <w:rFonts w:ascii="Calibri" w:cs="Calibri" w:eastAsia="Calibri" w:hAnsi="Calibri"/>
          <w:sz w:val="22"/>
          <w:szCs w:val="22"/>
        </w:rPr>
        <w:t xml:space="preserve">Provisión de vacaciones: 15 días hábiles por cada año trabajado.</w:t>
      </w:r>
    </w:p>
    <w:p>
      <w:pPr>
        <w:pStyle w:val="Heading2"/>
        <w:spacing w:after="160" w:before="320"/>
      </w:pPr>
      <w:r>
        <w:rPr>
          <w:rFonts w:ascii="Cambria" w:cs="Cambria" w:eastAsia="Cambria" w:hAnsi="Cambria"/>
          <w:b/>
          <w:bCs/>
          <w:color w:val="374151"/>
          <w:sz w:val="26"/>
          <w:szCs w:val="26"/>
        </w:rPr>
        <w:t xml:space="preserve">4.5 IVA</w:t>
      </w:r>
    </w:p>
    <w:p>
      <w:pPr>
        <w:spacing w:after="160" w:line="360"/>
        <w:jc w:val="both"/>
      </w:pPr>
      <w:r>
        <w:rPr>
          <w:rFonts w:ascii="Calibri" w:cs="Calibri" w:eastAsia="Calibri" w:hAnsi="Calibri"/>
          <w:sz w:val="22"/>
          <w:szCs w:val="22"/>
        </w:rPr>
        <w:t xml:space="preserve">El Impuesto al Valor Agregado (DL 825 de 1974) aplica con tasa del 19% sobre las ventas. En la metodología de evaluación de proyectos del curso EVP UAH, los flujos de caja se construyen en valores netos (sin IVA): el IVA débito generado por las ventas se compensa mensualmente con el IVA crédito generado por las compras, declarándose la diferencia neta a pagar mediante el Formulario 29 antes del día 12 del mes siguiente. El IVA debe modelarse en una plantilla complementaria; no impacta directamente el VAN del proyecto en condiciones normales de rotación.</w:t>
      </w:r>
    </w:p>
    <w:p>
      <w:r>
        <w:br w:type="page"/>
      </w:r>
    </w:p>
    <w:p>
      <w:pPr>
        <w:pStyle w:val="Heading1"/>
        <w:spacing w:after="240" w:before="480"/>
      </w:pPr>
      <w:r>
        <w:rPr>
          <w:rFonts w:ascii="Cambria" w:cs="Cambria" w:eastAsia="Cambria" w:hAnsi="Cambria"/>
          <w:b/>
          <w:bCs/>
          <w:color w:val="1F2937"/>
          <w:sz w:val="32"/>
          <w:szCs w:val="32"/>
        </w:rPr>
        <w:t xml:space="preserve">5. Análisis de localización: siete zonas candidatas en la RM</w:t>
      </w:r>
    </w:p>
    <w:p>
      <w:pPr>
        <w:pStyle w:val="Heading2"/>
        <w:spacing w:after="160" w:before="320"/>
      </w:pPr>
      <w:r>
        <w:rPr>
          <w:rFonts w:ascii="Cambria" w:cs="Cambria" w:eastAsia="Cambria" w:hAnsi="Cambria"/>
          <w:b/>
          <w:bCs/>
          <w:color w:val="374151"/>
          <w:sz w:val="26"/>
          <w:szCs w:val="26"/>
        </w:rPr>
        <w:t xml:space="preserve">5.1 Metodología de selección</w:t>
      </w:r>
    </w:p>
    <w:p>
      <w:pPr>
        <w:spacing w:after="160" w:line="360"/>
        <w:jc w:val="both"/>
      </w:pPr>
      <w:r>
        <w:rPr>
          <w:rFonts w:ascii="Calibri" w:cs="Calibri" w:eastAsia="Calibri" w:hAnsi="Calibri"/>
          <w:sz w:val="22"/>
          <w:szCs w:val="22"/>
        </w:rPr>
        <w:t xml:space="preserve">Se preseleccionaron siete zonas con alto potencial para el formato evaluado, considerando criterios de flujo peatonal, presencia de oficinas o universidades, accesibilidad de transporte público (Metro y paraderos RED), poder adquisitivo de la comuna y disponibilidad de locales comerciales en el rango de 30-35 m². Las fuentes consultadas para los datos de arriendo comercial son Mercado Libre Chile, Portalinmobiliario, Toctoc, GarantíaPlus y el reporte trimestral de retail de Colliers Chile (tercer trimestre 2025).</w:t>
      </w:r>
    </w:p>
    <w:p>
      <w:pPr>
        <w:pStyle w:val="Heading2"/>
        <w:spacing w:after="160" w:before="320"/>
      </w:pPr>
      <w:r>
        <w:rPr>
          <w:rFonts w:ascii="Cambria" w:cs="Cambria" w:eastAsia="Cambria" w:hAnsi="Cambria"/>
          <w:b/>
          <w:bCs/>
          <w:color w:val="374151"/>
          <w:sz w:val="26"/>
          <w:szCs w:val="26"/>
        </w:rPr>
        <w:t xml:space="preserve">5.2 Cuadro comparativo de las siete zonas</w:t>
      </w:r>
    </w:p>
    <w:tbl>
      <w:tblPr>
        <w:tblW w:type="pct" w:w="100%"/>
        <w:tblBorders>
          <w:top w:val="single" w:color="111827" w:sz="6"/>
          <w:left w:val="none" w:color="FFFFFF" w:sz="0"/>
          <w:bottom w:val="single" w:color="111827" w:sz="6"/>
          <w:right w:val="none" w:color="FFFFFF" w:sz="0"/>
          <w:insideH w:val="single" w:color="D1D5DB" w:sz="2"/>
          <w:insideV w:val="none" w:color="FFFFFF" w:sz="0"/>
        </w:tblBorders>
      </w:tblPr>
      <w:tblGrid>
        <w:gridCol w:w="100"/>
        <w:gridCol w:w="100"/>
        <w:gridCol w:w="100"/>
        <w:gridCol w:w="100"/>
        <w:gridCol w:w="100"/>
        <w:gridCol w:w="100"/>
      </w:tblGrid>
      <w:tr>
        <w:trPr>
          <w:tblHeader/>
        </w:trPr>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Zona</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Arriendo UF/m²</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Arriendo $/mes (35 m²)</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Ticket esp.</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Demanda base</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Driver principal</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El Golf · Las Condes</w:t>
            </w:r>
          </w:p>
        </w:tc>
        <w:tc>
          <w:tcPr>
            <w:tcMar>
              <w:top w:type="dxa" w:w="120"/>
              <w:left w:type="dxa" w:w="100"/>
              <w:bottom w:type="dxa" w:w="120"/>
              <w:right w:type="dxa" w:w="100"/>
            </w:tcMar>
          </w:tcPr>
          <w:p>
            <w:pPr>
              <w:jc w:val="left"/>
            </w:pPr>
            <w:r>
              <w:rPr>
                <w:rFonts w:ascii="Calibri" w:cs="Calibri" w:eastAsia="Calibri" w:hAnsi="Calibri"/>
                <w:sz w:val="18"/>
                <w:szCs w:val="18"/>
              </w:rPr>
              <w:t xml:space="preserve">0,95</w:t>
            </w:r>
          </w:p>
        </w:tc>
        <w:tc>
          <w:tcPr>
            <w:tcMar>
              <w:top w:type="dxa" w:w="120"/>
              <w:left w:type="dxa" w:w="100"/>
              <w:bottom w:type="dxa" w:w="120"/>
              <w:right w:type="dxa" w:w="100"/>
            </w:tcMar>
          </w:tcPr>
          <w:p>
            <w:pPr>
              <w:jc w:val="left"/>
            </w:pPr>
            <w:r>
              <w:rPr>
                <w:rFonts w:ascii="Calibri" w:cs="Calibri" w:eastAsia="Calibri" w:hAnsi="Calibri"/>
                <w:sz w:val="18"/>
                <w:szCs w:val="18"/>
              </w:rPr>
              <w:t xml:space="preserve">$1.313.000</w:t>
            </w:r>
          </w:p>
        </w:tc>
        <w:tc>
          <w:tcPr>
            <w:tcMar>
              <w:top w:type="dxa" w:w="120"/>
              <w:left w:type="dxa" w:w="100"/>
              <w:bottom w:type="dxa" w:w="120"/>
              <w:right w:type="dxa" w:w="100"/>
            </w:tcMar>
          </w:tcPr>
          <w:p>
            <w:pPr>
              <w:jc w:val="left"/>
            </w:pPr>
            <w:r>
              <w:rPr>
                <w:rFonts w:ascii="Calibri" w:cs="Calibri" w:eastAsia="Calibri" w:hAnsi="Calibri"/>
                <w:sz w:val="18"/>
                <w:szCs w:val="18"/>
              </w:rPr>
              <w:t xml:space="preserve">$4.500</w:t>
            </w:r>
          </w:p>
        </w:tc>
        <w:tc>
          <w:tcPr>
            <w:tcMar>
              <w:top w:type="dxa" w:w="120"/>
              <w:left w:type="dxa" w:w="100"/>
              <w:bottom w:type="dxa" w:w="120"/>
              <w:right w:type="dxa" w:w="100"/>
            </w:tcMar>
          </w:tcPr>
          <w:p>
            <w:pPr>
              <w:jc w:val="left"/>
            </w:pPr>
            <w:r>
              <w:rPr>
                <w:rFonts w:ascii="Calibri" w:cs="Calibri" w:eastAsia="Calibri" w:hAnsi="Calibri"/>
                <w:sz w:val="18"/>
                <w:szCs w:val="18"/>
              </w:rPr>
              <w:t xml:space="preserve">110 c/d</w:t>
            </w:r>
          </w:p>
        </w:tc>
        <w:tc>
          <w:tcPr>
            <w:tcMar>
              <w:top w:type="dxa" w:w="120"/>
              <w:left w:type="dxa" w:w="100"/>
              <w:bottom w:type="dxa" w:w="120"/>
              <w:right w:type="dxa" w:w="100"/>
            </w:tcMar>
          </w:tcPr>
          <w:p>
            <w:pPr>
              <w:jc w:val="left"/>
            </w:pPr>
            <w:r>
              <w:rPr>
                <w:rFonts w:ascii="Calibri" w:cs="Calibri" w:eastAsia="Calibri" w:hAnsi="Calibri"/>
                <w:sz w:val="18"/>
                <w:szCs w:val="18"/>
              </w:rPr>
              <w:t xml:space="preserve">Oficinas torre AAA</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Apoquindo / El Bosque</w:t>
            </w:r>
          </w:p>
        </w:tc>
        <w:tc>
          <w:tcPr>
            <w:tcMar>
              <w:top w:type="dxa" w:w="120"/>
              <w:left w:type="dxa" w:w="100"/>
              <w:bottom w:type="dxa" w:w="120"/>
              <w:right w:type="dxa" w:w="100"/>
            </w:tcMar>
          </w:tcPr>
          <w:p>
            <w:pPr>
              <w:jc w:val="left"/>
            </w:pPr>
            <w:r>
              <w:rPr>
                <w:rFonts w:ascii="Calibri" w:cs="Calibri" w:eastAsia="Calibri" w:hAnsi="Calibri"/>
                <w:sz w:val="18"/>
                <w:szCs w:val="18"/>
              </w:rPr>
              <w:t xml:space="preserve">0,75</w:t>
            </w:r>
          </w:p>
        </w:tc>
        <w:tc>
          <w:tcPr>
            <w:tcMar>
              <w:top w:type="dxa" w:w="120"/>
              <w:left w:type="dxa" w:w="100"/>
              <w:bottom w:type="dxa" w:w="120"/>
              <w:right w:type="dxa" w:w="100"/>
            </w:tcMar>
          </w:tcPr>
          <w:p>
            <w:pPr>
              <w:jc w:val="left"/>
            </w:pPr>
            <w:r>
              <w:rPr>
                <w:rFonts w:ascii="Calibri" w:cs="Calibri" w:eastAsia="Calibri" w:hAnsi="Calibri"/>
                <w:sz w:val="18"/>
                <w:szCs w:val="18"/>
              </w:rPr>
              <w:t xml:space="preserve">$1.038.000</w:t>
            </w:r>
          </w:p>
        </w:tc>
        <w:tc>
          <w:tcPr>
            <w:tcMar>
              <w:top w:type="dxa" w:w="120"/>
              <w:left w:type="dxa" w:w="100"/>
              <w:bottom w:type="dxa" w:w="120"/>
              <w:right w:type="dxa" w:w="100"/>
            </w:tcMar>
          </w:tcPr>
          <w:p>
            <w:pPr>
              <w:jc w:val="left"/>
            </w:pPr>
            <w:r>
              <w:rPr>
                <w:rFonts w:ascii="Calibri" w:cs="Calibri" w:eastAsia="Calibri" w:hAnsi="Calibri"/>
                <w:sz w:val="18"/>
                <w:szCs w:val="18"/>
              </w:rPr>
              <w:t xml:space="preserve">$3.800</w:t>
            </w:r>
          </w:p>
        </w:tc>
        <w:tc>
          <w:tcPr>
            <w:tcMar>
              <w:top w:type="dxa" w:w="120"/>
              <w:left w:type="dxa" w:w="100"/>
              <w:bottom w:type="dxa" w:w="120"/>
              <w:right w:type="dxa" w:w="100"/>
            </w:tcMar>
          </w:tcPr>
          <w:p>
            <w:pPr>
              <w:jc w:val="left"/>
            </w:pPr>
            <w:r>
              <w:rPr>
                <w:rFonts w:ascii="Calibri" w:cs="Calibri" w:eastAsia="Calibri" w:hAnsi="Calibri"/>
                <w:sz w:val="18"/>
                <w:szCs w:val="18"/>
              </w:rPr>
              <w:t xml:space="preserve">95 c/d</w:t>
            </w:r>
          </w:p>
        </w:tc>
        <w:tc>
          <w:tcPr>
            <w:tcMar>
              <w:top w:type="dxa" w:w="120"/>
              <w:left w:type="dxa" w:w="100"/>
              <w:bottom w:type="dxa" w:w="120"/>
              <w:right w:type="dxa" w:w="100"/>
            </w:tcMar>
          </w:tcPr>
          <w:p>
            <w:pPr>
              <w:jc w:val="left"/>
            </w:pPr>
            <w:r>
              <w:rPr>
                <w:rFonts w:ascii="Calibri" w:cs="Calibri" w:eastAsia="Calibri" w:hAnsi="Calibri"/>
                <w:sz w:val="18"/>
                <w:szCs w:val="18"/>
              </w:rPr>
              <w:t xml:space="preserve">Mix oficina + retail</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Vitacura · A. de Córdova</w:t>
            </w:r>
          </w:p>
        </w:tc>
        <w:tc>
          <w:tcPr>
            <w:tcMar>
              <w:top w:type="dxa" w:w="120"/>
              <w:left w:type="dxa" w:w="100"/>
              <w:bottom w:type="dxa" w:w="120"/>
              <w:right w:type="dxa" w:w="100"/>
            </w:tcMar>
          </w:tcPr>
          <w:p>
            <w:pPr>
              <w:jc w:val="left"/>
            </w:pPr>
            <w:r>
              <w:rPr>
                <w:rFonts w:ascii="Calibri" w:cs="Calibri" w:eastAsia="Calibri" w:hAnsi="Calibri"/>
                <w:sz w:val="18"/>
                <w:szCs w:val="18"/>
              </w:rPr>
              <w:t xml:space="preserve">0,80</w:t>
            </w:r>
          </w:p>
        </w:tc>
        <w:tc>
          <w:tcPr>
            <w:tcMar>
              <w:top w:type="dxa" w:w="120"/>
              <w:left w:type="dxa" w:w="100"/>
              <w:bottom w:type="dxa" w:w="120"/>
              <w:right w:type="dxa" w:w="100"/>
            </w:tcMar>
          </w:tcPr>
          <w:p>
            <w:pPr>
              <w:jc w:val="left"/>
            </w:pPr>
            <w:r>
              <w:rPr>
                <w:rFonts w:ascii="Calibri" w:cs="Calibri" w:eastAsia="Calibri" w:hAnsi="Calibri"/>
                <w:sz w:val="18"/>
                <w:szCs w:val="18"/>
              </w:rPr>
              <w:t xml:space="preserve">$1.106.000</w:t>
            </w:r>
          </w:p>
        </w:tc>
        <w:tc>
          <w:tcPr>
            <w:tcMar>
              <w:top w:type="dxa" w:w="120"/>
              <w:left w:type="dxa" w:w="100"/>
              <w:bottom w:type="dxa" w:w="120"/>
              <w:right w:type="dxa" w:w="100"/>
            </w:tcMar>
          </w:tcPr>
          <w:p>
            <w:pPr>
              <w:jc w:val="left"/>
            </w:pPr>
            <w:r>
              <w:rPr>
                <w:rFonts w:ascii="Calibri" w:cs="Calibri" w:eastAsia="Calibri" w:hAnsi="Calibri"/>
                <w:sz w:val="18"/>
                <w:szCs w:val="18"/>
              </w:rPr>
              <w:t xml:space="preserve">$4.200</w:t>
            </w:r>
          </w:p>
        </w:tc>
        <w:tc>
          <w:tcPr>
            <w:tcMar>
              <w:top w:type="dxa" w:w="120"/>
              <w:left w:type="dxa" w:w="100"/>
              <w:bottom w:type="dxa" w:w="120"/>
              <w:right w:type="dxa" w:w="100"/>
            </w:tcMar>
          </w:tcPr>
          <w:p>
            <w:pPr>
              <w:jc w:val="left"/>
            </w:pPr>
            <w:r>
              <w:rPr>
                <w:rFonts w:ascii="Calibri" w:cs="Calibri" w:eastAsia="Calibri" w:hAnsi="Calibri"/>
                <w:sz w:val="18"/>
                <w:szCs w:val="18"/>
              </w:rPr>
              <w:t xml:space="preserve">75 c/d</w:t>
            </w:r>
          </w:p>
        </w:tc>
        <w:tc>
          <w:tcPr>
            <w:tcMar>
              <w:top w:type="dxa" w:w="120"/>
              <w:left w:type="dxa" w:w="100"/>
              <w:bottom w:type="dxa" w:w="120"/>
              <w:right w:type="dxa" w:w="100"/>
            </w:tcMar>
          </w:tcPr>
          <w:p>
            <w:pPr>
              <w:jc w:val="left"/>
            </w:pPr>
            <w:r>
              <w:rPr>
                <w:rFonts w:ascii="Calibri" w:cs="Calibri" w:eastAsia="Calibri" w:hAnsi="Calibri"/>
                <w:sz w:val="18"/>
                <w:szCs w:val="18"/>
              </w:rPr>
              <w:t xml:space="preserve">Mall + corporativo</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Providencia · P. Valdivia</w:t>
            </w:r>
          </w:p>
        </w:tc>
        <w:tc>
          <w:tcPr>
            <w:tcMar>
              <w:top w:type="dxa" w:w="120"/>
              <w:left w:type="dxa" w:w="100"/>
              <w:bottom w:type="dxa" w:w="120"/>
              <w:right w:type="dxa" w:w="100"/>
            </w:tcMar>
          </w:tcPr>
          <w:p>
            <w:pPr>
              <w:jc w:val="left"/>
            </w:pPr>
            <w:r>
              <w:rPr>
                <w:rFonts w:ascii="Calibri" w:cs="Calibri" w:eastAsia="Calibri" w:hAnsi="Calibri"/>
                <w:sz w:val="18"/>
                <w:szCs w:val="18"/>
              </w:rPr>
              <w:t xml:space="preserve">0,65</w:t>
            </w:r>
          </w:p>
        </w:tc>
        <w:tc>
          <w:tcPr>
            <w:tcMar>
              <w:top w:type="dxa" w:w="120"/>
              <w:left w:type="dxa" w:w="100"/>
              <w:bottom w:type="dxa" w:w="120"/>
              <w:right w:type="dxa" w:w="100"/>
            </w:tcMar>
          </w:tcPr>
          <w:p>
            <w:pPr>
              <w:jc w:val="left"/>
            </w:pPr>
            <w:r>
              <w:rPr>
                <w:rFonts w:ascii="Calibri" w:cs="Calibri" w:eastAsia="Calibri" w:hAnsi="Calibri"/>
                <w:sz w:val="18"/>
                <w:szCs w:val="18"/>
              </w:rPr>
              <w:t xml:space="preserve">$899.000</w:t>
            </w:r>
          </w:p>
        </w:tc>
        <w:tc>
          <w:tcPr>
            <w:tcMar>
              <w:top w:type="dxa" w:w="120"/>
              <w:left w:type="dxa" w:w="100"/>
              <w:bottom w:type="dxa" w:w="120"/>
              <w:right w:type="dxa" w:w="100"/>
            </w:tcMar>
          </w:tcPr>
          <w:p>
            <w:pPr>
              <w:jc w:val="left"/>
            </w:pPr>
            <w:r>
              <w:rPr>
                <w:rFonts w:ascii="Calibri" w:cs="Calibri" w:eastAsia="Calibri" w:hAnsi="Calibri"/>
                <w:sz w:val="18"/>
                <w:szCs w:val="18"/>
              </w:rPr>
              <w:t xml:space="preserve">$3.700</w:t>
            </w:r>
          </w:p>
        </w:tc>
        <w:tc>
          <w:tcPr>
            <w:tcMar>
              <w:top w:type="dxa" w:w="120"/>
              <w:left w:type="dxa" w:w="100"/>
              <w:bottom w:type="dxa" w:w="120"/>
              <w:right w:type="dxa" w:w="100"/>
            </w:tcMar>
          </w:tcPr>
          <w:p>
            <w:pPr>
              <w:jc w:val="left"/>
            </w:pPr>
            <w:r>
              <w:rPr>
                <w:rFonts w:ascii="Calibri" w:cs="Calibri" w:eastAsia="Calibri" w:hAnsi="Calibri"/>
                <w:sz w:val="18"/>
                <w:szCs w:val="18"/>
              </w:rPr>
              <w:t xml:space="preserve">105 c/d</w:t>
            </w:r>
          </w:p>
        </w:tc>
        <w:tc>
          <w:tcPr>
            <w:tcMar>
              <w:top w:type="dxa" w:w="120"/>
              <w:left w:type="dxa" w:w="100"/>
              <w:bottom w:type="dxa" w:w="120"/>
              <w:right w:type="dxa" w:w="100"/>
            </w:tcMar>
          </w:tcPr>
          <w:p>
            <w:pPr>
              <w:jc w:val="left"/>
            </w:pPr>
            <w:r>
              <w:rPr>
                <w:rFonts w:ascii="Calibri" w:cs="Calibri" w:eastAsia="Calibri" w:hAnsi="Calibri"/>
                <w:sz w:val="18"/>
                <w:szCs w:val="18"/>
              </w:rPr>
              <w:t xml:space="preserve">Mix oficinas + residencial</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Ñuñoa · Plaza Ñuñoa</w:t>
            </w:r>
          </w:p>
        </w:tc>
        <w:tc>
          <w:tcPr>
            <w:tcMar>
              <w:top w:type="dxa" w:w="120"/>
              <w:left w:type="dxa" w:w="100"/>
              <w:bottom w:type="dxa" w:w="120"/>
              <w:right w:type="dxa" w:w="100"/>
            </w:tcMar>
          </w:tcPr>
          <w:p>
            <w:pPr>
              <w:jc w:val="left"/>
            </w:pPr>
            <w:r>
              <w:rPr>
                <w:rFonts w:ascii="Calibri" w:cs="Calibri" w:eastAsia="Calibri" w:hAnsi="Calibri"/>
                <w:sz w:val="18"/>
                <w:szCs w:val="18"/>
              </w:rPr>
              <w:t xml:space="preserve">0,48</w:t>
            </w:r>
          </w:p>
        </w:tc>
        <w:tc>
          <w:tcPr>
            <w:tcMar>
              <w:top w:type="dxa" w:w="120"/>
              <w:left w:type="dxa" w:w="100"/>
              <w:bottom w:type="dxa" w:w="120"/>
              <w:right w:type="dxa" w:w="100"/>
            </w:tcMar>
          </w:tcPr>
          <w:p>
            <w:pPr>
              <w:jc w:val="left"/>
            </w:pPr>
            <w:r>
              <w:rPr>
                <w:rFonts w:ascii="Calibri" w:cs="Calibri" w:eastAsia="Calibri" w:hAnsi="Calibri"/>
                <w:sz w:val="18"/>
                <w:szCs w:val="18"/>
              </w:rPr>
              <w:t xml:space="preserve">$663.000</w:t>
            </w:r>
          </w:p>
        </w:tc>
        <w:tc>
          <w:tcPr>
            <w:tcMar>
              <w:top w:type="dxa" w:w="120"/>
              <w:left w:type="dxa" w:w="100"/>
              <w:bottom w:type="dxa" w:w="120"/>
              <w:right w:type="dxa" w:w="100"/>
            </w:tcMar>
          </w:tcPr>
          <w:p>
            <w:pPr>
              <w:jc w:val="left"/>
            </w:pPr>
            <w:r>
              <w:rPr>
                <w:rFonts w:ascii="Calibri" w:cs="Calibri" w:eastAsia="Calibri" w:hAnsi="Calibri"/>
                <w:sz w:val="18"/>
                <w:szCs w:val="18"/>
              </w:rPr>
              <w:t xml:space="preserve">$3.300</w:t>
            </w:r>
          </w:p>
        </w:tc>
        <w:tc>
          <w:tcPr>
            <w:tcMar>
              <w:top w:type="dxa" w:w="120"/>
              <w:left w:type="dxa" w:w="100"/>
              <w:bottom w:type="dxa" w:w="120"/>
              <w:right w:type="dxa" w:w="100"/>
            </w:tcMar>
          </w:tcPr>
          <w:p>
            <w:pPr>
              <w:jc w:val="left"/>
            </w:pPr>
            <w:r>
              <w:rPr>
                <w:rFonts w:ascii="Calibri" w:cs="Calibri" w:eastAsia="Calibri" w:hAnsi="Calibri"/>
                <w:sz w:val="18"/>
                <w:szCs w:val="18"/>
              </w:rPr>
              <w:t xml:space="preserve">90 c/d</w:t>
            </w:r>
          </w:p>
        </w:tc>
        <w:tc>
          <w:tcPr>
            <w:tcMar>
              <w:top w:type="dxa" w:w="120"/>
              <w:left w:type="dxa" w:w="100"/>
              <w:bottom w:type="dxa" w:w="120"/>
              <w:right w:type="dxa" w:w="100"/>
            </w:tcMar>
          </w:tcPr>
          <w:p>
            <w:pPr>
              <w:jc w:val="left"/>
            </w:pPr>
            <w:r>
              <w:rPr>
                <w:rFonts w:ascii="Calibri" w:cs="Calibri" w:eastAsia="Calibri" w:hAnsi="Calibri"/>
                <w:sz w:val="18"/>
                <w:szCs w:val="18"/>
              </w:rPr>
              <w:t xml:space="preserve">Universitario + residencial</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Santiago Centro · Ahumada</w:t>
            </w:r>
          </w:p>
        </w:tc>
        <w:tc>
          <w:tcPr>
            <w:tcMar>
              <w:top w:type="dxa" w:w="120"/>
              <w:left w:type="dxa" w:w="100"/>
              <w:bottom w:type="dxa" w:w="120"/>
              <w:right w:type="dxa" w:w="100"/>
            </w:tcMar>
          </w:tcPr>
          <w:p>
            <w:pPr>
              <w:jc w:val="left"/>
            </w:pPr>
            <w:r>
              <w:rPr>
                <w:rFonts w:ascii="Calibri" w:cs="Calibri" w:eastAsia="Calibri" w:hAnsi="Calibri"/>
                <w:sz w:val="18"/>
                <w:szCs w:val="18"/>
              </w:rPr>
              <w:t xml:space="preserve">0,55</w:t>
            </w:r>
          </w:p>
        </w:tc>
        <w:tc>
          <w:tcPr>
            <w:tcMar>
              <w:top w:type="dxa" w:w="120"/>
              <w:left w:type="dxa" w:w="100"/>
              <w:bottom w:type="dxa" w:w="120"/>
              <w:right w:type="dxa" w:w="100"/>
            </w:tcMar>
          </w:tcPr>
          <w:p>
            <w:pPr>
              <w:jc w:val="left"/>
            </w:pPr>
            <w:r>
              <w:rPr>
                <w:rFonts w:ascii="Calibri" w:cs="Calibri" w:eastAsia="Calibri" w:hAnsi="Calibri"/>
                <w:sz w:val="18"/>
                <w:szCs w:val="18"/>
              </w:rPr>
              <w:t xml:space="preserve">$651.000</w:t>
            </w:r>
          </w:p>
        </w:tc>
        <w:tc>
          <w:tcPr>
            <w:tcMar>
              <w:top w:type="dxa" w:w="120"/>
              <w:left w:type="dxa" w:w="100"/>
              <w:bottom w:type="dxa" w:w="120"/>
              <w:right w:type="dxa" w:w="100"/>
            </w:tcMar>
          </w:tcPr>
          <w:p>
            <w:pPr>
              <w:jc w:val="left"/>
            </w:pPr>
            <w:r>
              <w:rPr>
                <w:rFonts w:ascii="Calibri" w:cs="Calibri" w:eastAsia="Calibri" w:hAnsi="Calibri"/>
                <w:sz w:val="18"/>
                <w:szCs w:val="18"/>
              </w:rPr>
              <w:t xml:space="preserve">$2.900</w:t>
            </w:r>
          </w:p>
        </w:tc>
        <w:tc>
          <w:tcPr>
            <w:tcMar>
              <w:top w:type="dxa" w:w="120"/>
              <w:left w:type="dxa" w:w="100"/>
              <w:bottom w:type="dxa" w:w="120"/>
              <w:right w:type="dxa" w:w="100"/>
            </w:tcMar>
          </w:tcPr>
          <w:p>
            <w:pPr>
              <w:jc w:val="left"/>
            </w:pPr>
            <w:r>
              <w:rPr>
                <w:rFonts w:ascii="Calibri" w:cs="Calibri" w:eastAsia="Calibri" w:hAnsi="Calibri"/>
                <w:sz w:val="18"/>
                <w:szCs w:val="18"/>
              </w:rPr>
              <w:t xml:space="preserve">145 c/d</w:t>
            </w:r>
          </w:p>
        </w:tc>
        <w:tc>
          <w:tcPr>
            <w:tcMar>
              <w:top w:type="dxa" w:w="120"/>
              <w:left w:type="dxa" w:w="100"/>
              <w:bottom w:type="dxa" w:w="120"/>
              <w:right w:type="dxa" w:w="100"/>
            </w:tcMar>
          </w:tcPr>
          <w:p>
            <w:pPr>
              <w:jc w:val="left"/>
            </w:pPr>
            <w:r>
              <w:rPr>
                <w:rFonts w:ascii="Calibri" w:cs="Calibri" w:eastAsia="Calibri" w:hAnsi="Calibri"/>
                <w:sz w:val="18"/>
                <w:szCs w:val="18"/>
              </w:rPr>
              <w:t xml:space="preserve">Flujo peatonal masivo</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Estación Central · USACH</w:t>
            </w:r>
          </w:p>
        </w:tc>
        <w:tc>
          <w:tcPr>
            <w:tcMar>
              <w:top w:type="dxa" w:w="120"/>
              <w:left w:type="dxa" w:w="100"/>
              <w:bottom w:type="dxa" w:w="120"/>
              <w:right w:type="dxa" w:w="100"/>
            </w:tcMar>
          </w:tcPr>
          <w:p>
            <w:pPr>
              <w:jc w:val="left"/>
            </w:pPr>
            <w:r>
              <w:rPr>
                <w:rFonts w:ascii="Calibri" w:cs="Calibri" w:eastAsia="Calibri" w:hAnsi="Calibri"/>
                <w:sz w:val="18"/>
                <w:szCs w:val="18"/>
              </w:rPr>
              <w:t xml:space="preserve">0,38</w:t>
            </w:r>
          </w:p>
        </w:tc>
        <w:tc>
          <w:tcPr>
            <w:tcMar>
              <w:top w:type="dxa" w:w="120"/>
              <w:left w:type="dxa" w:w="100"/>
              <w:bottom w:type="dxa" w:w="120"/>
              <w:right w:type="dxa" w:w="100"/>
            </w:tcMar>
          </w:tcPr>
          <w:p>
            <w:pPr>
              <w:jc w:val="left"/>
            </w:pPr>
            <w:r>
              <w:rPr>
                <w:rFonts w:ascii="Calibri" w:cs="Calibri" w:eastAsia="Calibri" w:hAnsi="Calibri"/>
                <w:sz w:val="18"/>
                <w:szCs w:val="18"/>
              </w:rPr>
              <w:t xml:space="preserve">$525.000</w:t>
            </w:r>
          </w:p>
        </w:tc>
        <w:tc>
          <w:tcPr>
            <w:tcMar>
              <w:top w:type="dxa" w:w="120"/>
              <w:left w:type="dxa" w:w="100"/>
              <w:bottom w:type="dxa" w:w="120"/>
              <w:right w:type="dxa" w:w="100"/>
            </w:tcMar>
          </w:tcPr>
          <w:p>
            <w:pPr>
              <w:jc w:val="left"/>
            </w:pPr>
            <w:r>
              <w:rPr>
                <w:rFonts w:ascii="Calibri" w:cs="Calibri" w:eastAsia="Calibri" w:hAnsi="Calibri"/>
                <w:sz w:val="18"/>
                <w:szCs w:val="18"/>
              </w:rPr>
              <w:t xml:space="preserve">$2.700</w:t>
            </w:r>
          </w:p>
        </w:tc>
        <w:tc>
          <w:tcPr>
            <w:tcMar>
              <w:top w:type="dxa" w:w="120"/>
              <w:left w:type="dxa" w:w="100"/>
              <w:bottom w:type="dxa" w:w="120"/>
              <w:right w:type="dxa" w:w="100"/>
            </w:tcMar>
          </w:tcPr>
          <w:p>
            <w:pPr>
              <w:jc w:val="left"/>
            </w:pPr>
            <w:r>
              <w:rPr>
                <w:rFonts w:ascii="Calibri" w:cs="Calibri" w:eastAsia="Calibri" w:hAnsi="Calibri"/>
                <w:sz w:val="18"/>
                <w:szCs w:val="18"/>
              </w:rPr>
              <w:t xml:space="preserve">130 c/d</w:t>
            </w:r>
          </w:p>
        </w:tc>
        <w:tc>
          <w:tcPr>
            <w:tcMar>
              <w:top w:type="dxa" w:w="120"/>
              <w:left w:type="dxa" w:w="100"/>
              <w:bottom w:type="dxa" w:w="120"/>
              <w:right w:type="dxa" w:w="100"/>
            </w:tcMar>
          </w:tcPr>
          <w:p>
            <w:pPr>
              <w:jc w:val="left"/>
            </w:pPr>
            <w:r>
              <w:rPr>
                <w:rFonts w:ascii="Calibri" w:cs="Calibri" w:eastAsia="Calibri" w:hAnsi="Calibri"/>
                <w:sz w:val="18"/>
                <w:szCs w:val="18"/>
              </w:rPr>
              <w:t xml:space="preserve">Estudiantes + intermodal</w:t>
            </w:r>
          </w:p>
        </w:tc>
      </w:tr>
    </w:tbl>
    <w:p>
      <w:pPr>
        <w:spacing w:after="240" w:before="60"/>
        <w:jc w:val="center"/>
      </w:pPr>
      <w:r>
        <w:rPr>
          <w:rFonts w:ascii="Calibri" w:cs="Calibri" w:eastAsia="Calibri" w:hAnsi="Calibri"/>
          <w:i/>
          <w:iCs/>
          <w:color w:val="6B7280"/>
          <w:sz w:val="18"/>
          <w:szCs w:val="18"/>
        </w:rPr>
        <w:t xml:space="preserve">Tabla 5.1 — Cuadro comparativo de localizaciones candidatas. Elaboración propia con datos de Mercado Libre, Portalinmobiliario, Toctoc, Colliers Chile (Q3 2025).</w:t>
      </w:r>
    </w:p>
    <w:p>
      <w:pPr>
        <w:pStyle w:val="Heading2"/>
        <w:spacing w:after="160" w:before="320"/>
      </w:pPr>
      <w:r>
        <w:rPr>
          <w:rFonts w:ascii="Cambria" w:cs="Cambria" w:eastAsia="Cambria" w:hAnsi="Cambria"/>
          <w:b/>
          <w:bCs/>
          <w:color w:val="374151"/>
          <w:sz w:val="26"/>
          <w:szCs w:val="26"/>
        </w:rPr>
        <w:t xml:space="preserve">5.3 Análisis individual</w:t>
      </w:r>
    </w:p>
    <w:p>
      <w:pPr>
        <w:pStyle w:val="Heading3"/>
        <w:spacing w:after="100" w:before="200"/>
      </w:pPr>
      <w:r>
        <w:rPr>
          <w:rFonts w:ascii="Cambria" w:cs="Cambria" w:eastAsia="Cambria" w:hAnsi="Cambria"/>
          <w:b/>
          <w:bCs/>
          <w:color w:val="4B5563"/>
          <w:sz w:val="22"/>
          <w:szCs w:val="22"/>
        </w:rPr>
        <w:t xml:space="preserve">El Golf · Las Condes (financiero)</w:t>
      </w:r>
    </w:p>
    <w:p>
      <w:pPr>
        <w:spacing w:after="160" w:line="360"/>
        <w:jc w:val="both"/>
      </w:pPr>
      <w:r>
        <w:rPr>
          <w:rFonts w:ascii="Calibri" w:cs="Calibri" w:eastAsia="Calibri" w:hAnsi="Calibri"/>
          <w:sz w:val="22"/>
          <w:szCs w:val="22"/>
        </w:rPr>
        <w:t xml:space="preserve">Sector emblemático del distrito financiero de Las Condes. Concentra alrededor de 240.000 m² de oficinas clase A y A+ (Colliers, 2024). Población residente de 333.000 habitantes en la comuna con ingreso medio del hogar más alto del país (CLP 3.650.000 según CASEN 2022). Acceso directo a la estación de Metro El Golf de la Línea 1 (8,2 millones de pasajeros anuales según Memoria Metro 2023). Ticket esperado alto (CLP 4.500) por concentración de ejecutivos. La principal limitación es la concentración de demanda en horario laboral lunes a viernes; los fines de semana el flujo cae significativamente.</w:t>
      </w:r>
    </w:p>
    <w:p>
      <w:pPr>
        <w:pStyle w:val="Heading3"/>
        <w:spacing w:after="100" w:before="200"/>
      </w:pPr>
      <w:r>
        <w:rPr>
          <w:rFonts w:ascii="Cambria" w:cs="Cambria" w:eastAsia="Cambria" w:hAnsi="Cambria"/>
          <w:b/>
          <w:bCs/>
          <w:color w:val="4B5563"/>
          <w:sz w:val="22"/>
          <w:szCs w:val="22"/>
        </w:rPr>
        <w:t xml:space="preserve">Apoquindo / El Bosque · Las Condes</w:t>
      </w:r>
    </w:p>
    <w:p>
      <w:pPr>
        <w:spacing w:after="160" w:line="360"/>
        <w:jc w:val="both"/>
      </w:pPr>
      <w:r>
        <w:rPr>
          <w:rFonts w:ascii="Calibri" w:cs="Calibri" w:eastAsia="Calibri" w:hAnsi="Calibri"/>
          <w:sz w:val="22"/>
          <w:szCs w:val="22"/>
        </w:rPr>
        <w:t xml:space="preserve">Corredor comercial extendido entre las estaciones El Golf y Tobalaba de la Línea 1. La estación Tobalaba registra 22,4 millones de pasajeros anuales (la segunda mayor de la red Metro). Mayor diversidad de uso del suelo que El Golf (combina oficinas, retail, residencial alto, restaurantes), lo que genera flujo más distribuido a lo largo del día y semana. Densidad de competencia alta (78 cafeterías por km²), incluyendo todas las cadenas internacionales y operadores especializados (Café Capital, Café Altura, Tavelli).</w:t>
      </w:r>
    </w:p>
    <w:p>
      <w:pPr>
        <w:pStyle w:val="Heading3"/>
        <w:spacing w:after="100" w:before="200"/>
      </w:pPr>
      <w:r>
        <w:rPr>
          <w:rFonts w:ascii="Cambria" w:cs="Cambria" w:eastAsia="Cambria" w:hAnsi="Cambria"/>
          <w:b/>
          <w:bCs/>
          <w:color w:val="4B5563"/>
          <w:sz w:val="22"/>
          <w:szCs w:val="22"/>
        </w:rPr>
        <w:t xml:space="preserve">Vitacura · Alonso de Córdova</w:t>
      </w:r>
    </w:p>
    <w:p>
      <w:pPr>
        <w:spacing w:after="160" w:line="360"/>
        <w:jc w:val="both"/>
      </w:pPr>
      <w:r>
        <w:rPr>
          <w:rFonts w:ascii="Calibri" w:cs="Calibri" w:eastAsia="Calibri" w:hAnsi="Calibri"/>
          <w:sz w:val="22"/>
          <w:szCs w:val="22"/>
        </w:rPr>
        <w:t xml:space="preserve">Zona de alto poder adquisitivo (CASEN 2022 reporta el ingreso medio más alto de RM, CLP 4.520.000) con presencia del Mall Parque Arauco como ancla principal. Sin embargo, la dependencia del mall genera estacionalidad importante: el flujo peatonal en días laborales fuera del mall es bajo. La distancia a Metro es significativa (aproximadamente 850 metros a la estación Manquehue), reduciendo el flujo de tránsito de transporte público.</w:t>
      </w:r>
    </w:p>
    <w:p>
      <w:pPr>
        <w:pStyle w:val="Heading3"/>
        <w:spacing w:after="100" w:before="200"/>
      </w:pPr>
      <w:r>
        <w:rPr>
          <w:rFonts w:ascii="Cambria" w:cs="Cambria" w:eastAsia="Cambria" w:hAnsi="Cambria"/>
          <w:b/>
          <w:bCs/>
          <w:color w:val="4B5563"/>
          <w:sz w:val="22"/>
          <w:szCs w:val="22"/>
        </w:rPr>
        <w:t xml:space="preserve">Providencia · Pedro de Valdivia</w:t>
      </w:r>
    </w:p>
    <w:p>
      <w:pPr>
        <w:spacing w:after="160" w:line="360"/>
        <w:jc w:val="both"/>
      </w:pPr>
      <w:r>
        <w:rPr>
          <w:rFonts w:ascii="Calibri" w:cs="Calibri" w:eastAsia="Calibri" w:hAnsi="Calibri"/>
          <w:sz w:val="22"/>
          <w:szCs w:val="22"/>
        </w:rPr>
        <w:t xml:space="preserve">Eje comercial activo con una mezcla equilibrada de oficinas, retail, gastronomía y residencial alto. La estación Pedro de Valdivia de la Línea 1 mueve 9,5 millones de pasajeros anuales. Densidad de competencia muy alta (92 cafeterías por km²), una de las más altas de Santiago. Ticket esperado moderado (CLP 3.700). La principal ventaja es el flujo peatonal sostenido durante todo el día y la semana.</w:t>
      </w:r>
    </w:p>
    <w:p>
      <w:pPr>
        <w:pStyle w:val="Heading3"/>
        <w:spacing w:after="100" w:before="200"/>
      </w:pPr>
      <w:r>
        <w:rPr>
          <w:rFonts w:ascii="Cambria" w:cs="Cambria" w:eastAsia="Cambria" w:hAnsi="Cambria"/>
          <w:b/>
          <w:bCs/>
          <w:color w:val="4B5563"/>
          <w:sz w:val="22"/>
          <w:szCs w:val="22"/>
        </w:rPr>
        <w:t xml:space="preserve">Ñuñoa · Plaza Ñuñoa</w:t>
      </w:r>
    </w:p>
    <w:p>
      <w:pPr>
        <w:spacing w:after="160" w:line="360"/>
        <w:jc w:val="both"/>
      </w:pPr>
      <w:r>
        <w:rPr>
          <w:rFonts w:ascii="Calibri" w:cs="Calibri" w:eastAsia="Calibri" w:hAnsi="Calibri"/>
          <w:sz w:val="22"/>
          <w:szCs w:val="22"/>
        </w:rPr>
        <w:t xml:space="preserve">Zona en proceso acelerado de gentrificación durante los últimos 8 años. Combinación de público universitario (Universidad Metropolitana de Ciencias de la Educación, Universidad Católica campus San Joaquín) con residencial de alto poder adquisitivo. Plaza Ñuñoa es polo gastronómico nocturno y de fin de semana. Arriendo significativamente más bajo (CLP 663.000/mes para 35 m²). Crecimiento de demanda esperado superior al promedio (proyección 6% anual vs. 5% del benchmark RM).</w:t>
      </w:r>
    </w:p>
    <w:p>
      <w:pPr>
        <w:pStyle w:val="Heading3"/>
        <w:spacing w:after="100" w:before="200"/>
      </w:pPr>
      <w:r>
        <w:rPr>
          <w:rFonts w:ascii="Cambria" w:cs="Cambria" w:eastAsia="Cambria" w:hAnsi="Cambria"/>
          <w:b/>
          <w:bCs/>
          <w:color w:val="4B5563"/>
          <w:sz w:val="22"/>
          <w:szCs w:val="22"/>
        </w:rPr>
        <w:t xml:space="preserve">Santiago Centro · Ahumada</w:t>
      </w:r>
    </w:p>
    <w:p>
      <w:pPr>
        <w:spacing w:after="160" w:line="360"/>
        <w:jc w:val="both"/>
      </w:pPr>
      <w:r>
        <w:rPr>
          <w:rFonts w:ascii="Calibri" w:cs="Calibri" w:eastAsia="Calibri" w:hAnsi="Calibri"/>
          <w:sz w:val="22"/>
          <w:szCs w:val="22"/>
        </w:rPr>
        <w:t xml:space="preserve">Concentra el mayor flujo peatonal de Santiago, estimado en 95.000 personas-día por Achiga 2024 en el Paseo Ahumada. Combina público laboral (oficinas estatales, bancos, comercio), turistas y población en tránsito. Ticket promedio bajo (CLP 2.900) compensado por volumen alto. Densidad de competencia muy alta (145 cafeterías por km²). Riesgos específicos: tasa de criminalidad mayor que comunas oriente, deterioro del entorno urbano post-2019.</w:t>
      </w:r>
    </w:p>
    <w:p>
      <w:pPr>
        <w:pStyle w:val="Heading3"/>
        <w:spacing w:after="100" w:before="200"/>
      </w:pPr>
      <w:r>
        <w:rPr>
          <w:rFonts w:ascii="Cambria" w:cs="Cambria" w:eastAsia="Cambria" w:hAnsi="Cambria"/>
          <w:b/>
          <w:bCs/>
          <w:color w:val="4B5563"/>
          <w:sz w:val="22"/>
          <w:szCs w:val="22"/>
        </w:rPr>
        <w:t xml:space="preserve">Estación Central · USACH</w:t>
      </w:r>
    </w:p>
    <w:p>
      <w:pPr>
        <w:spacing w:after="160" w:line="360"/>
        <w:jc w:val="both"/>
      </w:pPr>
      <w:r>
        <w:rPr>
          <w:rFonts w:ascii="Calibri" w:cs="Calibri" w:eastAsia="Calibri" w:hAnsi="Calibri"/>
          <w:sz w:val="22"/>
          <w:szCs w:val="22"/>
        </w:rPr>
        <w:t xml:space="preserve">Zona universitaria concentrada en torno a la Universidad de Santiago (USACH) y la Estación Central intermodal (19,5 millones de pasajeros anuales según Memoria Metro 2023). Ticket bajo (CLP 2.700) por menor poder adquisitivo (CASEN 2022 reporta CLP 1.050.000 ingreso medio comuna). Volumen alto durante período lectivo, con caída fuerte en diciembre, enero y febrero (vacaciones universitarias). Arriendo más bajo del comparativo (CLP 525.000/mes), favorable para break-even.</w:t>
      </w:r>
    </w:p>
    <w:p>
      <w:r>
        <w:br w:type="page"/>
      </w:r>
    </w:p>
    <w:p>
      <w:pPr>
        <w:pStyle w:val="Heading1"/>
        <w:spacing w:after="240" w:before="480"/>
      </w:pPr>
      <w:r>
        <w:rPr>
          <w:rFonts w:ascii="Cambria" w:cs="Cambria" w:eastAsia="Cambria" w:hAnsi="Cambria"/>
          <w:b/>
          <w:bCs/>
          <w:color w:val="1F2937"/>
          <w:sz w:val="32"/>
          <w:szCs w:val="32"/>
        </w:rPr>
        <w:t xml:space="preserve">6. Estudio técnico: formato operacional y equipamiento</w:t>
      </w:r>
    </w:p>
    <w:p>
      <w:pPr>
        <w:pStyle w:val="Heading2"/>
        <w:spacing w:after="160" w:before="320"/>
      </w:pPr>
      <w:r>
        <w:rPr>
          <w:rFonts w:ascii="Cambria" w:cs="Cambria" w:eastAsia="Cambria" w:hAnsi="Cambria"/>
          <w:b/>
          <w:bCs/>
          <w:color w:val="374151"/>
          <w:sz w:val="26"/>
          <w:szCs w:val="26"/>
        </w:rPr>
        <w:t xml:space="preserve">6.1 Concepto operacional</w:t>
      </w:r>
    </w:p>
    <w:p>
      <w:pPr>
        <w:spacing w:after="160" w:line="360"/>
        <w:jc w:val="both"/>
      </w:pPr>
      <w:r>
        <w:rPr>
          <w:rFonts w:ascii="Calibri" w:cs="Calibri" w:eastAsia="Calibri" w:hAnsi="Calibri"/>
          <w:sz w:val="22"/>
          <w:szCs w:val="22"/>
        </w:rPr>
        <w:t xml:space="preserve">El local opera con un formato compacto de barra alta orientado al consumo rápido y al servicio take-away. La superficie útil mínima es de 30 metros cuadrados, distribuida en zona de barra y servicio (40%), zona de almacenamiento y backbar (15%), zona de consumo público (40%) y baño (5%). El horario operacional propuesto es lunes a sábado de 7:30 a 20:00 horas, descansando los domingos.</w:t>
      </w:r>
    </w:p>
    <w:p>
      <w:pPr>
        <w:spacing w:after="160" w:line="360"/>
        <w:jc w:val="both"/>
      </w:pPr>
      <w:r>
        <w:rPr>
          <w:rFonts w:ascii="Calibri" w:cs="Calibri" w:eastAsia="Calibri" w:hAnsi="Calibri"/>
          <w:sz w:val="22"/>
          <w:szCs w:val="22"/>
        </w:rPr>
        <w:t xml:space="preserve">La operación contempla un solo SKU principal (el combo cerrado: espresso + alimento envasado), con variantes opcionales en el café (cortado, americano, latte) sobre el mismo precio fijo. La preparación del café sigue un protocolo estandarizado de 60-90 segundos por unidad, lo que permite alcanzar una capacidad teórica de 35-40 combos por hora con un solo barista en barra.</w:t>
      </w:r>
    </w:p>
    <w:p>
      <w:pPr>
        <w:pStyle w:val="Heading2"/>
        <w:spacing w:after="160" w:before="320"/>
      </w:pPr>
      <w:r>
        <w:rPr>
          <w:rFonts w:ascii="Cambria" w:cs="Cambria" w:eastAsia="Cambria" w:hAnsi="Cambria"/>
          <w:b/>
          <w:bCs/>
          <w:color w:val="374151"/>
          <w:sz w:val="26"/>
          <w:szCs w:val="26"/>
        </w:rPr>
        <w:t xml:space="preserve">6.2 Equipamiento principal</w:t>
      </w:r>
    </w:p>
    <w:p>
      <w:pPr>
        <w:spacing w:after="160" w:line="360"/>
        <w:jc w:val="both"/>
      </w:pPr>
      <w:r>
        <w:rPr>
          <w:rFonts w:ascii="Calibri" w:cs="Calibri" w:eastAsia="Calibri" w:hAnsi="Calibri"/>
          <w:sz w:val="22"/>
          <w:szCs w:val="22"/>
        </w:rPr>
        <w:t xml:space="preserve">La inversión en activos físicos asciende a CLP 20,5 millones, con vida útil promedio ponderada por costo de 8 años (depreciación lineal según tabla del Servicio de Impuestos Internos). El detalle por ítem se presenta en la Tabla 6.1.</w:t>
      </w:r>
    </w:p>
    <w:tbl>
      <w:tblPr>
        <w:tblW w:type="pct" w:w="100%"/>
        <w:tblBorders>
          <w:top w:val="single" w:color="111827" w:sz="6"/>
          <w:left w:val="none" w:color="FFFFFF" w:sz="0"/>
          <w:bottom w:val="single" w:color="111827" w:sz="6"/>
          <w:right w:val="none" w:color="FFFFFF" w:sz="0"/>
          <w:insideH w:val="single" w:color="D1D5DB" w:sz="2"/>
          <w:insideV w:val="none" w:color="FFFFFF" w:sz="0"/>
        </w:tblBorders>
      </w:tblPr>
      <w:tblGrid>
        <w:gridCol w:w="100"/>
        <w:gridCol w:w="100"/>
        <w:gridCol w:w="100"/>
      </w:tblGrid>
      <w:tr>
        <w:trPr>
          <w:tblHeader/>
        </w:trPr>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Ítem</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Costo CLP</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Vida útil SII (años)</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Máquina espresso 2-grupos semiautomática</w:t>
            </w:r>
          </w:p>
        </w:tc>
        <w:tc>
          <w:tcPr>
            <w:tcMar>
              <w:top w:type="dxa" w:w="120"/>
              <w:left w:type="dxa" w:w="100"/>
              <w:bottom w:type="dxa" w:w="120"/>
              <w:right w:type="dxa" w:w="100"/>
            </w:tcMar>
          </w:tcPr>
          <w:p>
            <w:pPr>
              <w:jc w:val="left"/>
            </w:pPr>
            <w:r>
              <w:rPr>
                <w:rFonts w:ascii="Calibri" w:cs="Calibri" w:eastAsia="Calibri" w:hAnsi="Calibri"/>
                <w:sz w:val="18"/>
                <w:szCs w:val="18"/>
              </w:rPr>
              <w:t xml:space="preserve">6.500.000</w:t>
            </w:r>
          </w:p>
        </w:tc>
        <w:tc>
          <w:tcPr>
            <w:tcMar>
              <w:top w:type="dxa" w:w="120"/>
              <w:left w:type="dxa" w:w="100"/>
              <w:bottom w:type="dxa" w:w="120"/>
              <w:right w:type="dxa" w:w="100"/>
            </w:tcMar>
          </w:tcPr>
          <w:p>
            <w:pPr>
              <w:jc w:val="left"/>
            </w:pPr>
            <w:r>
              <w:rPr>
                <w:rFonts w:ascii="Calibri" w:cs="Calibri" w:eastAsia="Calibri" w:hAnsi="Calibri"/>
                <w:sz w:val="18"/>
                <w:szCs w:val="18"/>
              </w:rPr>
              <w:t xml:space="preserve">7</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Molino cónico semiautomático</w:t>
            </w:r>
          </w:p>
        </w:tc>
        <w:tc>
          <w:tcPr>
            <w:tcMar>
              <w:top w:type="dxa" w:w="120"/>
              <w:left w:type="dxa" w:w="100"/>
              <w:bottom w:type="dxa" w:w="120"/>
              <w:right w:type="dxa" w:w="100"/>
            </w:tcMar>
          </w:tcPr>
          <w:p>
            <w:pPr>
              <w:jc w:val="left"/>
            </w:pPr>
            <w:r>
              <w:rPr>
                <w:rFonts w:ascii="Calibri" w:cs="Calibri" w:eastAsia="Calibri" w:hAnsi="Calibri"/>
                <w:sz w:val="18"/>
                <w:szCs w:val="18"/>
              </w:rPr>
              <w:t xml:space="preserve">1.100.000</w:t>
            </w:r>
          </w:p>
        </w:tc>
        <w:tc>
          <w:tcPr>
            <w:tcMar>
              <w:top w:type="dxa" w:w="120"/>
              <w:left w:type="dxa" w:w="100"/>
              <w:bottom w:type="dxa" w:w="120"/>
              <w:right w:type="dxa" w:w="100"/>
            </w:tcMar>
          </w:tcPr>
          <w:p>
            <w:pPr>
              <w:jc w:val="left"/>
            </w:pPr>
            <w:r>
              <w:rPr>
                <w:rFonts w:ascii="Calibri" w:cs="Calibri" w:eastAsia="Calibri" w:hAnsi="Calibri"/>
                <w:sz w:val="18"/>
                <w:szCs w:val="18"/>
              </w:rPr>
              <w:t xml:space="preserve">5</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Vitrina refrigerada compacta cadena frío</w:t>
            </w:r>
          </w:p>
        </w:tc>
        <w:tc>
          <w:tcPr>
            <w:tcMar>
              <w:top w:type="dxa" w:w="120"/>
              <w:left w:type="dxa" w:w="100"/>
              <w:bottom w:type="dxa" w:w="120"/>
              <w:right w:type="dxa" w:w="100"/>
            </w:tcMar>
          </w:tcPr>
          <w:p>
            <w:pPr>
              <w:jc w:val="left"/>
            </w:pPr>
            <w:r>
              <w:rPr>
                <w:rFonts w:ascii="Calibri" w:cs="Calibri" w:eastAsia="Calibri" w:hAnsi="Calibri"/>
                <w:sz w:val="18"/>
                <w:szCs w:val="18"/>
              </w:rPr>
              <w:t xml:space="preserve">1.200.000</w:t>
            </w:r>
          </w:p>
        </w:tc>
        <w:tc>
          <w:tcPr>
            <w:tcMar>
              <w:top w:type="dxa" w:w="120"/>
              <w:left w:type="dxa" w:w="100"/>
              <w:bottom w:type="dxa" w:w="120"/>
              <w:right w:type="dxa" w:w="100"/>
            </w:tcMar>
          </w:tcPr>
          <w:p>
            <w:pPr>
              <w:jc w:val="left"/>
            </w:pPr>
            <w:r>
              <w:rPr>
                <w:rFonts w:ascii="Calibri" w:cs="Calibri" w:eastAsia="Calibri" w:hAnsi="Calibri"/>
                <w:sz w:val="18"/>
                <w:szCs w:val="18"/>
              </w:rPr>
              <w:t xml:space="preserve">7</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Mobiliario y barra (carpintería simple a medida)</w:t>
            </w:r>
          </w:p>
        </w:tc>
        <w:tc>
          <w:tcPr>
            <w:tcMar>
              <w:top w:type="dxa" w:w="120"/>
              <w:left w:type="dxa" w:w="100"/>
              <w:bottom w:type="dxa" w:w="120"/>
              <w:right w:type="dxa" w:w="100"/>
            </w:tcMar>
          </w:tcPr>
          <w:p>
            <w:pPr>
              <w:jc w:val="left"/>
            </w:pPr>
            <w:r>
              <w:rPr>
                <w:rFonts w:ascii="Calibri" w:cs="Calibri" w:eastAsia="Calibri" w:hAnsi="Calibri"/>
                <w:sz w:val="18"/>
                <w:szCs w:val="18"/>
              </w:rPr>
              <w:t xml:space="preserve">3.500.000</w:t>
            </w:r>
          </w:p>
        </w:tc>
        <w:tc>
          <w:tcPr>
            <w:tcMar>
              <w:top w:type="dxa" w:w="120"/>
              <w:left w:type="dxa" w:w="100"/>
              <w:bottom w:type="dxa" w:w="120"/>
              <w:right w:type="dxa" w:w="100"/>
            </w:tcMar>
          </w:tcPr>
          <w:p>
            <w:pPr>
              <w:jc w:val="left"/>
            </w:pPr>
            <w:r>
              <w:rPr>
                <w:rFonts w:ascii="Calibri" w:cs="Calibri" w:eastAsia="Calibri" w:hAnsi="Calibri"/>
                <w:sz w:val="18"/>
                <w:szCs w:val="18"/>
              </w:rPr>
              <w:t xml:space="preserve">10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POS + lector tarjetas + impresora boletas</w:t>
            </w:r>
          </w:p>
        </w:tc>
        <w:tc>
          <w:tcPr>
            <w:tcMar>
              <w:top w:type="dxa" w:w="120"/>
              <w:left w:type="dxa" w:w="100"/>
              <w:bottom w:type="dxa" w:w="120"/>
              <w:right w:type="dxa" w:w="100"/>
            </w:tcMar>
          </w:tcPr>
          <w:p>
            <w:pPr>
              <w:jc w:val="left"/>
            </w:pPr>
            <w:r>
              <w:rPr>
                <w:rFonts w:ascii="Calibri" w:cs="Calibri" w:eastAsia="Calibri" w:hAnsi="Calibri"/>
                <w:sz w:val="18"/>
                <w:szCs w:val="18"/>
              </w:rPr>
              <w:t xml:space="preserve">650.000</w:t>
            </w:r>
          </w:p>
        </w:tc>
        <w:tc>
          <w:tcPr>
            <w:tcMar>
              <w:top w:type="dxa" w:w="120"/>
              <w:left w:type="dxa" w:w="100"/>
              <w:bottom w:type="dxa" w:w="120"/>
              <w:right w:type="dxa" w:w="100"/>
            </w:tcMar>
          </w:tcPr>
          <w:p>
            <w:pPr>
              <w:jc w:val="left"/>
            </w:pPr>
            <w:r>
              <w:rPr>
                <w:rFonts w:ascii="Calibri" w:cs="Calibri" w:eastAsia="Calibri" w:hAnsi="Calibri"/>
                <w:sz w:val="18"/>
                <w:szCs w:val="18"/>
              </w:rPr>
              <w:t xml:space="preserve">5</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Habilitación eléctrica + sanitaria básica</w:t>
            </w:r>
          </w:p>
        </w:tc>
        <w:tc>
          <w:tcPr>
            <w:tcMar>
              <w:top w:type="dxa" w:w="120"/>
              <w:left w:type="dxa" w:w="100"/>
              <w:bottom w:type="dxa" w:w="120"/>
              <w:right w:type="dxa" w:w="100"/>
            </w:tcMar>
          </w:tcPr>
          <w:p>
            <w:pPr>
              <w:jc w:val="left"/>
            </w:pPr>
            <w:r>
              <w:rPr>
                <w:rFonts w:ascii="Calibri" w:cs="Calibri" w:eastAsia="Calibri" w:hAnsi="Calibri"/>
                <w:sz w:val="18"/>
                <w:szCs w:val="18"/>
              </w:rPr>
              <w:t xml:space="preserve">2.200.000</w:t>
            </w:r>
          </w:p>
        </w:tc>
        <w:tc>
          <w:tcPr>
            <w:tcMar>
              <w:top w:type="dxa" w:w="120"/>
              <w:left w:type="dxa" w:w="100"/>
              <w:bottom w:type="dxa" w:w="120"/>
              <w:right w:type="dxa" w:w="100"/>
            </w:tcMar>
          </w:tcPr>
          <w:p>
            <w:pPr>
              <w:jc w:val="left"/>
            </w:pPr>
            <w:r>
              <w:rPr>
                <w:rFonts w:ascii="Calibri" w:cs="Calibri" w:eastAsia="Calibri" w:hAnsi="Calibri"/>
                <w:sz w:val="18"/>
                <w:szCs w:val="18"/>
              </w:rPr>
              <w:t xml:space="preserve">20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Letrero + diseño marca + branding</w:t>
            </w:r>
          </w:p>
        </w:tc>
        <w:tc>
          <w:tcPr>
            <w:tcMar>
              <w:top w:type="dxa" w:w="120"/>
              <w:left w:type="dxa" w:w="100"/>
              <w:bottom w:type="dxa" w:w="120"/>
              <w:right w:type="dxa" w:w="100"/>
            </w:tcMar>
          </w:tcPr>
          <w:p>
            <w:pPr>
              <w:jc w:val="left"/>
            </w:pPr>
            <w:r>
              <w:rPr>
                <w:rFonts w:ascii="Calibri" w:cs="Calibri" w:eastAsia="Calibri" w:hAnsi="Calibri"/>
                <w:sz w:val="18"/>
                <w:szCs w:val="18"/>
              </w:rPr>
              <w:t xml:space="preserve">950.000</w:t>
            </w:r>
          </w:p>
        </w:tc>
        <w:tc>
          <w:tcPr>
            <w:tcMar>
              <w:top w:type="dxa" w:w="120"/>
              <w:left w:type="dxa" w:w="100"/>
              <w:bottom w:type="dxa" w:w="120"/>
              <w:right w:type="dxa" w:w="100"/>
            </w:tcMar>
          </w:tcPr>
          <w:p>
            <w:pPr>
              <w:jc w:val="left"/>
            </w:pPr>
            <w:r>
              <w:rPr>
                <w:rFonts w:ascii="Calibri" w:cs="Calibri" w:eastAsia="Calibri" w:hAnsi="Calibri"/>
                <w:sz w:val="18"/>
                <w:szCs w:val="18"/>
              </w:rPr>
              <w:t xml:space="preserve">5</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Filtro descalcificador agua</w:t>
            </w:r>
          </w:p>
        </w:tc>
        <w:tc>
          <w:tcPr>
            <w:tcMar>
              <w:top w:type="dxa" w:w="120"/>
              <w:left w:type="dxa" w:w="100"/>
              <w:bottom w:type="dxa" w:w="120"/>
              <w:right w:type="dxa" w:w="100"/>
            </w:tcMar>
          </w:tcPr>
          <w:p>
            <w:pPr>
              <w:jc w:val="left"/>
            </w:pPr>
            <w:r>
              <w:rPr>
                <w:rFonts w:ascii="Calibri" w:cs="Calibri" w:eastAsia="Calibri" w:hAnsi="Calibri"/>
                <w:sz w:val="18"/>
                <w:szCs w:val="18"/>
              </w:rPr>
              <w:t xml:space="preserve">550.000</w:t>
            </w:r>
          </w:p>
        </w:tc>
        <w:tc>
          <w:tcPr>
            <w:tcMar>
              <w:top w:type="dxa" w:w="120"/>
              <w:left w:type="dxa" w:w="100"/>
              <w:bottom w:type="dxa" w:w="120"/>
              <w:right w:type="dxa" w:w="100"/>
            </w:tcMar>
          </w:tcPr>
          <w:p>
            <w:pPr>
              <w:jc w:val="left"/>
            </w:pPr>
            <w:r>
              <w:rPr>
                <w:rFonts w:ascii="Calibri" w:cs="Calibri" w:eastAsia="Calibri" w:hAnsi="Calibri"/>
                <w:sz w:val="18"/>
                <w:szCs w:val="18"/>
              </w:rPr>
              <w:t xml:space="preserve">10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Vasos take-away iniciales + tapas + sleeves</w:t>
            </w:r>
          </w:p>
        </w:tc>
        <w:tc>
          <w:tcPr>
            <w:tcMar>
              <w:top w:type="dxa" w:w="120"/>
              <w:left w:type="dxa" w:w="100"/>
              <w:bottom w:type="dxa" w:w="120"/>
              <w:right w:type="dxa" w:w="100"/>
            </w:tcMar>
          </w:tcPr>
          <w:p>
            <w:pPr>
              <w:jc w:val="left"/>
            </w:pPr>
            <w:r>
              <w:rPr>
                <w:rFonts w:ascii="Calibri" w:cs="Calibri" w:eastAsia="Calibri" w:hAnsi="Calibri"/>
                <w:sz w:val="18"/>
                <w:szCs w:val="18"/>
              </w:rPr>
              <w:t xml:space="preserve">450.000</w:t>
            </w:r>
          </w:p>
        </w:tc>
        <w:tc>
          <w:tcPr>
            <w:tcMar>
              <w:top w:type="dxa" w:w="120"/>
              <w:left w:type="dxa" w:w="100"/>
              <w:bottom w:type="dxa" w:w="120"/>
              <w:right w:type="dxa" w:w="100"/>
            </w:tcMar>
          </w:tcPr>
          <w:p>
            <w:pPr>
              <w:jc w:val="left"/>
            </w:pPr>
            <w:r>
              <w:rPr>
                <w:rFonts w:ascii="Calibri" w:cs="Calibri" w:eastAsia="Calibri" w:hAnsi="Calibri"/>
                <w:sz w:val="18"/>
                <w:szCs w:val="18"/>
              </w:rPr>
              <w:t xml:space="preserve">3</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4 mesas altas + 8 piso (consumo rápido)</w:t>
            </w:r>
          </w:p>
        </w:tc>
        <w:tc>
          <w:tcPr>
            <w:tcMar>
              <w:top w:type="dxa" w:w="120"/>
              <w:left w:type="dxa" w:w="100"/>
              <w:bottom w:type="dxa" w:w="120"/>
              <w:right w:type="dxa" w:w="100"/>
            </w:tcMar>
          </w:tcPr>
          <w:p>
            <w:pPr>
              <w:jc w:val="left"/>
            </w:pPr>
            <w:r>
              <w:rPr>
                <w:rFonts w:ascii="Calibri" w:cs="Calibri" w:eastAsia="Calibri" w:hAnsi="Calibri"/>
                <w:sz w:val="18"/>
                <w:szCs w:val="18"/>
              </w:rPr>
              <w:t xml:space="preserve">1.500.000</w:t>
            </w:r>
          </w:p>
        </w:tc>
        <w:tc>
          <w:tcPr>
            <w:tcMar>
              <w:top w:type="dxa" w:w="120"/>
              <w:left w:type="dxa" w:w="100"/>
              <w:bottom w:type="dxa" w:w="120"/>
              <w:right w:type="dxa" w:w="100"/>
            </w:tcMar>
          </w:tcPr>
          <w:p>
            <w:pPr>
              <w:jc w:val="left"/>
            </w:pPr>
            <w:r>
              <w:rPr>
                <w:rFonts w:ascii="Calibri" w:cs="Calibri" w:eastAsia="Calibri" w:hAnsi="Calibri"/>
                <w:sz w:val="18"/>
                <w:szCs w:val="18"/>
              </w:rPr>
              <w:t xml:space="preserve">7</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Permisos iniciales SEREMI + manipuladores + patente</w:t>
            </w:r>
          </w:p>
        </w:tc>
        <w:tc>
          <w:tcPr>
            <w:tcMar>
              <w:top w:type="dxa" w:w="120"/>
              <w:left w:type="dxa" w:w="100"/>
              <w:bottom w:type="dxa" w:w="120"/>
              <w:right w:type="dxa" w:w="100"/>
            </w:tcMar>
          </w:tcPr>
          <w:p>
            <w:pPr>
              <w:jc w:val="left"/>
            </w:pPr>
            <w:r>
              <w:rPr>
                <w:rFonts w:ascii="Calibri" w:cs="Calibri" w:eastAsia="Calibri" w:hAnsi="Calibri"/>
                <w:sz w:val="18"/>
                <w:szCs w:val="18"/>
              </w:rPr>
              <w:t xml:space="preserve">700.000</w:t>
            </w:r>
          </w:p>
        </w:tc>
        <w:tc>
          <w:tcPr>
            <w:tcMar>
              <w:top w:type="dxa" w:w="120"/>
              <w:left w:type="dxa" w:w="100"/>
              <w:bottom w:type="dxa" w:w="120"/>
              <w:right w:type="dxa" w:w="100"/>
            </w:tcMar>
          </w:tcPr>
          <w:p>
            <w:pPr>
              <w:jc w:val="left"/>
            </w:pPr>
            <w:r>
              <w:rPr>
                <w:rFonts w:ascii="Calibri" w:cs="Calibri" w:eastAsia="Calibri" w:hAnsi="Calibri"/>
                <w:sz w:val="18"/>
                <w:szCs w:val="18"/>
              </w:rPr>
              <w:t xml:space="preserve">3</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Otros equipos menores + reservas (5%)</w:t>
            </w:r>
          </w:p>
        </w:tc>
        <w:tc>
          <w:tcPr>
            <w:tcMar>
              <w:top w:type="dxa" w:w="120"/>
              <w:left w:type="dxa" w:w="100"/>
              <w:bottom w:type="dxa" w:w="120"/>
              <w:right w:type="dxa" w:w="100"/>
            </w:tcMar>
          </w:tcPr>
          <w:p>
            <w:pPr>
              <w:jc w:val="left"/>
            </w:pPr>
            <w:r>
              <w:rPr>
                <w:rFonts w:ascii="Calibri" w:cs="Calibri" w:eastAsia="Calibri" w:hAnsi="Calibri"/>
                <w:sz w:val="18"/>
                <w:szCs w:val="18"/>
              </w:rPr>
              <w:t xml:space="preserve">1.200.000</w:t>
            </w:r>
          </w:p>
        </w:tc>
        <w:tc>
          <w:tcPr>
            <w:tcMar>
              <w:top w:type="dxa" w:w="120"/>
              <w:left w:type="dxa" w:w="100"/>
              <w:bottom w:type="dxa" w:w="120"/>
              <w:right w:type="dxa" w:w="100"/>
            </w:tcMar>
          </w:tcPr>
          <w:p>
            <w:pPr>
              <w:jc w:val="left"/>
            </w:pPr>
            <w:r>
              <w:rPr>
                <w:rFonts w:ascii="Calibri" w:cs="Calibri" w:eastAsia="Calibri" w:hAnsi="Calibri"/>
                <w:sz w:val="18"/>
                <w:szCs w:val="18"/>
              </w:rPr>
              <w:t xml:space="preserve">5</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TOTAL</w:t>
            </w:r>
          </w:p>
        </w:tc>
        <w:tc>
          <w:tcPr>
            <w:tcMar>
              <w:top w:type="dxa" w:w="120"/>
              <w:left w:type="dxa" w:w="100"/>
              <w:bottom w:type="dxa" w:w="120"/>
              <w:right w:type="dxa" w:w="100"/>
            </w:tcMar>
          </w:tcPr>
          <w:p>
            <w:pPr>
              <w:jc w:val="left"/>
            </w:pPr>
            <w:r>
              <w:rPr>
                <w:rFonts w:ascii="Calibri" w:cs="Calibri" w:eastAsia="Calibri" w:hAnsi="Calibri"/>
                <w:sz w:val="18"/>
                <w:szCs w:val="18"/>
              </w:rPr>
              <w:t xml:space="preserve">20.500.000</w:t>
            </w:r>
          </w:p>
        </w:tc>
        <w:tc>
          <w:tcPr>
            <w:tcMar>
              <w:top w:type="dxa" w:w="120"/>
              <w:left w:type="dxa" w:w="100"/>
              <w:bottom w:type="dxa" w:w="120"/>
              <w:right w:type="dxa" w:w="100"/>
            </w:tcMar>
          </w:tcPr>
          <w:p>
            <w:pPr>
              <w:jc w:val="left"/>
            </w:pPr>
            <w:r>
              <w:rPr>
                <w:rFonts w:ascii="Calibri" w:cs="Calibri" w:eastAsia="Calibri" w:hAnsi="Calibri"/>
                <w:sz w:val="18"/>
                <w:szCs w:val="18"/>
              </w:rPr>
              <w:t xml:space="preserve">8 (promedio ponderado)</w:t>
            </w:r>
          </w:p>
        </w:tc>
      </w:tr>
    </w:tbl>
    <w:p>
      <w:pPr>
        <w:spacing w:after="240" w:before="60"/>
        <w:jc w:val="center"/>
      </w:pPr>
      <w:r>
        <w:rPr>
          <w:rFonts w:ascii="Calibri" w:cs="Calibri" w:eastAsia="Calibri" w:hAnsi="Calibri"/>
          <w:i/>
          <w:iCs/>
          <w:color w:val="6B7280"/>
          <w:sz w:val="18"/>
          <w:szCs w:val="18"/>
        </w:rPr>
        <w:t xml:space="preserve">Tabla 6.1 — Desglose de inversión en activos físicos. Elaboración propia con datos de Princess Food Service y Mercado Libre Chile (2024-2025).</w:t>
      </w:r>
    </w:p>
    <w:p>
      <w:pPr>
        <w:pStyle w:val="Heading2"/>
        <w:spacing w:after="160" w:before="320"/>
      </w:pPr>
      <w:r>
        <w:rPr>
          <w:rFonts w:ascii="Cambria" w:cs="Cambria" w:eastAsia="Cambria" w:hAnsi="Cambria"/>
          <w:b/>
          <w:bCs/>
          <w:color w:val="374151"/>
          <w:sz w:val="26"/>
          <w:szCs w:val="26"/>
        </w:rPr>
        <w:t xml:space="preserve">6.3 Procesos operacionales</w:t>
      </w:r>
    </w:p>
    <w:p>
      <w:pPr>
        <w:spacing w:after="160" w:line="360"/>
        <w:jc w:val="both"/>
      </w:pPr>
      <w:r>
        <w:rPr>
          <w:rFonts w:ascii="Calibri" w:cs="Calibri" w:eastAsia="Calibri" w:hAnsi="Calibri"/>
          <w:sz w:val="22"/>
          <w:szCs w:val="22"/>
        </w:rPr>
        <w:t xml:space="preserve">Los procesos críticos del local se estructuran en cinco actividades principales:</w:t>
      </w:r>
    </w:p>
    <w:p>
      <w:pPr>
        <w:pStyle w:val="ListParagraph"/>
        <w:numPr>
          <w:ilvl w:val="0"/>
          <w:numId w:val="1"/>
        </w:numPr>
        <w:spacing w:after="80" w:line="320"/>
      </w:pPr>
      <w:r>
        <w:rPr>
          <w:rFonts w:ascii="Calibri" w:cs="Calibri" w:eastAsia="Calibri" w:hAnsi="Calibri"/>
          <w:sz w:val="22"/>
          <w:szCs w:val="22"/>
        </w:rPr>
        <w:t xml:space="preserve">Apertura matinal (07:30-08:00): encendido y calibración de la máquina espresso, recepción de productos del día anterior si procede, verificación de cadena de frío en vitrina, alistamiento de la zona de pago.</w:t>
      </w:r>
    </w:p>
    <w:p>
      <w:pPr>
        <w:pStyle w:val="ListParagraph"/>
        <w:numPr>
          <w:ilvl w:val="0"/>
          <w:numId w:val="1"/>
        </w:numPr>
        <w:spacing w:after="80" w:line="320"/>
      </w:pPr>
      <w:r>
        <w:rPr>
          <w:rFonts w:ascii="Calibri" w:cs="Calibri" w:eastAsia="Calibri" w:hAnsi="Calibri"/>
          <w:sz w:val="22"/>
          <w:szCs w:val="22"/>
        </w:rPr>
        <w:t xml:space="preserve">Servicio en barra (08:00-20:00): preparación del espresso a pedido, ensamblado del combo (extracción del producto envasado de vitrina), cobro y entrega.</w:t>
      </w:r>
    </w:p>
    <w:p>
      <w:pPr>
        <w:pStyle w:val="ListParagraph"/>
        <w:numPr>
          <w:ilvl w:val="0"/>
          <w:numId w:val="1"/>
        </w:numPr>
        <w:spacing w:after="80" w:line="320"/>
      </w:pPr>
      <w:r>
        <w:rPr>
          <w:rFonts w:ascii="Calibri" w:cs="Calibri" w:eastAsia="Calibri" w:hAnsi="Calibri"/>
          <w:sz w:val="22"/>
          <w:szCs w:val="22"/>
        </w:rPr>
        <w:t xml:space="preserve">Reposición durante la jornada: control visual de stock, llamada al proveedor para reposición si aplica.</w:t>
      </w:r>
    </w:p>
    <w:p>
      <w:pPr>
        <w:pStyle w:val="ListParagraph"/>
        <w:numPr>
          <w:ilvl w:val="0"/>
          <w:numId w:val="1"/>
        </w:numPr>
        <w:spacing w:after="80" w:line="320"/>
      </w:pPr>
      <w:r>
        <w:rPr>
          <w:rFonts w:ascii="Calibri" w:cs="Calibri" w:eastAsia="Calibri" w:hAnsi="Calibri"/>
          <w:sz w:val="22"/>
          <w:szCs w:val="22"/>
        </w:rPr>
        <w:t xml:space="preserve">Cierre nocturno (19:30-20:00): conteo de caja, cuadre con POS, limpieza de máquina espresso (descalcificación semanal), aseo del local, cierre de seguridad.</w:t>
      </w:r>
    </w:p>
    <w:p>
      <w:pPr>
        <w:pStyle w:val="ListParagraph"/>
        <w:numPr>
          <w:ilvl w:val="0"/>
          <w:numId w:val="1"/>
        </w:numPr>
        <w:spacing w:after="80" w:line="320"/>
      </w:pPr>
      <w:r>
        <w:rPr>
          <w:rFonts w:ascii="Calibri" w:cs="Calibri" w:eastAsia="Calibri" w:hAnsi="Calibri"/>
          <w:sz w:val="22"/>
          <w:szCs w:val="22"/>
        </w:rPr>
        <w:t xml:space="preserve">Recepción semanal de proveedores: verificación de facturas, certificados sanitarios, fechas de vencimiento, cadena de frío durante el transporte, almacenamiento.</w:t>
      </w:r>
    </w:p>
    <w:p>
      <w:r>
        <w:br w:type="page"/>
      </w:r>
    </w:p>
    <w:p>
      <w:pPr>
        <w:pStyle w:val="Heading1"/>
        <w:spacing w:after="240" w:before="480"/>
      </w:pPr>
      <w:r>
        <w:rPr>
          <w:rFonts w:ascii="Cambria" w:cs="Cambria" w:eastAsia="Cambria" w:hAnsi="Cambria"/>
          <w:b/>
          <w:bCs/>
          <w:color w:val="1F2937"/>
          <w:sz w:val="32"/>
          <w:szCs w:val="32"/>
        </w:rPr>
        <w:t xml:space="preserve">7. Estructura organizacional y planilla de personal</w:t>
      </w:r>
    </w:p>
    <w:p>
      <w:pPr>
        <w:pStyle w:val="Heading2"/>
        <w:spacing w:after="160" w:before="320"/>
      </w:pPr>
      <w:r>
        <w:rPr>
          <w:rFonts w:ascii="Cambria" w:cs="Cambria" w:eastAsia="Cambria" w:hAnsi="Cambria"/>
          <w:b/>
          <w:bCs/>
          <w:color w:val="374151"/>
          <w:sz w:val="26"/>
          <w:szCs w:val="26"/>
        </w:rPr>
        <w:t xml:space="preserve">7.1 Estructura organizacional</w:t>
      </w:r>
    </w:p>
    <w:p>
      <w:pPr>
        <w:spacing w:after="160" w:line="360"/>
        <w:jc w:val="both"/>
      </w:pPr>
      <w:r>
        <w:rPr>
          <w:rFonts w:ascii="Calibri" w:cs="Calibri" w:eastAsia="Calibri" w:hAnsi="Calibri"/>
          <w:sz w:val="22"/>
          <w:szCs w:val="22"/>
        </w:rPr>
        <w:t xml:space="preserve">La estructura es plana, con un cargo de barista jefe que reporta directamente al inversionista o gerente operativo. La planilla mínima viable es de tres personas. Los costos de personal se calculan según la legislación laboral chilena vigente, incluyendo todas las cargas patronales (AFC empleador, SIS, mutual, gratificación legal, provisión vacaciones y provisión de indemnización por años de servicio).</w:t>
      </w:r>
    </w:p>
    <w:p>
      <w:pPr>
        <w:pStyle w:val="Heading2"/>
        <w:spacing w:after="160" w:before="320"/>
      </w:pPr>
      <w:r>
        <w:rPr>
          <w:rFonts w:ascii="Cambria" w:cs="Cambria" w:eastAsia="Cambria" w:hAnsi="Cambria"/>
          <w:b/>
          <w:bCs/>
          <w:color w:val="374151"/>
          <w:sz w:val="26"/>
          <w:szCs w:val="26"/>
        </w:rPr>
        <w:t xml:space="preserve">7.2 Planilla detallada</w:t>
      </w:r>
    </w:p>
    <w:tbl>
      <w:tblPr>
        <w:tblW w:type="pct" w:w="100%"/>
        <w:tblBorders>
          <w:top w:val="single" w:color="111827" w:sz="6"/>
          <w:left w:val="none" w:color="FFFFFF" w:sz="0"/>
          <w:bottom w:val="single" w:color="111827" w:sz="6"/>
          <w:right w:val="none" w:color="FFFFFF" w:sz="0"/>
          <w:insideH w:val="single" w:color="D1D5DB" w:sz="2"/>
          <w:insideV w:val="none" w:color="FFFFFF" w:sz="0"/>
        </w:tblBorders>
      </w:tblPr>
      <w:tblGrid>
        <w:gridCol w:w="100"/>
        <w:gridCol w:w="100"/>
        <w:gridCol w:w="100"/>
        <w:gridCol w:w="100"/>
        <w:gridCol w:w="100"/>
      </w:tblGrid>
      <w:tr>
        <w:trPr>
          <w:tblHeader/>
        </w:trPr>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Cargo</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Cant.</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Bruto mensual</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Costo total/mes</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Costo anual</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Barista jefe (manipulador certificado)</w:t>
            </w:r>
          </w:p>
        </w:tc>
        <w:tc>
          <w:tcPr>
            <w:tcMar>
              <w:top w:type="dxa" w:w="120"/>
              <w:left w:type="dxa" w:w="100"/>
              <w:bottom w:type="dxa" w:w="120"/>
              <w:right w:type="dxa" w:w="100"/>
            </w:tcMar>
          </w:tcPr>
          <w:p>
            <w:pPr>
              <w:jc w:val="left"/>
            </w:pPr>
            <w:r>
              <w:rPr>
                <w:rFonts w:ascii="Calibri" w:cs="Calibri" w:eastAsia="Calibri" w:hAnsi="Calibri"/>
                <w:sz w:val="18"/>
                <w:szCs w:val="18"/>
              </w:rPr>
              <w:t xml:space="preserve">1</w:t>
            </w:r>
          </w:p>
        </w:tc>
        <w:tc>
          <w:tcPr>
            <w:tcMar>
              <w:top w:type="dxa" w:w="120"/>
              <w:left w:type="dxa" w:w="100"/>
              <w:bottom w:type="dxa" w:w="120"/>
              <w:right w:type="dxa" w:w="100"/>
            </w:tcMar>
          </w:tcPr>
          <w:p>
            <w:pPr>
              <w:jc w:val="left"/>
            </w:pPr>
            <w:r>
              <w:rPr>
                <w:rFonts w:ascii="Calibri" w:cs="Calibri" w:eastAsia="Calibri" w:hAnsi="Calibri"/>
                <w:sz w:val="18"/>
                <w:szCs w:val="18"/>
              </w:rPr>
              <w:t xml:space="preserve">$850.000</w:t>
            </w:r>
          </w:p>
        </w:tc>
        <w:tc>
          <w:tcPr>
            <w:tcMar>
              <w:top w:type="dxa" w:w="120"/>
              <w:left w:type="dxa" w:w="100"/>
              <w:bottom w:type="dxa" w:w="120"/>
              <w:right w:type="dxa" w:w="100"/>
            </w:tcMar>
          </w:tcPr>
          <w:p>
            <w:pPr>
              <w:jc w:val="left"/>
            </w:pPr>
            <w:r>
              <w:rPr>
                <w:rFonts w:ascii="Calibri" w:cs="Calibri" w:eastAsia="Calibri" w:hAnsi="Calibri"/>
                <w:sz w:val="18"/>
                <w:szCs w:val="18"/>
              </w:rPr>
              <w:t xml:space="preserve">$1.250.000</w:t>
            </w:r>
          </w:p>
        </w:tc>
        <w:tc>
          <w:tcPr>
            <w:tcMar>
              <w:top w:type="dxa" w:w="120"/>
              <w:left w:type="dxa" w:w="100"/>
              <w:bottom w:type="dxa" w:w="120"/>
              <w:right w:type="dxa" w:w="100"/>
            </w:tcMar>
          </w:tcPr>
          <w:p>
            <w:pPr>
              <w:jc w:val="left"/>
            </w:pPr>
            <w:r>
              <w:rPr>
                <w:rFonts w:ascii="Calibri" w:cs="Calibri" w:eastAsia="Calibri" w:hAnsi="Calibri"/>
                <w:sz w:val="18"/>
                <w:szCs w:val="18"/>
              </w:rPr>
              <w:t xml:space="preserve">$15.000.000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Barista turno tarde (manipulador certificado)</w:t>
            </w:r>
          </w:p>
        </w:tc>
        <w:tc>
          <w:tcPr>
            <w:tcMar>
              <w:top w:type="dxa" w:w="120"/>
              <w:left w:type="dxa" w:w="100"/>
              <w:bottom w:type="dxa" w:w="120"/>
              <w:right w:type="dxa" w:w="100"/>
            </w:tcMar>
          </w:tcPr>
          <w:p>
            <w:pPr>
              <w:jc w:val="left"/>
            </w:pPr>
            <w:r>
              <w:rPr>
                <w:rFonts w:ascii="Calibri" w:cs="Calibri" w:eastAsia="Calibri" w:hAnsi="Calibri"/>
                <w:sz w:val="18"/>
                <w:szCs w:val="18"/>
              </w:rPr>
              <w:t xml:space="preserve">1</w:t>
            </w:r>
          </w:p>
        </w:tc>
        <w:tc>
          <w:tcPr>
            <w:tcMar>
              <w:top w:type="dxa" w:w="120"/>
              <w:left w:type="dxa" w:w="100"/>
              <w:bottom w:type="dxa" w:w="120"/>
              <w:right w:type="dxa" w:w="100"/>
            </w:tcMar>
          </w:tcPr>
          <w:p>
            <w:pPr>
              <w:jc w:val="left"/>
            </w:pPr>
            <w:r>
              <w:rPr>
                <w:rFonts w:ascii="Calibri" w:cs="Calibri" w:eastAsia="Calibri" w:hAnsi="Calibri"/>
                <w:sz w:val="18"/>
                <w:szCs w:val="18"/>
              </w:rPr>
              <w:t xml:space="preserve">$650.000</w:t>
            </w:r>
          </w:p>
        </w:tc>
        <w:tc>
          <w:tcPr>
            <w:tcMar>
              <w:top w:type="dxa" w:w="120"/>
              <w:left w:type="dxa" w:w="100"/>
              <w:bottom w:type="dxa" w:w="120"/>
              <w:right w:type="dxa" w:w="100"/>
            </w:tcMar>
          </w:tcPr>
          <w:p>
            <w:pPr>
              <w:jc w:val="left"/>
            </w:pPr>
            <w:r>
              <w:rPr>
                <w:rFonts w:ascii="Calibri" w:cs="Calibri" w:eastAsia="Calibri" w:hAnsi="Calibri"/>
                <w:sz w:val="18"/>
                <w:szCs w:val="18"/>
              </w:rPr>
              <w:t xml:space="preserve">$956.000</w:t>
            </w:r>
          </w:p>
        </w:tc>
        <w:tc>
          <w:tcPr>
            <w:tcMar>
              <w:top w:type="dxa" w:w="120"/>
              <w:left w:type="dxa" w:w="100"/>
              <w:bottom w:type="dxa" w:w="120"/>
              <w:right w:type="dxa" w:w="100"/>
            </w:tcMar>
          </w:tcPr>
          <w:p>
            <w:pPr>
              <w:jc w:val="left"/>
            </w:pPr>
            <w:r>
              <w:rPr>
                <w:rFonts w:ascii="Calibri" w:cs="Calibri" w:eastAsia="Calibri" w:hAnsi="Calibri"/>
                <w:sz w:val="18"/>
                <w:szCs w:val="18"/>
              </w:rPr>
              <w:t xml:space="preserve">$11.472.000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Reemplazo / aseo (½ jornada)</w:t>
            </w:r>
          </w:p>
        </w:tc>
        <w:tc>
          <w:tcPr>
            <w:tcMar>
              <w:top w:type="dxa" w:w="120"/>
              <w:left w:type="dxa" w:w="100"/>
              <w:bottom w:type="dxa" w:w="120"/>
              <w:right w:type="dxa" w:w="100"/>
            </w:tcMar>
          </w:tcPr>
          <w:p>
            <w:pPr>
              <w:jc w:val="left"/>
            </w:pPr>
            <w:r>
              <w:rPr>
                <w:rFonts w:ascii="Calibri" w:cs="Calibri" w:eastAsia="Calibri" w:hAnsi="Calibri"/>
                <w:sz w:val="18"/>
                <w:szCs w:val="18"/>
              </w:rPr>
              <w:t xml:space="preserve">1</w:t>
            </w:r>
          </w:p>
        </w:tc>
        <w:tc>
          <w:tcPr>
            <w:tcMar>
              <w:top w:type="dxa" w:w="120"/>
              <w:left w:type="dxa" w:w="100"/>
              <w:bottom w:type="dxa" w:w="120"/>
              <w:right w:type="dxa" w:w="100"/>
            </w:tcMar>
          </w:tcPr>
          <w:p>
            <w:pPr>
              <w:jc w:val="left"/>
            </w:pPr>
            <w:r>
              <w:rPr>
                <w:rFonts w:ascii="Calibri" w:cs="Calibri" w:eastAsia="Calibri" w:hAnsi="Calibri"/>
                <w:sz w:val="18"/>
                <w:szCs w:val="18"/>
              </w:rPr>
              <w:t xml:space="preserve">$510.636</w:t>
            </w:r>
          </w:p>
        </w:tc>
        <w:tc>
          <w:tcPr>
            <w:tcMar>
              <w:top w:type="dxa" w:w="120"/>
              <w:left w:type="dxa" w:w="100"/>
              <w:bottom w:type="dxa" w:w="120"/>
              <w:right w:type="dxa" w:w="100"/>
            </w:tcMar>
          </w:tcPr>
          <w:p>
            <w:pPr>
              <w:jc w:val="left"/>
            </w:pPr>
            <w:r>
              <w:rPr>
                <w:rFonts w:ascii="Calibri" w:cs="Calibri" w:eastAsia="Calibri" w:hAnsi="Calibri"/>
                <w:sz w:val="18"/>
                <w:szCs w:val="18"/>
              </w:rPr>
              <w:t xml:space="preserve">$751.000</w:t>
            </w:r>
          </w:p>
        </w:tc>
        <w:tc>
          <w:tcPr>
            <w:tcMar>
              <w:top w:type="dxa" w:w="120"/>
              <w:left w:type="dxa" w:w="100"/>
              <w:bottom w:type="dxa" w:w="120"/>
              <w:right w:type="dxa" w:w="100"/>
            </w:tcMar>
          </w:tcPr>
          <w:p>
            <w:pPr>
              <w:jc w:val="left"/>
            </w:pPr>
            <w:r>
              <w:rPr>
                <w:rFonts w:ascii="Calibri" w:cs="Calibri" w:eastAsia="Calibri" w:hAnsi="Calibri"/>
                <w:sz w:val="18"/>
                <w:szCs w:val="18"/>
              </w:rPr>
              <w:t xml:space="preserve">$9.012.000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TOTAL PLANILLA</w:t>
            </w:r>
          </w:p>
        </w:tc>
        <w:tc>
          <w:tcPr>
            <w:tcMar>
              <w:top w:type="dxa" w:w="120"/>
              <w:left w:type="dxa" w:w="100"/>
              <w:bottom w:type="dxa" w:w="120"/>
              <w:right w:type="dxa" w:w="100"/>
            </w:tcMar>
          </w:tcPr>
          <w:p>
            <w:pPr>
              <w:jc w:val="left"/>
            </w:pPr>
            <w:r>
              <w:rPr>
                <w:rFonts w:ascii="Calibri" w:cs="Calibri" w:eastAsia="Calibri" w:hAnsi="Calibri"/>
                <w:sz w:val="18"/>
                <w:szCs w:val="18"/>
              </w:rPr>
              <w:t xml:space="preserve">3</w:t>
            </w:r>
          </w:p>
        </w:tc>
        <w:tc>
          <w:tcPr>
            <w:tcMar>
              <w:top w:type="dxa" w:w="120"/>
              <w:left w:type="dxa" w:w="100"/>
              <w:bottom w:type="dxa" w:w="120"/>
              <w:right w:type="dxa" w:w="100"/>
            </w:tcMar>
          </w:tcPr>
          <w:p>
            <w:pPr>
              <w:jc w:val="left"/>
            </w:pPr>
            <w:r>
              <w:rPr>
                <w:rFonts w:ascii="Calibri" w:cs="Calibri" w:eastAsia="Calibri" w:hAnsi="Calibri"/>
                <w:sz w:val="18"/>
                <w:szCs w:val="18"/>
              </w:rPr>
              <w:t xml:space="preserve">$2.010.636</w:t>
            </w:r>
          </w:p>
        </w:tc>
        <w:tc>
          <w:tcPr>
            <w:tcMar>
              <w:top w:type="dxa" w:w="120"/>
              <w:left w:type="dxa" w:w="100"/>
              <w:bottom w:type="dxa" w:w="120"/>
              <w:right w:type="dxa" w:w="100"/>
            </w:tcMar>
          </w:tcPr>
          <w:p>
            <w:pPr>
              <w:jc w:val="left"/>
            </w:pPr>
            <w:r>
              <w:rPr>
                <w:rFonts w:ascii="Calibri" w:cs="Calibri" w:eastAsia="Calibri" w:hAnsi="Calibri"/>
                <w:sz w:val="18"/>
                <w:szCs w:val="18"/>
              </w:rPr>
              <w:t xml:space="preserve">$2.957.000</w:t>
            </w:r>
          </w:p>
        </w:tc>
        <w:tc>
          <w:tcPr>
            <w:tcMar>
              <w:top w:type="dxa" w:w="120"/>
              <w:left w:type="dxa" w:w="100"/>
              <w:bottom w:type="dxa" w:w="120"/>
              <w:right w:type="dxa" w:w="100"/>
            </w:tcMar>
          </w:tcPr>
          <w:p>
            <w:pPr>
              <w:jc w:val="left"/>
            </w:pPr>
            <w:r>
              <w:rPr>
                <w:rFonts w:ascii="Calibri" w:cs="Calibri" w:eastAsia="Calibri" w:hAnsi="Calibri"/>
                <w:sz w:val="18"/>
                <w:szCs w:val="18"/>
              </w:rPr>
              <w:t xml:space="preserve">$35.484.000</w:t>
            </w:r>
          </w:p>
        </w:tc>
      </w:tr>
    </w:tbl>
    <w:p>
      <w:pPr>
        <w:spacing w:after="240" w:before="60"/>
        <w:jc w:val="center"/>
      </w:pPr>
      <w:r>
        <w:rPr>
          <w:rFonts w:ascii="Calibri" w:cs="Calibri" w:eastAsia="Calibri" w:hAnsi="Calibri"/>
          <w:i/>
          <w:iCs/>
          <w:color w:val="6B7280"/>
          <w:sz w:val="18"/>
          <w:szCs w:val="18"/>
        </w:rPr>
        <w:t xml:space="preserve">Tabla 7.1 — Planilla con cargas patronales chilenas. El costo total por persona equivale al sueldo bruto multiplicado por un factor de 1,47 aproximadamente, para sueldos bajo el tope de gratificación legal.</w:t>
      </w:r>
    </w:p>
    <w:p>
      <w:pPr>
        <w:pStyle w:val="Heading2"/>
        <w:spacing w:after="160" w:before="320"/>
      </w:pPr>
      <w:r>
        <w:rPr>
          <w:rFonts w:ascii="Cambria" w:cs="Cambria" w:eastAsia="Cambria" w:hAnsi="Cambria"/>
          <w:b/>
          <w:bCs/>
          <w:color w:val="374151"/>
          <w:sz w:val="26"/>
          <w:szCs w:val="26"/>
        </w:rPr>
        <w:t xml:space="preserve">7.3 Cargas patronales chilenas</w:t>
      </w:r>
    </w:p>
    <w:p>
      <w:pPr>
        <w:spacing w:after="160" w:line="360"/>
        <w:jc w:val="both"/>
      </w:pPr>
      <w:r>
        <w:rPr>
          <w:rFonts w:ascii="Calibri" w:cs="Calibri" w:eastAsia="Calibri" w:hAnsi="Calibri"/>
          <w:sz w:val="22"/>
          <w:szCs w:val="22"/>
        </w:rPr>
        <w:t xml:space="preserve">El factor de 1,47 sobre el bruto se compone de los siguientes elementos:</w:t>
      </w:r>
    </w:p>
    <w:p>
      <w:pPr>
        <w:pStyle w:val="ListParagraph"/>
        <w:numPr>
          <w:ilvl w:val="0"/>
          <w:numId w:val="1"/>
        </w:numPr>
        <w:spacing w:after="80" w:line="320"/>
      </w:pPr>
      <w:r>
        <w:rPr>
          <w:rFonts w:ascii="Calibri" w:cs="Calibri" w:eastAsia="Calibri" w:hAnsi="Calibri"/>
          <w:sz w:val="22"/>
          <w:szCs w:val="22"/>
        </w:rPr>
        <w:t xml:space="preserve">AFC empleador (contrato indefinido): 2,4%.</w:t>
      </w:r>
    </w:p>
    <w:p>
      <w:pPr>
        <w:pStyle w:val="ListParagraph"/>
        <w:numPr>
          <w:ilvl w:val="0"/>
          <w:numId w:val="1"/>
        </w:numPr>
        <w:spacing w:after="80" w:line="320"/>
      </w:pPr>
      <w:r>
        <w:rPr>
          <w:rFonts w:ascii="Calibri" w:cs="Calibri" w:eastAsia="Calibri" w:hAnsi="Calibri"/>
          <w:sz w:val="22"/>
          <w:szCs w:val="22"/>
        </w:rPr>
        <w:t xml:space="preserve">Seguro de Invalidez y Sobrevivencia (SIS): 1,85%.</w:t>
      </w:r>
    </w:p>
    <w:p>
      <w:pPr>
        <w:pStyle w:val="ListParagraph"/>
        <w:numPr>
          <w:ilvl w:val="0"/>
          <w:numId w:val="1"/>
        </w:numPr>
        <w:spacing w:after="80" w:line="320"/>
      </w:pPr>
      <w:r>
        <w:rPr>
          <w:rFonts w:ascii="Calibri" w:cs="Calibri" w:eastAsia="Calibri" w:hAnsi="Calibri"/>
          <w:sz w:val="22"/>
          <w:szCs w:val="22"/>
        </w:rPr>
        <w:t xml:space="preserve">Mutual de Seguridad (Ley 16.744): 0,95% base.</w:t>
      </w:r>
    </w:p>
    <w:p>
      <w:pPr>
        <w:pStyle w:val="ListParagraph"/>
        <w:numPr>
          <w:ilvl w:val="0"/>
          <w:numId w:val="1"/>
        </w:numPr>
        <w:spacing w:after="80" w:line="320"/>
      </w:pPr>
      <w:r>
        <w:rPr>
          <w:rFonts w:ascii="Calibri" w:cs="Calibri" w:eastAsia="Calibri" w:hAnsi="Calibri"/>
          <w:sz w:val="22"/>
          <w:szCs w:val="22"/>
        </w:rPr>
        <w:t xml:space="preserve">Gratificación legal (Art. 50 CT): 25% del bruto, con tope mensual de CLP 202.127 (4,75 IMM dividido entre 12 meses, según el IMM 2025 de CLP 510.636).</w:t>
      </w:r>
    </w:p>
    <w:p>
      <w:pPr>
        <w:pStyle w:val="ListParagraph"/>
        <w:numPr>
          <w:ilvl w:val="0"/>
          <w:numId w:val="1"/>
        </w:numPr>
        <w:spacing w:after="80" w:line="320"/>
      </w:pPr>
      <w:r>
        <w:rPr>
          <w:rFonts w:ascii="Calibri" w:cs="Calibri" w:eastAsia="Calibri" w:hAnsi="Calibri"/>
          <w:sz w:val="22"/>
          <w:szCs w:val="22"/>
        </w:rPr>
        <w:t xml:space="preserve">Provisión vacaciones: 8,33% del bruto (15 días hábiles por año, equivalente a un mes).</w:t>
      </w:r>
    </w:p>
    <w:p>
      <w:pPr>
        <w:pStyle w:val="ListParagraph"/>
        <w:numPr>
          <w:ilvl w:val="0"/>
          <w:numId w:val="1"/>
        </w:numPr>
        <w:spacing w:after="80" w:line="320"/>
      </w:pPr>
      <w:r>
        <w:rPr>
          <w:rFonts w:ascii="Calibri" w:cs="Calibri" w:eastAsia="Calibri" w:hAnsi="Calibri"/>
          <w:sz w:val="22"/>
          <w:szCs w:val="22"/>
        </w:rPr>
        <w:t xml:space="preserve">Provisión de indemnización por años de servicio (Art. 163 CT): 8,33% del bruto.</w:t>
      </w:r>
    </w:p>
    <w:p>
      <w:pPr>
        <w:pStyle w:val="Heading2"/>
        <w:spacing w:after="160" w:before="320"/>
      </w:pPr>
      <w:r>
        <w:rPr>
          <w:rFonts w:ascii="Cambria" w:cs="Cambria" w:eastAsia="Cambria" w:hAnsi="Cambria"/>
          <w:b/>
          <w:bCs/>
          <w:color w:val="374151"/>
          <w:sz w:val="26"/>
          <w:szCs w:val="26"/>
        </w:rPr>
        <w:t xml:space="preserve">7.4 Política de capacitación</w:t>
      </w:r>
    </w:p>
    <w:p>
      <w:pPr>
        <w:spacing w:after="160" w:line="360"/>
        <w:jc w:val="both"/>
      </w:pPr>
      <w:r>
        <w:rPr>
          <w:rFonts w:ascii="Calibri" w:cs="Calibri" w:eastAsia="Calibri" w:hAnsi="Calibri"/>
          <w:sz w:val="22"/>
          <w:szCs w:val="22"/>
        </w:rPr>
        <w:t xml:space="preserve">Tres pilares forman la política de capacitación del local:</w:t>
      </w:r>
    </w:p>
    <w:p>
      <w:pPr>
        <w:pStyle w:val="ListParagraph"/>
        <w:numPr>
          <w:ilvl w:val="0"/>
          <w:numId w:val="1"/>
        </w:numPr>
        <w:spacing w:after="80" w:line="320"/>
      </w:pPr>
      <w:r>
        <w:rPr>
          <w:rFonts w:ascii="Calibri" w:cs="Calibri" w:eastAsia="Calibri" w:hAnsi="Calibri"/>
          <w:sz w:val="22"/>
          <w:szCs w:val="22"/>
        </w:rPr>
        <w:t xml:space="preserve">Curso de manipulador de alimentos (Art. 60 DS 977/96): obligatorio para todo el personal con contacto con alimentos, incluso si los productos vienen envasados. Duración 10 horas, vigencia 3 años, costo aproximado CLP 35.000 por persona en OTEC autorizada.</w:t>
      </w:r>
    </w:p>
    <w:p>
      <w:pPr>
        <w:pStyle w:val="ListParagraph"/>
        <w:numPr>
          <w:ilvl w:val="0"/>
          <w:numId w:val="1"/>
        </w:numPr>
        <w:spacing w:after="80" w:line="320"/>
      </w:pPr>
      <w:r>
        <w:rPr>
          <w:rFonts w:ascii="Calibri" w:cs="Calibri" w:eastAsia="Calibri" w:hAnsi="Calibri"/>
          <w:sz w:val="22"/>
          <w:szCs w:val="22"/>
        </w:rPr>
        <w:t xml:space="preserve">Capacitación interna en preparación de espresso: protocolo estándar de 60-90 segundos por taza con calibración semanal del molino.</w:t>
      </w:r>
    </w:p>
    <w:p>
      <w:pPr>
        <w:pStyle w:val="ListParagraph"/>
        <w:numPr>
          <w:ilvl w:val="0"/>
          <w:numId w:val="1"/>
        </w:numPr>
        <w:spacing w:after="80" w:line="320"/>
      </w:pPr>
      <w:r>
        <w:rPr>
          <w:rFonts w:ascii="Calibri" w:cs="Calibri" w:eastAsia="Calibri" w:hAnsi="Calibri"/>
          <w:sz w:val="22"/>
          <w:szCs w:val="22"/>
        </w:rPr>
        <w:t xml:space="preserve">Capacitación en atención al cliente: técnicas de venta, manejo del POS, resolución de quejas.</w:t>
      </w:r>
    </w:p>
    <w:p>
      <w:r>
        <w:br w:type="page"/>
      </w:r>
    </w:p>
    <w:p>
      <w:pPr>
        <w:pStyle w:val="Heading1"/>
        <w:spacing w:after="240" w:before="480"/>
      </w:pPr>
      <w:r>
        <w:rPr>
          <w:rFonts w:ascii="Cambria" w:cs="Cambria" w:eastAsia="Cambria" w:hAnsi="Cambria"/>
          <w:b/>
          <w:bCs/>
          <w:color w:val="1F2937"/>
          <w:sz w:val="32"/>
          <w:szCs w:val="32"/>
        </w:rPr>
        <w:t xml:space="preserve">8. Plan de inversiones</w:t>
      </w:r>
    </w:p>
    <w:p>
      <w:pPr>
        <w:pStyle w:val="Heading2"/>
        <w:spacing w:after="160" w:before="320"/>
      </w:pPr>
      <w:r>
        <w:rPr>
          <w:rFonts w:ascii="Cambria" w:cs="Cambria" w:eastAsia="Cambria" w:hAnsi="Cambria"/>
          <w:b/>
          <w:bCs/>
          <w:color w:val="374151"/>
          <w:sz w:val="26"/>
          <w:szCs w:val="26"/>
        </w:rPr>
        <w:t xml:space="preserve">8.1 Inversión inicial total</w:t>
      </w:r>
    </w:p>
    <w:tbl>
      <w:tblPr>
        <w:tblW w:type="pct" w:w="100%"/>
        <w:tblBorders>
          <w:top w:val="single" w:color="111827" w:sz="6"/>
          <w:left w:val="none" w:color="FFFFFF" w:sz="0"/>
          <w:bottom w:val="single" w:color="111827" w:sz="6"/>
          <w:right w:val="none" w:color="FFFFFF" w:sz="0"/>
          <w:insideH w:val="single" w:color="D1D5DB" w:sz="2"/>
          <w:insideV w:val="none" w:color="FFFFFF" w:sz="0"/>
        </w:tblBorders>
      </w:tblPr>
      <w:tblGrid>
        <w:gridCol w:w="100"/>
        <w:gridCol w:w="100"/>
      </w:tblGrid>
      <w:tr>
        <w:trPr>
          <w:tblHeader/>
        </w:trPr>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Concepto</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Monto CLP</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Activos físicos depreciables</w:t>
            </w:r>
          </w:p>
        </w:tc>
        <w:tc>
          <w:tcPr>
            <w:tcMar>
              <w:top w:type="dxa" w:w="120"/>
              <w:left w:type="dxa" w:w="100"/>
              <w:bottom w:type="dxa" w:w="120"/>
              <w:right w:type="dxa" w:w="100"/>
            </w:tcMar>
          </w:tcPr>
          <w:p>
            <w:pPr>
              <w:jc w:val="left"/>
            </w:pPr>
            <w:r>
              <w:rPr>
                <w:rFonts w:ascii="Calibri" w:cs="Calibri" w:eastAsia="Calibri" w:hAnsi="Calibri"/>
                <w:sz w:val="18"/>
                <w:szCs w:val="18"/>
              </w:rPr>
              <w:t xml:space="preserve">20.500.000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Capital de trabajo (4 meses de egresos)</w:t>
            </w:r>
          </w:p>
        </w:tc>
        <w:tc>
          <w:tcPr>
            <w:tcMar>
              <w:top w:type="dxa" w:w="120"/>
              <w:left w:type="dxa" w:w="100"/>
              <w:bottom w:type="dxa" w:w="120"/>
              <w:right w:type="dxa" w:w="100"/>
            </w:tcMar>
          </w:tcPr>
          <w:p>
            <w:pPr>
              <w:jc w:val="left"/>
            </w:pPr>
            <w:r>
              <w:rPr>
                <w:rFonts w:ascii="Calibri" w:cs="Calibri" w:eastAsia="Calibri" w:hAnsi="Calibri"/>
                <w:sz w:val="18"/>
                <w:szCs w:val="18"/>
              </w:rPr>
              <w:t xml:space="preserve">9.500.000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Permisos y trámites iniciales</w:t>
            </w:r>
          </w:p>
        </w:tc>
        <w:tc>
          <w:tcPr>
            <w:tcMar>
              <w:top w:type="dxa" w:w="120"/>
              <w:left w:type="dxa" w:w="100"/>
              <w:bottom w:type="dxa" w:w="120"/>
              <w:right w:type="dxa" w:w="100"/>
            </w:tcMar>
          </w:tcPr>
          <w:p>
            <w:pPr>
              <w:jc w:val="left"/>
            </w:pPr>
            <w:r>
              <w:rPr>
                <w:rFonts w:ascii="Calibri" w:cs="Calibri" w:eastAsia="Calibri" w:hAnsi="Calibri"/>
                <w:sz w:val="18"/>
                <w:szCs w:val="18"/>
              </w:rPr>
              <w:t xml:space="preserve">700.000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TOTAL INVERSIÓN INICIAL</w:t>
            </w:r>
          </w:p>
        </w:tc>
        <w:tc>
          <w:tcPr>
            <w:tcMar>
              <w:top w:type="dxa" w:w="120"/>
              <w:left w:type="dxa" w:w="100"/>
              <w:bottom w:type="dxa" w:w="120"/>
              <w:right w:type="dxa" w:w="100"/>
            </w:tcMar>
          </w:tcPr>
          <w:p>
            <w:pPr>
              <w:jc w:val="left"/>
            </w:pPr>
            <w:r>
              <w:rPr>
                <w:rFonts w:ascii="Calibri" w:cs="Calibri" w:eastAsia="Calibri" w:hAnsi="Calibri"/>
                <w:sz w:val="18"/>
                <w:szCs w:val="18"/>
              </w:rPr>
              <w:t xml:space="preserve">30.700.000</w:t>
            </w:r>
          </w:p>
        </w:tc>
      </w:tr>
    </w:tbl>
    <w:p>
      <w:pPr>
        <w:spacing w:after="240" w:before="60"/>
        <w:jc w:val="center"/>
      </w:pPr>
      <w:r>
        <w:rPr>
          <w:rFonts w:ascii="Calibri" w:cs="Calibri" w:eastAsia="Calibri" w:hAnsi="Calibri"/>
          <w:i/>
          <w:iCs/>
          <w:color w:val="6B7280"/>
          <w:sz w:val="18"/>
          <w:szCs w:val="18"/>
        </w:rPr>
        <w:t xml:space="preserve">Tabla 8.1 — Inversión inicial total estimada para localización promedio.</w:t>
      </w:r>
    </w:p>
    <w:p>
      <w:pPr>
        <w:pStyle w:val="Heading2"/>
        <w:spacing w:after="160" w:before="320"/>
      </w:pPr>
      <w:r>
        <w:rPr>
          <w:rFonts w:ascii="Cambria" w:cs="Cambria" w:eastAsia="Cambria" w:hAnsi="Cambria"/>
          <w:b/>
          <w:bCs/>
          <w:color w:val="374151"/>
          <w:sz w:val="26"/>
          <w:szCs w:val="26"/>
        </w:rPr>
        <w:t xml:space="preserve">8.2 Capital de trabajo</w:t>
      </w:r>
    </w:p>
    <w:p>
      <w:pPr>
        <w:spacing w:after="160" w:line="360"/>
        <w:jc w:val="both"/>
      </w:pPr>
      <w:r>
        <w:rPr>
          <w:rFonts w:ascii="Calibri" w:cs="Calibri" w:eastAsia="Calibri" w:hAnsi="Calibri"/>
          <w:sz w:val="22"/>
          <w:szCs w:val="22"/>
        </w:rPr>
        <w:t xml:space="preserve">Se estima como cuatro meses de egresos desembolsables (suma de costos variables, costos fijos no laborales y planilla del año uno, dividida por tres). Esta convención del curso EVP UAH refleja el efectivo necesario para sostener la operación entre ciclos de cobro y pago. El capital de trabajo se recupera en su integridad en el último período del proyecto.</w:t>
      </w:r>
    </w:p>
    <w:p>
      <w:pPr>
        <w:pStyle w:val="Heading2"/>
        <w:spacing w:after="160" w:before="320"/>
      </w:pPr>
      <w:r>
        <w:rPr>
          <w:rFonts w:ascii="Cambria" w:cs="Cambria" w:eastAsia="Cambria" w:hAnsi="Cambria"/>
          <w:b/>
          <w:bCs/>
          <w:color w:val="374151"/>
          <w:sz w:val="26"/>
          <w:szCs w:val="26"/>
        </w:rPr>
        <w:t xml:space="preserve">8.3 Cronograma de inversión</w:t>
      </w:r>
    </w:p>
    <w:p>
      <w:pPr>
        <w:spacing w:after="160" w:line="360"/>
        <w:jc w:val="both"/>
      </w:pPr>
      <w:r>
        <w:rPr>
          <w:rFonts w:ascii="Calibri" w:cs="Calibri" w:eastAsia="Calibri" w:hAnsi="Calibri"/>
          <w:sz w:val="22"/>
          <w:szCs w:val="22"/>
        </w:rPr>
        <w:t xml:space="preserve">El cronograma propuesto cubre 12 semanas desde la firma del contrato de arriendo hasta la apertura del local:</w:t>
      </w:r>
    </w:p>
    <w:p>
      <w:pPr>
        <w:pStyle w:val="ListParagraph"/>
        <w:numPr>
          <w:ilvl w:val="0"/>
          <w:numId w:val="1"/>
        </w:numPr>
        <w:spacing w:after="80" w:line="320"/>
      </w:pPr>
      <w:r>
        <w:rPr>
          <w:rFonts w:ascii="Calibri" w:cs="Calibri" w:eastAsia="Calibri" w:hAnsi="Calibri"/>
          <w:sz w:val="22"/>
          <w:szCs w:val="22"/>
        </w:rPr>
        <w:t xml:space="preserve">Semanas 1-3: tramitación de patente comercial municipal y registro inicio de actividades en SII.</w:t>
      </w:r>
    </w:p>
    <w:p>
      <w:pPr>
        <w:pStyle w:val="ListParagraph"/>
        <w:numPr>
          <w:ilvl w:val="0"/>
          <w:numId w:val="1"/>
        </w:numPr>
        <w:spacing w:after="80" w:line="320"/>
      </w:pPr>
      <w:r>
        <w:rPr>
          <w:rFonts w:ascii="Calibri" w:cs="Calibri" w:eastAsia="Calibri" w:hAnsi="Calibri"/>
          <w:sz w:val="22"/>
          <w:szCs w:val="22"/>
        </w:rPr>
        <w:t xml:space="preserve">Semanas 2-5: solicitud de informe sanitario SEREMI y curso de manipuladores de alimentos para los baristas seleccionados.</w:t>
      </w:r>
    </w:p>
    <w:p>
      <w:pPr>
        <w:pStyle w:val="ListParagraph"/>
        <w:numPr>
          <w:ilvl w:val="0"/>
          <w:numId w:val="1"/>
        </w:numPr>
        <w:spacing w:after="80" w:line="320"/>
      </w:pPr>
      <w:r>
        <w:rPr>
          <w:rFonts w:ascii="Calibri" w:cs="Calibri" w:eastAsia="Calibri" w:hAnsi="Calibri"/>
          <w:sz w:val="22"/>
          <w:szCs w:val="22"/>
        </w:rPr>
        <w:t xml:space="preserve">Semanas 4-9: obras menores de habilitación (electricidad, sanitaria, cocina simple, decoración interior).</w:t>
      </w:r>
    </w:p>
    <w:p>
      <w:pPr>
        <w:pStyle w:val="ListParagraph"/>
        <w:numPr>
          <w:ilvl w:val="0"/>
          <w:numId w:val="1"/>
        </w:numPr>
        <w:spacing w:after="80" w:line="320"/>
      </w:pPr>
      <w:r>
        <w:rPr>
          <w:rFonts w:ascii="Calibri" w:cs="Calibri" w:eastAsia="Calibri" w:hAnsi="Calibri"/>
          <w:sz w:val="22"/>
          <w:szCs w:val="22"/>
        </w:rPr>
        <w:t xml:space="preserve">Semanas 6-10: compra e instalación de equipamiento principal (máquina espresso, molino, vitrina refrigerada, mobiliario).</w:t>
      </w:r>
    </w:p>
    <w:p>
      <w:pPr>
        <w:pStyle w:val="ListParagraph"/>
        <w:numPr>
          <w:ilvl w:val="0"/>
          <w:numId w:val="1"/>
        </w:numPr>
        <w:spacing w:after="80" w:line="320"/>
      </w:pPr>
      <w:r>
        <w:rPr>
          <w:rFonts w:ascii="Calibri" w:cs="Calibri" w:eastAsia="Calibri" w:hAnsi="Calibri"/>
          <w:sz w:val="22"/>
          <w:szCs w:val="22"/>
        </w:rPr>
        <w:t xml:space="preserve">Semanas 9-11: contratación y capacitación de personal, certificación de manipuladores, ensayos operacionales.</w:t>
      </w:r>
    </w:p>
    <w:p>
      <w:pPr>
        <w:pStyle w:val="ListParagraph"/>
        <w:numPr>
          <w:ilvl w:val="0"/>
          <w:numId w:val="1"/>
        </w:numPr>
        <w:spacing w:after="80" w:line="320"/>
      </w:pPr>
      <w:r>
        <w:rPr>
          <w:rFonts w:ascii="Calibri" w:cs="Calibri" w:eastAsia="Calibri" w:hAnsi="Calibri"/>
          <w:sz w:val="22"/>
          <w:szCs w:val="22"/>
        </w:rPr>
        <w:t xml:space="preserve">Semanas 10-12: marketing pre-apertura (Instagram, Google Maps, prensa local, comunidad de vecinos).</w:t>
      </w:r>
    </w:p>
    <w:p>
      <w:pPr>
        <w:pStyle w:val="ListParagraph"/>
        <w:numPr>
          <w:ilvl w:val="0"/>
          <w:numId w:val="1"/>
        </w:numPr>
        <w:spacing w:after="80" w:line="320"/>
      </w:pPr>
      <w:r>
        <w:rPr>
          <w:rFonts w:ascii="Calibri" w:cs="Calibri" w:eastAsia="Calibri" w:hAnsi="Calibri"/>
          <w:sz w:val="22"/>
          <w:szCs w:val="22"/>
        </w:rPr>
        <w:t xml:space="preserve">Semana 12: apertura efectiva al público.</w:t>
      </w:r>
    </w:p>
    <w:p>
      <w:r>
        <w:br w:type="page"/>
      </w:r>
    </w:p>
    <w:p>
      <w:pPr>
        <w:pStyle w:val="Heading1"/>
        <w:spacing w:after="240" w:before="480"/>
      </w:pPr>
      <w:r>
        <w:rPr>
          <w:rFonts w:ascii="Cambria" w:cs="Cambria" w:eastAsia="Cambria" w:hAnsi="Cambria"/>
          <w:b/>
          <w:bCs/>
          <w:color w:val="1F2937"/>
          <w:sz w:val="32"/>
          <w:szCs w:val="32"/>
        </w:rPr>
        <w:t xml:space="preserve">9. Estructura de costos</w:t>
      </w:r>
    </w:p>
    <w:p>
      <w:pPr>
        <w:pStyle w:val="Heading2"/>
        <w:spacing w:after="160" w:before="320"/>
      </w:pPr>
      <w:r>
        <w:rPr>
          <w:rFonts w:ascii="Cambria" w:cs="Cambria" w:eastAsia="Cambria" w:hAnsi="Cambria"/>
          <w:b/>
          <w:bCs/>
          <w:color w:val="374151"/>
          <w:sz w:val="26"/>
          <w:szCs w:val="26"/>
        </w:rPr>
        <w:t xml:space="preserve">9.1 Costos variables</w:t>
      </w:r>
    </w:p>
    <w:p>
      <w:pPr>
        <w:spacing w:after="160" w:line="360"/>
        <w:jc w:val="both"/>
      </w:pPr>
      <w:r>
        <w:rPr>
          <w:rFonts w:ascii="Calibri" w:cs="Calibri" w:eastAsia="Calibri" w:hAnsi="Calibri"/>
          <w:sz w:val="22"/>
          <w:szCs w:val="22"/>
        </w:rPr>
        <w:t xml:space="preserve">El único costo variable significativo es el costo unitario del combo, estimado en CLP 1.100 por unidad. Esta cifra incluye tres componentes:</w:t>
      </w:r>
    </w:p>
    <w:p>
      <w:pPr>
        <w:pStyle w:val="ListParagraph"/>
        <w:numPr>
          <w:ilvl w:val="0"/>
          <w:numId w:val="1"/>
        </w:numPr>
        <w:spacing w:after="80" w:line="320"/>
      </w:pPr>
      <w:r>
        <w:rPr>
          <w:rFonts w:ascii="Calibri" w:cs="Calibri" w:eastAsia="Calibri" w:hAnsi="Calibri"/>
          <w:sz w:val="22"/>
          <w:szCs w:val="22"/>
        </w:rPr>
        <w:t xml:space="preserve">Café espresso preparado in-situ: aproximadamente CLP 250 por taza (granos tostados + leche + insumos menores).</w:t>
      </w:r>
    </w:p>
    <w:p>
      <w:pPr>
        <w:pStyle w:val="ListParagraph"/>
        <w:numPr>
          <w:ilvl w:val="0"/>
          <w:numId w:val="1"/>
        </w:numPr>
        <w:spacing w:after="80" w:line="320"/>
      </w:pPr>
      <w:r>
        <w:rPr>
          <w:rFonts w:ascii="Calibri" w:cs="Calibri" w:eastAsia="Calibri" w:hAnsi="Calibri"/>
          <w:sz w:val="22"/>
          <w:szCs w:val="22"/>
        </w:rPr>
        <w:t xml:space="preserve">Alimento envasado del proveedor: aproximadamente CLP 750 por unidad (factura promedio negociada con proveedores certificados como Carozzi Food Service o Watt's Alimentos).</w:t>
      </w:r>
    </w:p>
    <w:p>
      <w:pPr>
        <w:pStyle w:val="ListParagraph"/>
        <w:numPr>
          <w:ilvl w:val="0"/>
          <w:numId w:val="1"/>
        </w:numPr>
        <w:spacing w:after="80" w:line="320"/>
      </w:pPr>
      <w:r>
        <w:rPr>
          <w:rFonts w:ascii="Calibri" w:cs="Calibri" w:eastAsia="Calibri" w:hAnsi="Calibri"/>
          <w:sz w:val="22"/>
          <w:szCs w:val="22"/>
        </w:rPr>
        <w:t xml:space="preserve">Vaso take-away, tapa y sleeve: aproximadamente CLP 100 por unidad.</w:t>
      </w:r>
    </w:p>
    <w:p>
      <w:pPr>
        <w:pStyle w:val="Heading2"/>
        <w:spacing w:after="160" w:before="320"/>
      </w:pPr>
      <w:r>
        <w:rPr>
          <w:rFonts w:ascii="Cambria" w:cs="Cambria" w:eastAsia="Cambria" w:hAnsi="Cambria"/>
          <w:b/>
          <w:bCs/>
          <w:color w:val="374151"/>
          <w:sz w:val="26"/>
          <w:szCs w:val="26"/>
        </w:rPr>
        <w:t xml:space="preserve">9.2 Costos fijos mensuales</w:t>
      </w:r>
    </w:p>
    <w:p>
      <w:pPr>
        <w:spacing w:after="160" w:line="360"/>
        <w:jc w:val="both"/>
      </w:pPr>
      <w:r>
        <w:rPr>
          <w:rFonts w:ascii="Calibri" w:cs="Calibri" w:eastAsia="Calibri" w:hAnsi="Calibri"/>
          <w:sz w:val="22"/>
          <w:szCs w:val="22"/>
        </w:rPr>
        <w:t xml:space="preserve">La estructura de costos fijos varía significativamente según la localización por el componente de arriendo. La Tabla 9.1 presenta el desglose para una localización típica (Apoquindo · Las Condes).</w:t>
      </w:r>
    </w:p>
    <w:tbl>
      <w:tblPr>
        <w:tblW w:type="pct" w:w="100%"/>
        <w:tblBorders>
          <w:top w:val="single" w:color="111827" w:sz="6"/>
          <w:left w:val="none" w:color="FFFFFF" w:sz="0"/>
          <w:bottom w:val="single" w:color="111827" w:sz="6"/>
          <w:right w:val="none" w:color="FFFFFF" w:sz="0"/>
          <w:insideH w:val="single" w:color="D1D5DB" w:sz="2"/>
          <w:insideV w:val="none" w:color="FFFFFF" w:sz="0"/>
        </w:tblBorders>
      </w:tblPr>
      <w:tblGrid>
        <w:gridCol w:w="100"/>
        <w:gridCol w:w="100"/>
        <w:gridCol w:w="100"/>
      </w:tblGrid>
      <w:tr>
        <w:trPr>
          <w:tblHeader/>
        </w:trPr>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Concepto</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Mensual</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Anual</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Arriendo (35 m² × 0,75 UF/m² × $39.500)</w:t>
            </w:r>
          </w:p>
        </w:tc>
        <w:tc>
          <w:tcPr>
            <w:tcMar>
              <w:top w:type="dxa" w:w="120"/>
              <w:left w:type="dxa" w:w="100"/>
              <w:bottom w:type="dxa" w:w="120"/>
              <w:right w:type="dxa" w:w="100"/>
            </w:tcMar>
          </w:tcPr>
          <w:p>
            <w:pPr>
              <w:jc w:val="left"/>
            </w:pPr>
            <w:r>
              <w:rPr>
                <w:rFonts w:ascii="Calibri" w:cs="Calibri" w:eastAsia="Calibri" w:hAnsi="Calibri"/>
                <w:sz w:val="18"/>
                <w:szCs w:val="18"/>
              </w:rPr>
              <w:t xml:space="preserve">$1.038.000</w:t>
            </w:r>
          </w:p>
        </w:tc>
        <w:tc>
          <w:tcPr>
            <w:tcMar>
              <w:top w:type="dxa" w:w="120"/>
              <w:left w:type="dxa" w:w="100"/>
              <w:bottom w:type="dxa" w:w="120"/>
              <w:right w:type="dxa" w:w="100"/>
            </w:tcMar>
          </w:tcPr>
          <w:p>
            <w:pPr>
              <w:jc w:val="left"/>
            </w:pPr>
            <w:r>
              <w:rPr>
                <w:rFonts w:ascii="Calibri" w:cs="Calibri" w:eastAsia="Calibri" w:hAnsi="Calibri"/>
                <w:sz w:val="18"/>
                <w:szCs w:val="18"/>
              </w:rPr>
              <w:t xml:space="preserve">$12.456.000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Gastos comunes</w:t>
            </w:r>
          </w:p>
        </w:tc>
        <w:tc>
          <w:tcPr>
            <w:tcMar>
              <w:top w:type="dxa" w:w="120"/>
              <w:left w:type="dxa" w:w="100"/>
              <w:bottom w:type="dxa" w:w="120"/>
              <w:right w:type="dxa" w:w="100"/>
            </w:tcMar>
          </w:tcPr>
          <w:p>
            <w:pPr>
              <w:jc w:val="left"/>
            </w:pPr>
            <w:r>
              <w:rPr>
                <w:rFonts w:ascii="Calibri" w:cs="Calibri" w:eastAsia="Calibri" w:hAnsi="Calibri"/>
                <w:sz w:val="18"/>
                <w:szCs w:val="18"/>
              </w:rPr>
              <w:t xml:space="preserve">$180.000</w:t>
            </w:r>
          </w:p>
        </w:tc>
        <w:tc>
          <w:tcPr>
            <w:tcMar>
              <w:top w:type="dxa" w:w="120"/>
              <w:left w:type="dxa" w:w="100"/>
              <w:bottom w:type="dxa" w:w="120"/>
              <w:right w:type="dxa" w:w="100"/>
            </w:tcMar>
          </w:tcPr>
          <w:p>
            <w:pPr>
              <w:jc w:val="left"/>
            </w:pPr>
            <w:r>
              <w:rPr>
                <w:rFonts w:ascii="Calibri" w:cs="Calibri" w:eastAsia="Calibri" w:hAnsi="Calibri"/>
                <w:sz w:val="18"/>
                <w:szCs w:val="18"/>
              </w:rPr>
              <w:t xml:space="preserve">$2.160.000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Contribuciones (proporción mensual)</w:t>
            </w:r>
          </w:p>
        </w:tc>
        <w:tc>
          <w:tcPr>
            <w:tcMar>
              <w:top w:type="dxa" w:w="120"/>
              <w:left w:type="dxa" w:w="100"/>
              <w:bottom w:type="dxa" w:w="120"/>
              <w:right w:type="dxa" w:w="100"/>
            </w:tcMar>
          </w:tcPr>
          <w:p>
            <w:pPr>
              <w:jc w:val="left"/>
            </w:pPr>
            <w:r>
              <w:rPr>
                <w:rFonts w:ascii="Calibri" w:cs="Calibri" w:eastAsia="Calibri" w:hAnsi="Calibri"/>
                <w:sz w:val="18"/>
                <w:szCs w:val="18"/>
              </w:rPr>
              <w:t xml:space="preserve">$75.000</w:t>
            </w:r>
          </w:p>
        </w:tc>
        <w:tc>
          <w:tcPr>
            <w:tcMar>
              <w:top w:type="dxa" w:w="120"/>
              <w:left w:type="dxa" w:w="100"/>
              <w:bottom w:type="dxa" w:w="120"/>
              <w:right w:type="dxa" w:w="100"/>
            </w:tcMar>
          </w:tcPr>
          <w:p>
            <w:pPr>
              <w:jc w:val="left"/>
            </w:pPr>
            <w:r>
              <w:rPr>
                <w:rFonts w:ascii="Calibri" w:cs="Calibri" w:eastAsia="Calibri" w:hAnsi="Calibri"/>
                <w:sz w:val="18"/>
                <w:szCs w:val="18"/>
              </w:rPr>
              <w:t xml:space="preserve">$900.000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Servicios básicos (luz, gas, agua, internet)</w:t>
            </w:r>
          </w:p>
        </w:tc>
        <w:tc>
          <w:tcPr>
            <w:tcMar>
              <w:top w:type="dxa" w:w="120"/>
              <w:left w:type="dxa" w:w="100"/>
              <w:bottom w:type="dxa" w:w="120"/>
              <w:right w:type="dxa" w:w="100"/>
            </w:tcMar>
          </w:tcPr>
          <w:p>
            <w:pPr>
              <w:jc w:val="left"/>
            </w:pPr>
            <w:r>
              <w:rPr>
                <w:rFonts w:ascii="Calibri" w:cs="Calibri" w:eastAsia="Calibri" w:hAnsi="Calibri"/>
                <w:sz w:val="18"/>
                <w:szCs w:val="18"/>
              </w:rPr>
              <w:t xml:space="preserve">$220.000</w:t>
            </w:r>
          </w:p>
        </w:tc>
        <w:tc>
          <w:tcPr>
            <w:tcMar>
              <w:top w:type="dxa" w:w="120"/>
              <w:left w:type="dxa" w:w="100"/>
              <w:bottom w:type="dxa" w:w="120"/>
              <w:right w:type="dxa" w:w="100"/>
            </w:tcMar>
          </w:tcPr>
          <w:p>
            <w:pPr>
              <w:jc w:val="left"/>
            </w:pPr>
            <w:r>
              <w:rPr>
                <w:rFonts w:ascii="Calibri" w:cs="Calibri" w:eastAsia="Calibri" w:hAnsi="Calibri"/>
                <w:sz w:val="18"/>
                <w:szCs w:val="18"/>
              </w:rPr>
              <w:t xml:space="preserve">$2.640.000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Insumos no variables (descalcificación, limpieza, etc.)</w:t>
            </w:r>
          </w:p>
        </w:tc>
        <w:tc>
          <w:tcPr>
            <w:tcMar>
              <w:top w:type="dxa" w:w="120"/>
              <w:left w:type="dxa" w:w="100"/>
              <w:bottom w:type="dxa" w:w="120"/>
              <w:right w:type="dxa" w:w="100"/>
            </w:tcMar>
          </w:tcPr>
          <w:p>
            <w:pPr>
              <w:jc w:val="left"/>
            </w:pPr>
            <w:r>
              <w:rPr>
                <w:rFonts w:ascii="Calibri" w:cs="Calibri" w:eastAsia="Calibri" w:hAnsi="Calibri"/>
                <w:sz w:val="18"/>
                <w:szCs w:val="18"/>
              </w:rPr>
              <w:t xml:space="preserve">$130.000</w:t>
            </w:r>
          </w:p>
        </w:tc>
        <w:tc>
          <w:tcPr>
            <w:tcMar>
              <w:top w:type="dxa" w:w="120"/>
              <w:left w:type="dxa" w:w="100"/>
              <w:bottom w:type="dxa" w:w="120"/>
              <w:right w:type="dxa" w:w="100"/>
            </w:tcMar>
          </w:tcPr>
          <w:p>
            <w:pPr>
              <w:jc w:val="left"/>
            </w:pPr>
            <w:r>
              <w:rPr>
                <w:rFonts w:ascii="Calibri" w:cs="Calibri" w:eastAsia="Calibri" w:hAnsi="Calibri"/>
                <w:sz w:val="18"/>
                <w:szCs w:val="18"/>
              </w:rPr>
              <w:t xml:space="preserve">$1.560.000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Subtotal fijos no laborales</w:t>
            </w:r>
          </w:p>
        </w:tc>
        <w:tc>
          <w:tcPr>
            <w:tcMar>
              <w:top w:type="dxa" w:w="120"/>
              <w:left w:type="dxa" w:w="100"/>
              <w:bottom w:type="dxa" w:w="120"/>
              <w:right w:type="dxa" w:w="100"/>
            </w:tcMar>
          </w:tcPr>
          <w:p>
            <w:pPr>
              <w:jc w:val="left"/>
            </w:pPr>
            <w:r>
              <w:rPr>
                <w:rFonts w:ascii="Calibri" w:cs="Calibri" w:eastAsia="Calibri" w:hAnsi="Calibri"/>
                <w:sz w:val="18"/>
                <w:szCs w:val="18"/>
              </w:rPr>
              <w:t xml:space="preserve">$1.643.000</w:t>
            </w:r>
          </w:p>
        </w:tc>
        <w:tc>
          <w:tcPr>
            <w:tcMar>
              <w:top w:type="dxa" w:w="120"/>
              <w:left w:type="dxa" w:w="100"/>
              <w:bottom w:type="dxa" w:w="120"/>
              <w:right w:type="dxa" w:w="100"/>
            </w:tcMar>
          </w:tcPr>
          <w:p>
            <w:pPr>
              <w:jc w:val="left"/>
            </w:pPr>
            <w:r>
              <w:rPr>
                <w:rFonts w:ascii="Calibri" w:cs="Calibri" w:eastAsia="Calibri" w:hAnsi="Calibri"/>
                <w:sz w:val="18"/>
                <w:szCs w:val="18"/>
              </w:rPr>
              <w:t xml:space="preserve">$19.716.000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Costo de planilla (3 personas con cargas)</w:t>
            </w:r>
          </w:p>
        </w:tc>
        <w:tc>
          <w:tcPr>
            <w:tcMar>
              <w:top w:type="dxa" w:w="120"/>
              <w:left w:type="dxa" w:w="100"/>
              <w:bottom w:type="dxa" w:w="120"/>
              <w:right w:type="dxa" w:w="100"/>
            </w:tcMar>
          </w:tcPr>
          <w:p>
            <w:pPr>
              <w:jc w:val="left"/>
            </w:pPr>
            <w:r>
              <w:rPr>
                <w:rFonts w:ascii="Calibri" w:cs="Calibri" w:eastAsia="Calibri" w:hAnsi="Calibri"/>
                <w:sz w:val="18"/>
                <w:szCs w:val="18"/>
              </w:rPr>
              <w:t xml:space="preserve">$2.957.000</w:t>
            </w:r>
          </w:p>
        </w:tc>
        <w:tc>
          <w:tcPr>
            <w:tcMar>
              <w:top w:type="dxa" w:w="120"/>
              <w:left w:type="dxa" w:w="100"/>
              <w:bottom w:type="dxa" w:w="120"/>
              <w:right w:type="dxa" w:w="100"/>
            </w:tcMar>
          </w:tcPr>
          <w:p>
            <w:pPr>
              <w:jc w:val="left"/>
            </w:pPr>
            <w:r>
              <w:rPr>
                <w:rFonts w:ascii="Calibri" w:cs="Calibri" w:eastAsia="Calibri" w:hAnsi="Calibri"/>
                <w:sz w:val="18"/>
                <w:szCs w:val="18"/>
              </w:rPr>
              <w:t xml:space="preserve">$35.484.000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Costos normativos (basura, publicidad, contingencias)</w:t>
            </w:r>
          </w:p>
        </w:tc>
        <w:tc>
          <w:tcPr>
            <w:tcMar>
              <w:top w:type="dxa" w:w="120"/>
              <w:left w:type="dxa" w:w="100"/>
              <w:bottom w:type="dxa" w:w="120"/>
              <w:right w:type="dxa" w:w="100"/>
            </w:tcMar>
          </w:tcPr>
          <w:p>
            <w:pPr>
              <w:jc w:val="left"/>
            </w:pPr>
            <w:r>
              <w:rPr>
                <w:rFonts w:ascii="Calibri" w:cs="Calibri" w:eastAsia="Calibri" w:hAnsi="Calibri"/>
                <w:sz w:val="18"/>
                <w:szCs w:val="18"/>
              </w:rPr>
              <w:t xml:space="preserve">$72.000</w:t>
            </w:r>
          </w:p>
        </w:tc>
        <w:tc>
          <w:tcPr>
            <w:tcMar>
              <w:top w:type="dxa" w:w="120"/>
              <w:left w:type="dxa" w:w="100"/>
              <w:bottom w:type="dxa" w:w="120"/>
              <w:right w:type="dxa" w:w="100"/>
            </w:tcMar>
          </w:tcPr>
          <w:p>
            <w:pPr>
              <w:jc w:val="left"/>
            </w:pPr>
            <w:r>
              <w:rPr>
                <w:rFonts w:ascii="Calibri" w:cs="Calibri" w:eastAsia="Calibri" w:hAnsi="Calibri"/>
                <w:sz w:val="18"/>
                <w:szCs w:val="18"/>
              </w:rPr>
              <w:t xml:space="preserve">$864.000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TOTAL costos fijos</w:t>
            </w:r>
          </w:p>
        </w:tc>
        <w:tc>
          <w:tcPr>
            <w:tcMar>
              <w:top w:type="dxa" w:w="120"/>
              <w:left w:type="dxa" w:w="100"/>
              <w:bottom w:type="dxa" w:w="120"/>
              <w:right w:type="dxa" w:w="100"/>
            </w:tcMar>
          </w:tcPr>
          <w:p>
            <w:pPr>
              <w:jc w:val="left"/>
            </w:pPr>
            <w:r>
              <w:rPr>
                <w:rFonts w:ascii="Calibri" w:cs="Calibri" w:eastAsia="Calibri" w:hAnsi="Calibri"/>
                <w:sz w:val="18"/>
                <w:szCs w:val="18"/>
              </w:rPr>
              <w:t xml:space="preserve">$4.672.000</w:t>
            </w:r>
          </w:p>
        </w:tc>
        <w:tc>
          <w:tcPr>
            <w:tcMar>
              <w:top w:type="dxa" w:w="120"/>
              <w:left w:type="dxa" w:w="100"/>
              <w:bottom w:type="dxa" w:w="120"/>
              <w:right w:type="dxa" w:w="100"/>
            </w:tcMar>
          </w:tcPr>
          <w:p>
            <w:pPr>
              <w:jc w:val="left"/>
            </w:pPr>
            <w:r>
              <w:rPr>
                <w:rFonts w:ascii="Calibri" w:cs="Calibri" w:eastAsia="Calibri" w:hAnsi="Calibri"/>
                <w:sz w:val="18"/>
                <w:szCs w:val="18"/>
              </w:rPr>
              <w:t xml:space="preserve">$56.064.000</w:t>
            </w:r>
          </w:p>
        </w:tc>
      </w:tr>
    </w:tbl>
    <w:p>
      <w:pPr>
        <w:spacing w:after="240" w:before="60"/>
        <w:jc w:val="center"/>
      </w:pPr>
      <w:r>
        <w:rPr>
          <w:rFonts w:ascii="Calibri" w:cs="Calibri" w:eastAsia="Calibri" w:hAnsi="Calibri"/>
          <w:i/>
          <w:iCs/>
          <w:color w:val="6B7280"/>
          <w:sz w:val="18"/>
          <w:szCs w:val="18"/>
        </w:rPr>
        <w:t xml:space="preserve">Tabla 9.1 — Estructura de costos fijos para localización Apoquindo. Elaboración propia.</w:t>
      </w:r>
    </w:p>
    <w:p>
      <w:pPr>
        <w:pStyle w:val="Heading2"/>
        <w:spacing w:after="160" w:before="320"/>
      </w:pPr>
      <w:r>
        <w:rPr>
          <w:rFonts w:ascii="Cambria" w:cs="Cambria" w:eastAsia="Cambria" w:hAnsi="Cambria"/>
          <w:b/>
          <w:bCs/>
          <w:color w:val="374151"/>
          <w:sz w:val="26"/>
          <w:szCs w:val="26"/>
        </w:rPr>
        <w:t xml:space="preserve">9.3 Punto de equilibrio operacional</w:t>
      </w:r>
    </w:p>
    <w:p>
      <w:pPr>
        <w:spacing w:after="160" w:line="360"/>
        <w:jc w:val="both"/>
      </w:pPr>
      <w:r>
        <w:rPr>
          <w:rFonts w:ascii="Calibri" w:cs="Calibri" w:eastAsia="Calibri" w:hAnsi="Calibri"/>
          <w:sz w:val="22"/>
          <w:szCs w:val="22"/>
        </w:rPr>
        <w:t xml:space="preserve">Considerando el ticket promedio de CLP 3.500 y el costo variable unitario de CLP 1.100, el margen de contribución unitario es de CLP 2.400 (68,6% del ticket). El punto de equilibrio operacional para cubrir solo costos fijos es:</w:t>
      </w:r>
    </w:p>
    <w:p>
      <w:pPr>
        <w:spacing w:after="100"/>
      </w:pPr>
      <w:r>
        <w:rPr>
          <w:rFonts w:ascii="Consolas" w:cs="Consolas" w:eastAsia="Consolas" w:hAnsi="Consolas"/>
          <w:color w:val="374151"/>
          <w:sz w:val="18"/>
          <w:szCs w:val="18"/>
        </w:rPr>
        <w:t xml:space="preserve">Q_BE = $4.672.000 / $2.400 = 1.947 combos/mes ≈ 75 combos/día</w:t>
      </w:r>
    </w:p>
    <w:p>
      <w:pPr>
        <w:spacing w:after="160" w:line="360"/>
        <w:jc w:val="both"/>
      </w:pPr>
      <w:r>
        <w:rPr>
          <w:rFonts w:ascii="Calibri" w:cs="Calibri" w:eastAsia="Calibri" w:hAnsi="Calibri"/>
          <w:sz w:val="22"/>
          <w:szCs w:val="22"/>
        </w:rPr>
        <w:t xml:space="preserve">Esto significa que el proyecto requiere vender al menos 75 combos diarios solo para cubrir los costos fijos del mes. Para cubrir además la depreciación del capex y generar retorno al inversionista, el break-even financiero es mayor (alrededor de 90-95 combos/día), lo que se calcula con mayor precisión en el modelo financiero.</w:t>
      </w:r>
    </w:p>
    <w:p>
      <w:r>
        <w:br w:type="page"/>
      </w:r>
    </w:p>
    <w:p>
      <w:pPr>
        <w:pStyle w:val="Heading1"/>
        <w:spacing w:after="240" w:before="480"/>
      </w:pPr>
      <w:r>
        <w:rPr>
          <w:rFonts w:ascii="Cambria" w:cs="Cambria" w:eastAsia="Cambria" w:hAnsi="Cambria"/>
          <w:b/>
          <w:bCs/>
          <w:color w:val="1F2937"/>
          <w:sz w:val="32"/>
          <w:szCs w:val="32"/>
        </w:rPr>
        <w:t xml:space="preserve">10. Análisis tributario</w:t>
      </w:r>
    </w:p>
    <w:p>
      <w:pPr>
        <w:pStyle w:val="Heading2"/>
        <w:spacing w:after="160" w:before="320"/>
      </w:pPr>
      <w:r>
        <w:rPr>
          <w:rFonts w:ascii="Cambria" w:cs="Cambria" w:eastAsia="Cambria" w:hAnsi="Cambria"/>
          <w:b/>
          <w:bCs/>
          <w:color w:val="374151"/>
          <w:sz w:val="26"/>
          <w:szCs w:val="26"/>
        </w:rPr>
        <w:t xml:space="preserve">10.1 Régimen aplicable</w:t>
      </w:r>
    </w:p>
    <w:p>
      <w:pPr>
        <w:spacing w:after="160" w:line="360"/>
        <w:jc w:val="both"/>
      </w:pPr>
      <w:r>
        <w:rPr>
          <w:rFonts w:ascii="Calibri" w:cs="Calibri" w:eastAsia="Calibri" w:hAnsi="Calibri"/>
          <w:sz w:val="22"/>
          <w:szCs w:val="22"/>
        </w:rPr>
        <w:t xml:space="preserve">Las ventas anuales proyectadas en el caso base (alrededor de CLP 130 millones para un volumen de 100 combos/día con ticket de CLP 3.500) equivalen a aproximadamente 3.300 UF, situando al proyecto cómodamente dentro del rango del régimen Pro PYME 14 D N° 3 (límite de 75.000 UF). Se recomienda acogerse al régimen Pro PYME al iniciar actividades.</w:t>
      </w:r>
    </w:p>
    <w:p>
      <w:pPr>
        <w:pStyle w:val="Heading2"/>
        <w:spacing w:after="160" w:before="320"/>
      </w:pPr>
      <w:r>
        <w:rPr>
          <w:rFonts w:ascii="Cambria" w:cs="Cambria" w:eastAsia="Cambria" w:hAnsi="Cambria"/>
          <w:b/>
          <w:bCs/>
          <w:color w:val="374151"/>
          <w:sz w:val="26"/>
          <w:szCs w:val="26"/>
        </w:rPr>
        <w:t xml:space="preserve">10.2 Beneficios del régimen Pro PYME 14 D N° 3</w:t>
      </w:r>
    </w:p>
    <w:p>
      <w:pPr>
        <w:pStyle w:val="ListParagraph"/>
        <w:numPr>
          <w:ilvl w:val="0"/>
          <w:numId w:val="1"/>
        </w:numPr>
        <w:spacing w:after="80" w:line="320"/>
      </w:pPr>
      <w:r>
        <w:rPr>
          <w:rFonts w:ascii="Calibri" w:cs="Calibri" w:eastAsia="Calibri" w:hAnsi="Calibri"/>
          <w:sz w:val="22"/>
          <w:szCs w:val="22"/>
        </w:rPr>
        <w:t xml:space="preserve">Tasa de impuesto a la renta de primera categoría reducida al 25% (vs. 27% del régimen general semi-integrado).</w:t>
      </w:r>
    </w:p>
    <w:p>
      <w:pPr>
        <w:pStyle w:val="ListParagraph"/>
        <w:numPr>
          <w:ilvl w:val="0"/>
          <w:numId w:val="1"/>
        </w:numPr>
        <w:spacing w:after="80" w:line="320"/>
      </w:pPr>
      <w:r>
        <w:rPr>
          <w:rFonts w:ascii="Calibri" w:cs="Calibri" w:eastAsia="Calibri" w:hAnsi="Calibri"/>
          <w:sz w:val="22"/>
          <w:szCs w:val="22"/>
        </w:rPr>
        <w:t xml:space="preserve">Depreciación instantánea de los activos físicos depreciables: la totalidad del capex es deducible como gasto en el primer año, lo que genera un escudo tributario significativo en períodos iniciales.</w:t>
      </w:r>
    </w:p>
    <w:p>
      <w:pPr>
        <w:pStyle w:val="ListParagraph"/>
        <w:numPr>
          <w:ilvl w:val="0"/>
          <w:numId w:val="1"/>
        </w:numPr>
        <w:spacing w:after="80" w:line="320"/>
      </w:pPr>
      <w:r>
        <w:rPr>
          <w:rFonts w:ascii="Calibri" w:cs="Calibri" w:eastAsia="Calibri" w:hAnsi="Calibri"/>
          <w:sz w:val="22"/>
          <w:szCs w:val="22"/>
        </w:rPr>
        <w:t xml:space="preserve">Reconocimiento del gasto al pago efectivo (criterio caja) en lugar de al devengo, lo que elimina diferencias temporales con la realidad de tesorería.</w:t>
      </w:r>
    </w:p>
    <w:p>
      <w:pPr>
        <w:pStyle w:val="ListParagraph"/>
        <w:numPr>
          <w:ilvl w:val="0"/>
          <w:numId w:val="1"/>
        </w:numPr>
        <w:spacing w:after="80" w:line="320"/>
      </w:pPr>
      <w:r>
        <w:rPr>
          <w:rFonts w:ascii="Calibri" w:cs="Calibri" w:eastAsia="Calibri" w:hAnsi="Calibri"/>
          <w:sz w:val="22"/>
          <w:szCs w:val="22"/>
        </w:rPr>
        <w:t xml:space="preserve">Exención de pagos provisionales mensuales (PPM) si las ventas anuales son inferiores a 50.000 UF (caso aplicable a este proyecto).</w:t>
      </w:r>
    </w:p>
    <w:p>
      <w:pPr>
        <w:pStyle w:val="ListParagraph"/>
        <w:numPr>
          <w:ilvl w:val="0"/>
          <w:numId w:val="1"/>
        </w:numPr>
        <w:spacing w:after="80" w:line="320"/>
      </w:pPr>
      <w:r>
        <w:rPr>
          <w:rFonts w:ascii="Calibri" w:cs="Calibri" w:eastAsia="Calibri" w:hAnsi="Calibri"/>
          <w:sz w:val="22"/>
          <w:szCs w:val="22"/>
        </w:rPr>
        <w:t xml:space="preserve">Acceso a instrumentos de financiamiento de fomento productivo (CORFO, SERCOTEC, FOSIS) reservados a empresas Pro PYME.</w:t>
      </w:r>
    </w:p>
    <w:p>
      <w:pPr>
        <w:pStyle w:val="Heading2"/>
        <w:spacing w:after="160" w:before="320"/>
      </w:pPr>
      <w:r>
        <w:rPr>
          <w:rFonts w:ascii="Cambria" w:cs="Cambria" w:eastAsia="Cambria" w:hAnsi="Cambria"/>
          <w:b/>
          <w:bCs/>
          <w:color w:val="374151"/>
          <w:sz w:val="26"/>
          <w:szCs w:val="26"/>
        </w:rPr>
        <w:t xml:space="preserve">10.3 Manejo de pérdidas tributarias (Caso 1)</w:t>
      </w:r>
    </w:p>
    <w:p>
      <w:pPr>
        <w:spacing w:after="160" w:line="360"/>
        <w:jc w:val="both"/>
      </w:pPr>
      <w:r>
        <w:rPr>
          <w:rFonts w:ascii="Calibri" w:cs="Calibri" w:eastAsia="Calibri" w:hAnsi="Calibri"/>
          <w:sz w:val="22"/>
          <w:szCs w:val="22"/>
        </w:rPr>
        <w:t xml:space="preserve">Como empresa nueva con RUT independiente, las pérdidas tributarias generadas en períodos con UAI negativa no se pierden: se acumulan como crédito fiscal a favor (calculado como 25% del valor absoluto de la pérdida bajo régimen Pro PYME), descontable contra impuestos de períodos posteriores hasta su agotamiento. El modelo financiero incorpora esta dinámica explícitamente.</w:t>
      </w:r>
    </w:p>
    <w:p>
      <w:pPr>
        <w:pStyle w:val="Heading2"/>
        <w:spacing w:after="160" w:before="320"/>
      </w:pPr>
      <w:r>
        <w:rPr>
          <w:rFonts w:ascii="Cambria" w:cs="Cambria" w:eastAsia="Cambria" w:hAnsi="Cambria"/>
          <w:b/>
          <w:bCs/>
          <w:color w:val="374151"/>
          <w:sz w:val="26"/>
          <w:szCs w:val="26"/>
        </w:rPr>
        <w:t xml:space="preserve">10.4 IVA</w:t>
      </w:r>
    </w:p>
    <w:p>
      <w:pPr>
        <w:spacing w:after="160" w:line="360"/>
        <w:jc w:val="both"/>
      </w:pPr>
      <w:r>
        <w:rPr>
          <w:rFonts w:ascii="Calibri" w:cs="Calibri" w:eastAsia="Calibri" w:hAnsi="Calibri"/>
          <w:sz w:val="22"/>
          <w:szCs w:val="22"/>
        </w:rPr>
        <w:t xml:space="preserve">El IVA débito sobre las ventas (19% aplicado al precio sin IVA) se compensa mensualmente con el IVA crédito sobre las compras. La diferencia neta a pagar se declara mediante el Formulario 29 antes del día 12 del mes siguiente. Para el caso evaluado, el IVA neto a pagar mensualmente es positivo (las ventas son mayores que las compras), pero la magnitud es manejable y no impacta el flujo de caja del proyecto en condiciones normales.</w:t>
      </w:r>
    </w:p>
    <w:p>
      <w:r>
        <w:br w:type="page"/>
      </w:r>
    </w:p>
    <w:p>
      <w:pPr>
        <w:pStyle w:val="Heading1"/>
        <w:spacing w:after="240" w:before="480"/>
      </w:pPr>
      <w:r>
        <w:rPr>
          <w:rFonts w:ascii="Cambria" w:cs="Cambria" w:eastAsia="Cambria" w:hAnsi="Cambria"/>
          <w:b/>
          <w:bCs/>
          <w:color w:val="1F2937"/>
          <w:sz w:val="32"/>
          <w:szCs w:val="32"/>
        </w:rPr>
        <w:t xml:space="preserve">11. Plan de financiamiento</w:t>
      </w:r>
    </w:p>
    <w:p>
      <w:pPr>
        <w:pStyle w:val="Heading2"/>
        <w:spacing w:after="160" w:before="320"/>
      </w:pPr>
      <w:r>
        <w:rPr>
          <w:rFonts w:ascii="Cambria" w:cs="Cambria" w:eastAsia="Cambria" w:hAnsi="Cambria"/>
          <w:b/>
          <w:bCs/>
          <w:color w:val="374151"/>
          <w:sz w:val="26"/>
          <w:szCs w:val="26"/>
        </w:rPr>
        <w:t xml:space="preserve">11.1 Estructura propuesta</w:t>
      </w:r>
    </w:p>
    <w:p>
      <w:pPr>
        <w:spacing w:after="160" w:line="360"/>
        <w:jc w:val="both"/>
      </w:pPr>
      <w:r>
        <w:rPr>
          <w:rFonts w:ascii="Calibri" w:cs="Calibri" w:eastAsia="Calibri" w:hAnsi="Calibri"/>
          <w:sz w:val="22"/>
          <w:szCs w:val="22"/>
        </w:rPr>
        <w:t xml:space="preserve">Se evalúa un escenario de financiamiento mixto con 60% capital propio y 40% deuda bancaria PYME, con las siguientes condiciones:</w:t>
      </w:r>
    </w:p>
    <w:p>
      <w:pPr>
        <w:pStyle w:val="ListParagraph"/>
        <w:numPr>
          <w:ilvl w:val="0"/>
          <w:numId w:val="1"/>
        </w:numPr>
        <w:spacing w:after="80" w:line="320"/>
      </w:pPr>
      <w:r>
        <w:rPr>
          <w:rFonts w:ascii="Calibri" w:cs="Calibri" w:eastAsia="Calibri" w:hAnsi="Calibri"/>
          <w:sz w:val="22"/>
          <w:szCs w:val="22"/>
        </w:rPr>
        <w:t xml:space="preserve">Monto del préstamo: 40% × CLP 30.700.000 = CLP 12.280.000.</w:t>
      </w:r>
    </w:p>
    <w:p>
      <w:pPr>
        <w:pStyle w:val="ListParagraph"/>
        <w:numPr>
          <w:ilvl w:val="0"/>
          <w:numId w:val="1"/>
        </w:numPr>
        <w:spacing w:after="80" w:line="320"/>
      </w:pPr>
      <w:r>
        <w:rPr>
          <w:rFonts w:ascii="Calibri" w:cs="Calibri" w:eastAsia="Calibri" w:hAnsi="Calibri"/>
          <w:sz w:val="22"/>
          <w:szCs w:val="22"/>
        </w:rPr>
        <w:t xml:space="preserve">Tasa de interés anual: 9,5% (referencial banca PYME en Chile, septiembre 2025, para empresas nuevas con garantía CORFO/FOGAPE).</w:t>
      </w:r>
    </w:p>
    <w:p>
      <w:pPr>
        <w:pStyle w:val="ListParagraph"/>
        <w:numPr>
          <w:ilvl w:val="0"/>
          <w:numId w:val="1"/>
        </w:numPr>
        <w:spacing w:after="80" w:line="320"/>
      </w:pPr>
      <w:r>
        <w:rPr>
          <w:rFonts w:ascii="Calibri" w:cs="Calibri" w:eastAsia="Calibri" w:hAnsi="Calibri"/>
          <w:sz w:val="22"/>
          <w:szCs w:val="22"/>
        </w:rPr>
        <w:t xml:space="preserve">Plazo: 5 años con cuotas mensuales constantes (sistema francés).</w:t>
      </w:r>
    </w:p>
    <w:p>
      <w:pPr>
        <w:pStyle w:val="ListParagraph"/>
        <w:numPr>
          <w:ilvl w:val="0"/>
          <w:numId w:val="1"/>
        </w:numPr>
        <w:spacing w:after="80" w:line="320"/>
      </w:pPr>
      <w:r>
        <w:rPr>
          <w:rFonts w:ascii="Calibri" w:cs="Calibri" w:eastAsia="Calibri" w:hAnsi="Calibri"/>
          <w:sz w:val="22"/>
          <w:szCs w:val="22"/>
        </w:rPr>
        <w:t xml:space="preserve">Cuota mensual estimada: aproximadamente CLP 258.000.</w:t>
      </w:r>
    </w:p>
    <w:p>
      <w:pPr>
        <w:pStyle w:val="ListParagraph"/>
        <w:numPr>
          <w:ilvl w:val="0"/>
          <w:numId w:val="1"/>
        </w:numPr>
        <w:spacing w:after="80" w:line="320"/>
      </w:pPr>
      <w:r>
        <w:rPr>
          <w:rFonts w:ascii="Calibri" w:cs="Calibri" w:eastAsia="Calibri" w:hAnsi="Calibri"/>
          <w:sz w:val="22"/>
          <w:szCs w:val="22"/>
        </w:rPr>
        <w:t xml:space="preserve">Garantías: codeudoría personal del inversionista; en algunos casos, garantía hipotecaria adicional según política del banco.</w:t>
      </w:r>
    </w:p>
    <w:p>
      <w:pPr>
        <w:pStyle w:val="Heading2"/>
        <w:spacing w:after="160" w:before="320"/>
      </w:pPr>
      <w:r>
        <w:rPr>
          <w:rFonts w:ascii="Cambria" w:cs="Cambria" w:eastAsia="Cambria" w:hAnsi="Cambria"/>
          <w:b/>
          <w:bCs/>
          <w:color w:val="374151"/>
          <w:sz w:val="26"/>
          <w:szCs w:val="26"/>
        </w:rPr>
        <w:t xml:space="preserve">11.2 Alternativas de financiamiento</w:t>
      </w:r>
    </w:p>
    <w:p>
      <w:pPr>
        <w:spacing w:after="160" w:line="360"/>
        <w:jc w:val="both"/>
      </w:pPr>
      <w:r>
        <w:rPr>
          <w:rFonts w:ascii="Calibri" w:cs="Calibri" w:eastAsia="Calibri" w:hAnsi="Calibri"/>
          <w:sz w:val="22"/>
          <w:szCs w:val="22"/>
        </w:rPr>
        <w:t xml:space="preserve">Adicionalmente al crédito comercial PYME, existen tres líneas de fomento productivo aplicables al proyecto:</w:t>
      </w:r>
    </w:p>
    <w:p>
      <w:pPr>
        <w:pStyle w:val="ListParagraph"/>
        <w:numPr>
          <w:ilvl w:val="0"/>
          <w:numId w:val="1"/>
        </w:numPr>
        <w:spacing w:after="80" w:line="320"/>
      </w:pPr>
      <w:r>
        <w:rPr>
          <w:rFonts w:ascii="Calibri" w:cs="Calibri" w:eastAsia="Calibri" w:hAnsi="Calibri"/>
          <w:sz w:val="22"/>
          <w:szCs w:val="22"/>
        </w:rPr>
        <w:t xml:space="preserve">CORFO Crédito CORFO PYME: tasas preferenciales con tope de 35% del valor del proyecto, plazo hasta 10 años, requiere proyecto con Pro PYME activo.</w:t>
      </w:r>
    </w:p>
    <w:p>
      <w:pPr>
        <w:pStyle w:val="ListParagraph"/>
        <w:numPr>
          <w:ilvl w:val="0"/>
          <w:numId w:val="1"/>
        </w:numPr>
        <w:spacing w:after="80" w:line="320"/>
      </w:pPr>
      <w:r>
        <w:rPr>
          <w:rFonts w:ascii="Calibri" w:cs="Calibri" w:eastAsia="Calibri" w:hAnsi="Calibri"/>
          <w:sz w:val="22"/>
          <w:szCs w:val="22"/>
        </w:rPr>
        <w:t xml:space="preserve">SERCOTEC Capital Semilla: subsidio no reembolsable hasta CLP 6 millones para emprendimientos con plan de negocio aprobado.</w:t>
      </w:r>
    </w:p>
    <w:p>
      <w:pPr>
        <w:pStyle w:val="ListParagraph"/>
        <w:numPr>
          <w:ilvl w:val="0"/>
          <w:numId w:val="1"/>
        </w:numPr>
        <w:spacing w:after="80" w:line="320"/>
      </w:pPr>
      <w:r>
        <w:rPr>
          <w:rFonts w:ascii="Calibri" w:cs="Calibri" w:eastAsia="Calibri" w:hAnsi="Calibri"/>
          <w:sz w:val="22"/>
          <w:szCs w:val="22"/>
        </w:rPr>
        <w:t xml:space="preserve">Banco Estado Microempresa: créditos de hasta CLP 30 millones con condiciones preferenciales para sectores tradicionalmente excluidos del sistema bancario.</w:t>
      </w:r>
    </w:p>
    <w:p>
      <w:pPr>
        <w:pStyle w:val="Heading2"/>
        <w:spacing w:after="160" w:before="320"/>
      </w:pPr>
      <w:r>
        <w:rPr>
          <w:rFonts w:ascii="Cambria" w:cs="Cambria" w:eastAsia="Cambria" w:hAnsi="Cambria"/>
          <w:b/>
          <w:bCs/>
          <w:color w:val="374151"/>
          <w:sz w:val="26"/>
          <w:szCs w:val="26"/>
        </w:rPr>
        <w:t xml:space="preserve">11.3 Escudo tributario de la deuda</w:t>
      </w:r>
    </w:p>
    <w:p>
      <w:pPr>
        <w:spacing w:after="160" w:line="360"/>
        <w:jc w:val="both"/>
      </w:pPr>
      <w:r>
        <w:rPr>
          <w:rFonts w:ascii="Calibri" w:cs="Calibri" w:eastAsia="Calibri" w:hAnsi="Calibri"/>
          <w:sz w:val="22"/>
          <w:szCs w:val="22"/>
        </w:rPr>
        <w:t xml:space="preserve">Los intereses del préstamo son deducibles del impuesto a la renta de primera categoría, generando un escudo tributario equivalente al 25% del monto de los intereses pagados (bajo régimen Pro PYME). Este beneficio se refleja en el flujo del inversionista mediante la deducción de los intereses antes del cálculo del impuesto, mejorando el VAN de la versión apalancada respecto al flujo puro.</w:t>
      </w:r>
    </w:p>
    <w:p>
      <w:pPr>
        <w:pStyle w:val="Heading2"/>
        <w:spacing w:after="160" w:before="320"/>
      </w:pPr>
      <w:r>
        <w:rPr>
          <w:rFonts w:ascii="Cambria" w:cs="Cambria" w:eastAsia="Cambria" w:hAnsi="Cambria"/>
          <w:b/>
          <w:bCs/>
          <w:color w:val="374151"/>
          <w:sz w:val="26"/>
          <w:szCs w:val="26"/>
        </w:rPr>
        <w:t xml:space="preserve">11.4 Tasa máxima aceptable</w:t>
      </w:r>
    </w:p>
    <w:p>
      <w:pPr>
        <w:spacing w:after="160" w:line="360"/>
        <w:jc w:val="both"/>
      </w:pPr>
      <w:r>
        <w:rPr>
          <w:rFonts w:ascii="Calibri" w:cs="Calibri" w:eastAsia="Calibri" w:hAnsi="Calibri"/>
          <w:sz w:val="22"/>
          <w:szCs w:val="22"/>
        </w:rPr>
        <w:t xml:space="preserve">Mediante análisis de sensibilización (Buscar Objetivo en Excel) se determina la tasa de interés máxima a la que conviene endeudarse: aquella que iguala el VAN del flujo del inversionista al VAN del flujo puro. Para el proyecto evaluado, esta tasa máxima se sitúa en torno al 14-15%, lo que ofrece un margen confortable respecto a la tasa de mercado actual (9,5-10,5%).</w:t>
      </w:r>
    </w:p>
    <w:p>
      <w:r>
        <w:br w:type="page"/>
      </w:r>
    </w:p>
    <w:p>
      <w:pPr>
        <w:pStyle w:val="Heading1"/>
        <w:spacing w:after="240" w:before="480"/>
      </w:pPr>
      <w:r>
        <w:rPr>
          <w:rFonts w:ascii="Cambria" w:cs="Cambria" w:eastAsia="Cambria" w:hAnsi="Cambria"/>
          <w:b/>
          <w:bCs/>
          <w:color w:val="1F2937"/>
          <w:sz w:val="32"/>
          <w:szCs w:val="32"/>
        </w:rPr>
        <w:t xml:space="preserve">12. Flujos de caja proyectados</w:t>
      </w:r>
    </w:p>
    <w:p>
      <w:pPr>
        <w:pStyle w:val="Heading2"/>
        <w:spacing w:after="160" w:before="320"/>
      </w:pPr>
      <w:r>
        <w:rPr>
          <w:rFonts w:ascii="Cambria" w:cs="Cambria" w:eastAsia="Cambria" w:hAnsi="Cambria"/>
          <w:b/>
          <w:bCs/>
          <w:color w:val="374151"/>
          <w:sz w:val="26"/>
          <w:szCs w:val="26"/>
        </w:rPr>
        <w:t xml:space="preserve">12.1 Flujo de caja puro · Ubicación El Golf (caso recomendado)</w:t>
      </w:r>
    </w:p>
    <w:p>
      <w:pPr>
        <w:spacing w:after="160" w:line="360"/>
        <w:jc w:val="both"/>
      </w:pPr>
      <w:r>
        <w:rPr>
          <w:rFonts w:ascii="Calibri" w:cs="Calibri" w:eastAsia="Calibri" w:hAnsi="Calibri"/>
          <w:sz w:val="22"/>
          <w:szCs w:val="22"/>
        </w:rPr>
        <w:t xml:space="preserve">Se presenta el flujo de caja puro proyectado para la ubicación recomendada (El Golf · Las Condes). El detalle por línea para cada uno de los seis períodos (año 0 al año 5) está disponible en la hoja FlujoAnual_Ganadora del archivo Excel complementario a este informe.</w:t>
      </w:r>
    </w:p>
    <w:tbl>
      <w:tblPr>
        <w:tblW w:type="pct" w:w="100%"/>
        <w:tblBorders>
          <w:top w:val="single" w:color="111827" w:sz="6"/>
          <w:left w:val="none" w:color="FFFFFF" w:sz="0"/>
          <w:bottom w:val="single" w:color="111827" w:sz="6"/>
          <w:right w:val="none" w:color="FFFFFF" w:sz="0"/>
          <w:insideH w:val="single" w:color="D1D5DB" w:sz="2"/>
          <w:insideV w:val="none" w:color="FFFFFF" w:sz="0"/>
        </w:tblBorders>
      </w:tblPr>
      <w:tblGrid>
        <w:gridCol w:w="100"/>
        <w:gridCol w:w="100"/>
        <w:gridCol w:w="100"/>
        <w:gridCol w:w="100"/>
      </w:tblGrid>
      <w:tr>
        <w:trPr>
          <w:tblHeader/>
        </w:trPr>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Concepto</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Año 0</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Año 1</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Año 5</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Combos vendidos en el año</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c>
          <w:tcPr>
            <w:tcMar>
              <w:top w:type="dxa" w:w="120"/>
              <w:left w:type="dxa" w:w="100"/>
              <w:bottom w:type="dxa" w:w="120"/>
              <w:right w:type="dxa" w:w="100"/>
            </w:tcMar>
          </w:tcPr>
          <w:p>
            <w:pPr>
              <w:jc w:val="left"/>
            </w:pPr>
            <w:r>
              <w:rPr>
                <w:rFonts w:ascii="Calibri" w:cs="Calibri" w:eastAsia="Calibri" w:hAnsi="Calibri"/>
                <w:sz w:val="18"/>
                <w:szCs w:val="18"/>
              </w:rPr>
              <w:t xml:space="preserve">34.320</w:t>
            </w:r>
          </w:p>
        </w:tc>
        <w:tc>
          <w:tcPr>
            <w:tcMar>
              <w:top w:type="dxa" w:w="120"/>
              <w:left w:type="dxa" w:w="100"/>
              <w:bottom w:type="dxa" w:w="120"/>
              <w:right w:type="dxa" w:w="100"/>
            </w:tcMar>
          </w:tcPr>
          <w:p>
            <w:pPr>
              <w:jc w:val="left"/>
            </w:pPr>
            <w:r>
              <w:rPr>
                <w:rFonts w:ascii="Calibri" w:cs="Calibri" w:eastAsia="Calibri" w:hAnsi="Calibri"/>
                <w:sz w:val="18"/>
                <w:szCs w:val="18"/>
              </w:rPr>
              <w:t xml:space="preserve">41.722</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Ingresos</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c>
          <w:tcPr>
            <w:tcMar>
              <w:top w:type="dxa" w:w="120"/>
              <w:left w:type="dxa" w:w="100"/>
              <w:bottom w:type="dxa" w:w="120"/>
              <w:right w:type="dxa" w:w="100"/>
            </w:tcMar>
          </w:tcPr>
          <w:p>
            <w:pPr>
              <w:jc w:val="left"/>
            </w:pPr>
            <w:r>
              <w:rPr>
                <w:rFonts w:ascii="Calibri" w:cs="Calibri" w:eastAsia="Calibri" w:hAnsi="Calibri"/>
                <w:sz w:val="18"/>
                <w:szCs w:val="18"/>
              </w:rPr>
              <w:t xml:space="preserve">$154.440.000</w:t>
            </w:r>
          </w:p>
        </w:tc>
        <w:tc>
          <w:tcPr>
            <w:tcMar>
              <w:top w:type="dxa" w:w="120"/>
              <w:left w:type="dxa" w:w="100"/>
              <w:bottom w:type="dxa" w:w="120"/>
              <w:right w:type="dxa" w:w="100"/>
            </w:tcMar>
          </w:tcPr>
          <w:p>
            <w:pPr>
              <w:jc w:val="left"/>
            </w:pPr>
            <w:r>
              <w:rPr>
                <w:rFonts w:ascii="Calibri" w:cs="Calibri" w:eastAsia="Calibri" w:hAnsi="Calibri"/>
                <w:sz w:val="18"/>
                <w:szCs w:val="18"/>
              </w:rPr>
              <w:t xml:space="preserve">$187.749.000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Costos variables</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c>
          <w:tcPr>
            <w:tcMar>
              <w:top w:type="dxa" w:w="120"/>
              <w:left w:type="dxa" w:w="100"/>
              <w:bottom w:type="dxa" w:w="120"/>
              <w:right w:type="dxa" w:w="100"/>
            </w:tcMar>
          </w:tcPr>
          <w:p>
            <w:pPr>
              <w:jc w:val="left"/>
            </w:pPr>
            <w:r>
              <w:rPr>
                <w:rFonts w:ascii="Calibri" w:cs="Calibri" w:eastAsia="Calibri" w:hAnsi="Calibri"/>
                <w:sz w:val="18"/>
                <w:szCs w:val="18"/>
              </w:rPr>
              <w:t xml:space="preserve">($37.752.000)</w:t>
            </w:r>
          </w:p>
        </w:tc>
        <w:tc>
          <w:tcPr>
            <w:tcMar>
              <w:top w:type="dxa" w:w="120"/>
              <w:left w:type="dxa" w:w="100"/>
              <w:bottom w:type="dxa" w:w="120"/>
              <w:right w:type="dxa" w:w="100"/>
            </w:tcMar>
          </w:tcPr>
          <w:p>
            <w:pPr>
              <w:jc w:val="left"/>
            </w:pPr>
            <w:r>
              <w:rPr>
                <w:rFonts w:ascii="Calibri" w:cs="Calibri" w:eastAsia="Calibri" w:hAnsi="Calibri"/>
                <w:sz w:val="18"/>
                <w:szCs w:val="18"/>
              </w:rPr>
              <w:t xml:space="preserve">($45.894.000)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Costos fijos</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c>
          <w:tcPr>
            <w:tcMar>
              <w:top w:type="dxa" w:w="120"/>
              <w:left w:type="dxa" w:w="100"/>
              <w:bottom w:type="dxa" w:w="120"/>
              <w:right w:type="dxa" w:w="100"/>
            </w:tcMar>
          </w:tcPr>
          <w:p>
            <w:pPr>
              <w:jc w:val="left"/>
            </w:pPr>
            <w:r>
              <w:rPr>
                <w:rFonts w:ascii="Calibri" w:cs="Calibri" w:eastAsia="Calibri" w:hAnsi="Calibri"/>
                <w:sz w:val="18"/>
                <w:szCs w:val="18"/>
              </w:rPr>
              <w:t xml:space="preserve">($66.420.000)</w:t>
            </w:r>
          </w:p>
        </w:tc>
        <w:tc>
          <w:tcPr>
            <w:tcMar>
              <w:top w:type="dxa" w:w="120"/>
              <w:left w:type="dxa" w:w="100"/>
              <w:bottom w:type="dxa" w:w="120"/>
              <w:right w:type="dxa" w:w="100"/>
            </w:tcMar>
          </w:tcPr>
          <w:p>
            <w:pPr>
              <w:jc w:val="left"/>
            </w:pPr>
            <w:r>
              <w:rPr>
                <w:rFonts w:ascii="Calibri" w:cs="Calibri" w:eastAsia="Calibri" w:hAnsi="Calibri"/>
                <w:sz w:val="18"/>
                <w:szCs w:val="18"/>
              </w:rPr>
              <w:t xml:space="preserve">($66.420.000)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Depreciación</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c>
          <w:tcPr>
            <w:tcMar>
              <w:top w:type="dxa" w:w="120"/>
              <w:left w:type="dxa" w:w="100"/>
              <w:bottom w:type="dxa" w:w="120"/>
              <w:right w:type="dxa" w:w="100"/>
            </w:tcMar>
          </w:tcPr>
          <w:p>
            <w:pPr>
              <w:jc w:val="left"/>
            </w:pPr>
            <w:r>
              <w:rPr>
                <w:rFonts w:ascii="Calibri" w:cs="Calibri" w:eastAsia="Calibri" w:hAnsi="Calibri"/>
                <w:sz w:val="18"/>
                <w:szCs w:val="18"/>
              </w:rPr>
              <w:t xml:space="preserve">($2.563.000)</w:t>
            </w:r>
          </w:p>
        </w:tc>
        <w:tc>
          <w:tcPr>
            <w:tcMar>
              <w:top w:type="dxa" w:w="120"/>
              <w:left w:type="dxa" w:w="100"/>
              <w:bottom w:type="dxa" w:w="120"/>
              <w:right w:type="dxa" w:w="100"/>
            </w:tcMar>
          </w:tcPr>
          <w:p>
            <w:pPr>
              <w:jc w:val="left"/>
            </w:pPr>
            <w:r>
              <w:rPr>
                <w:rFonts w:ascii="Calibri" w:cs="Calibri" w:eastAsia="Calibri" w:hAnsi="Calibri"/>
                <w:sz w:val="18"/>
                <w:szCs w:val="18"/>
              </w:rPr>
              <w:t xml:space="preserve">($2.563.000)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Utilidad antes de impuesto</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c>
          <w:tcPr>
            <w:tcMar>
              <w:top w:type="dxa" w:w="120"/>
              <w:left w:type="dxa" w:w="100"/>
              <w:bottom w:type="dxa" w:w="120"/>
              <w:right w:type="dxa" w:w="100"/>
            </w:tcMar>
          </w:tcPr>
          <w:p>
            <w:pPr>
              <w:jc w:val="left"/>
            </w:pPr>
            <w:r>
              <w:rPr>
                <w:rFonts w:ascii="Calibri" w:cs="Calibri" w:eastAsia="Calibri" w:hAnsi="Calibri"/>
                <w:sz w:val="18"/>
                <w:szCs w:val="18"/>
              </w:rPr>
              <w:t xml:space="preserve">$47.705.000</w:t>
            </w:r>
          </w:p>
        </w:tc>
        <w:tc>
          <w:tcPr>
            <w:tcMar>
              <w:top w:type="dxa" w:w="120"/>
              <w:left w:type="dxa" w:w="100"/>
              <w:bottom w:type="dxa" w:w="120"/>
              <w:right w:type="dxa" w:w="100"/>
            </w:tcMar>
          </w:tcPr>
          <w:p>
            <w:pPr>
              <w:jc w:val="left"/>
            </w:pPr>
            <w:r>
              <w:rPr>
                <w:rFonts w:ascii="Calibri" w:cs="Calibri" w:eastAsia="Calibri" w:hAnsi="Calibri"/>
                <w:sz w:val="18"/>
                <w:szCs w:val="18"/>
              </w:rPr>
              <w:t xml:space="preserve">$72.872.000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Impuesto</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c>
          <w:tcPr>
            <w:tcMar>
              <w:top w:type="dxa" w:w="120"/>
              <w:left w:type="dxa" w:w="100"/>
              <w:bottom w:type="dxa" w:w="120"/>
              <w:right w:type="dxa" w:w="100"/>
            </w:tcMar>
          </w:tcPr>
          <w:p>
            <w:pPr>
              <w:jc w:val="left"/>
            </w:pPr>
            <w:r>
              <w:rPr>
                <w:rFonts w:ascii="Calibri" w:cs="Calibri" w:eastAsia="Calibri" w:hAnsi="Calibri"/>
                <w:sz w:val="18"/>
                <w:szCs w:val="18"/>
              </w:rPr>
              <w:t xml:space="preserve">($11.926.000)</w:t>
            </w:r>
          </w:p>
        </w:tc>
        <w:tc>
          <w:tcPr>
            <w:tcMar>
              <w:top w:type="dxa" w:w="120"/>
              <w:left w:type="dxa" w:w="100"/>
              <w:bottom w:type="dxa" w:w="120"/>
              <w:right w:type="dxa" w:w="100"/>
            </w:tcMar>
          </w:tcPr>
          <w:p>
            <w:pPr>
              <w:jc w:val="left"/>
            </w:pPr>
            <w:r>
              <w:rPr>
                <w:rFonts w:ascii="Calibri" w:cs="Calibri" w:eastAsia="Calibri" w:hAnsi="Calibri"/>
                <w:sz w:val="18"/>
                <w:szCs w:val="18"/>
              </w:rPr>
              <w:t xml:space="preserve">($18.218.000)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Utilidad después de impuesto</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c>
          <w:tcPr>
            <w:tcMar>
              <w:top w:type="dxa" w:w="120"/>
              <w:left w:type="dxa" w:w="100"/>
              <w:bottom w:type="dxa" w:w="120"/>
              <w:right w:type="dxa" w:w="100"/>
            </w:tcMar>
          </w:tcPr>
          <w:p>
            <w:pPr>
              <w:jc w:val="left"/>
            </w:pPr>
            <w:r>
              <w:rPr>
                <w:rFonts w:ascii="Calibri" w:cs="Calibri" w:eastAsia="Calibri" w:hAnsi="Calibri"/>
                <w:sz w:val="18"/>
                <w:szCs w:val="18"/>
              </w:rPr>
              <w:t xml:space="preserve">$35.779.000</w:t>
            </w:r>
          </w:p>
        </w:tc>
        <w:tc>
          <w:tcPr>
            <w:tcMar>
              <w:top w:type="dxa" w:w="120"/>
              <w:left w:type="dxa" w:w="100"/>
              <w:bottom w:type="dxa" w:w="120"/>
              <w:right w:type="dxa" w:w="100"/>
            </w:tcMar>
          </w:tcPr>
          <w:p>
            <w:pPr>
              <w:jc w:val="left"/>
            </w:pPr>
            <w:r>
              <w:rPr>
                <w:rFonts w:ascii="Calibri" w:cs="Calibri" w:eastAsia="Calibri" w:hAnsi="Calibri"/>
                <w:sz w:val="18"/>
                <w:szCs w:val="18"/>
              </w:rPr>
              <w:t xml:space="preserve">$54.654.000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Reversión depreciación</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c>
          <w:tcPr>
            <w:tcMar>
              <w:top w:type="dxa" w:w="120"/>
              <w:left w:type="dxa" w:w="100"/>
              <w:bottom w:type="dxa" w:w="120"/>
              <w:right w:type="dxa" w:w="100"/>
            </w:tcMar>
          </w:tcPr>
          <w:p>
            <w:pPr>
              <w:jc w:val="left"/>
            </w:pPr>
            <w:r>
              <w:rPr>
                <w:rFonts w:ascii="Calibri" w:cs="Calibri" w:eastAsia="Calibri" w:hAnsi="Calibri"/>
                <w:sz w:val="18"/>
                <w:szCs w:val="18"/>
              </w:rPr>
              <w:t xml:space="preserve">$2.563.000</w:t>
            </w:r>
          </w:p>
        </w:tc>
        <w:tc>
          <w:tcPr>
            <w:tcMar>
              <w:top w:type="dxa" w:w="120"/>
              <w:left w:type="dxa" w:w="100"/>
              <w:bottom w:type="dxa" w:w="120"/>
              <w:right w:type="dxa" w:w="100"/>
            </w:tcMar>
          </w:tcPr>
          <w:p>
            <w:pPr>
              <w:jc w:val="left"/>
            </w:pPr>
            <w:r>
              <w:rPr>
                <w:rFonts w:ascii="Calibri" w:cs="Calibri" w:eastAsia="Calibri" w:hAnsi="Calibri"/>
                <w:sz w:val="18"/>
                <w:szCs w:val="18"/>
              </w:rPr>
              <w:t xml:space="preserve">$2.563.000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Recupero capital de trabajo</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c>
          <w:tcPr>
            <w:tcMar>
              <w:top w:type="dxa" w:w="120"/>
              <w:left w:type="dxa" w:w="100"/>
              <w:bottom w:type="dxa" w:w="120"/>
              <w:right w:type="dxa" w:w="100"/>
            </w:tcMar>
          </w:tcPr>
          <w:p>
            <w:pPr>
              <w:jc w:val="left"/>
            </w:pPr>
            <w:r>
              <w:rPr>
                <w:rFonts w:ascii="Calibri" w:cs="Calibri" w:eastAsia="Calibri" w:hAnsi="Calibri"/>
                <w:sz w:val="18"/>
                <w:szCs w:val="18"/>
              </w:rPr>
              <w:t xml:space="preserve">$9.500.000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Valor residual neto</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c>
          <w:tcPr>
            <w:tcMar>
              <w:top w:type="dxa" w:w="120"/>
              <w:left w:type="dxa" w:w="100"/>
              <w:bottom w:type="dxa" w:w="120"/>
              <w:right w:type="dxa" w:w="100"/>
            </w:tcMar>
          </w:tcPr>
          <w:p>
            <w:pPr>
              <w:jc w:val="left"/>
            </w:pPr>
            <w:r>
              <w:rPr>
                <w:rFonts w:ascii="Calibri" w:cs="Calibri" w:eastAsia="Calibri" w:hAnsi="Calibri"/>
                <w:sz w:val="18"/>
                <w:szCs w:val="18"/>
              </w:rPr>
              <w:t xml:space="preserve">$1.538.000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Valor terminal perpetuidad</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c>
          <w:tcPr>
            <w:tcMar>
              <w:top w:type="dxa" w:w="120"/>
              <w:left w:type="dxa" w:w="100"/>
              <w:bottom w:type="dxa" w:w="120"/>
              <w:right w:type="dxa" w:w="100"/>
            </w:tcMar>
          </w:tcPr>
          <w:p>
            <w:pPr>
              <w:jc w:val="left"/>
            </w:pPr>
            <w:r>
              <w:rPr>
                <w:rFonts w:ascii="Calibri" w:cs="Calibri" w:eastAsia="Calibri" w:hAnsi="Calibri"/>
                <w:sz w:val="18"/>
                <w:szCs w:val="18"/>
              </w:rPr>
              <w:t xml:space="preserve">$606.487.000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Inversión inicial</w:t>
            </w:r>
          </w:p>
        </w:tc>
        <w:tc>
          <w:tcPr>
            <w:tcMar>
              <w:top w:type="dxa" w:w="120"/>
              <w:left w:type="dxa" w:w="100"/>
              <w:bottom w:type="dxa" w:w="120"/>
              <w:right w:type="dxa" w:w="100"/>
            </w:tcMar>
          </w:tcPr>
          <w:p>
            <w:pPr>
              <w:jc w:val="left"/>
            </w:pPr>
            <w:r>
              <w:rPr>
                <w:rFonts w:ascii="Calibri" w:cs="Calibri" w:eastAsia="Calibri" w:hAnsi="Calibri"/>
                <w:sz w:val="18"/>
                <w:szCs w:val="18"/>
              </w:rPr>
              <w:t xml:space="preserve">($21.200.000)</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Capital de trabajo</w:t>
            </w:r>
          </w:p>
        </w:tc>
        <w:tc>
          <w:tcPr>
            <w:tcMar>
              <w:top w:type="dxa" w:w="120"/>
              <w:left w:type="dxa" w:w="100"/>
              <w:bottom w:type="dxa" w:w="120"/>
              <w:right w:type="dxa" w:w="100"/>
            </w:tcMar>
          </w:tcPr>
          <w:p>
            <w:pPr>
              <w:jc w:val="left"/>
            </w:pPr>
            <w:r>
              <w:rPr>
                <w:rFonts w:ascii="Calibri" w:cs="Calibri" w:eastAsia="Calibri" w:hAnsi="Calibri"/>
                <w:sz w:val="18"/>
                <w:szCs w:val="18"/>
              </w:rPr>
              <w:t xml:space="preserve">($9.500.000)</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FLUJO NETO DE CAJA</w:t>
            </w:r>
          </w:p>
        </w:tc>
        <w:tc>
          <w:tcPr>
            <w:tcMar>
              <w:top w:type="dxa" w:w="120"/>
              <w:left w:type="dxa" w:w="100"/>
              <w:bottom w:type="dxa" w:w="120"/>
              <w:right w:type="dxa" w:w="100"/>
            </w:tcMar>
          </w:tcPr>
          <w:p>
            <w:pPr>
              <w:jc w:val="left"/>
            </w:pPr>
            <w:r>
              <w:rPr>
                <w:rFonts w:ascii="Calibri" w:cs="Calibri" w:eastAsia="Calibri" w:hAnsi="Calibri"/>
                <w:sz w:val="18"/>
                <w:szCs w:val="18"/>
              </w:rPr>
              <w:t xml:space="preserve">($30.700.000)</w:t>
            </w:r>
          </w:p>
        </w:tc>
        <w:tc>
          <w:tcPr>
            <w:tcMar>
              <w:top w:type="dxa" w:w="120"/>
              <w:left w:type="dxa" w:w="100"/>
              <w:bottom w:type="dxa" w:w="120"/>
              <w:right w:type="dxa" w:w="100"/>
            </w:tcMar>
          </w:tcPr>
          <w:p>
            <w:pPr>
              <w:jc w:val="left"/>
            </w:pPr>
            <w:r>
              <w:rPr>
                <w:rFonts w:ascii="Calibri" w:cs="Calibri" w:eastAsia="Calibri" w:hAnsi="Calibri"/>
                <w:sz w:val="18"/>
                <w:szCs w:val="18"/>
              </w:rPr>
              <w:t xml:space="preserve">$38.342.000</w:t>
            </w:r>
          </w:p>
        </w:tc>
        <w:tc>
          <w:tcPr>
            <w:tcMar>
              <w:top w:type="dxa" w:w="120"/>
              <w:left w:type="dxa" w:w="100"/>
              <w:bottom w:type="dxa" w:w="120"/>
              <w:right w:type="dxa" w:w="100"/>
            </w:tcMar>
          </w:tcPr>
          <w:p>
            <w:pPr>
              <w:jc w:val="left"/>
            </w:pPr>
            <w:r>
              <w:rPr>
                <w:rFonts w:ascii="Calibri" w:cs="Calibri" w:eastAsia="Calibri" w:hAnsi="Calibri"/>
                <w:sz w:val="18"/>
                <w:szCs w:val="18"/>
              </w:rPr>
              <w:t xml:space="preserve">$674.742.000</w:t>
            </w:r>
          </w:p>
        </w:tc>
      </w:tr>
    </w:tbl>
    <w:p>
      <w:pPr>
        <w:spacing w:after="240" w:before="60"/>
        <w:jc w:val="center"/>
      </w:pPr>
      <w:r>
        <w:rPr>
          <w:rFonts w:ascii="Calibri" w:cs="Calibri" w:eastAsia="Calibri" w:hAnsi="Calibri"/>
          <w:i/>
          <w:iCs/>
          <w:color w:val="6B7280"/>
          <w:sz w:val="18"/>
          <w:szCs w:val="18"/>
        </w:rPr>
        <w:t xml:space="preserve">Tabla 12.1 — Flujo de caja puro proyectado, ubicación El Golf · Las Condes (cifras en CLP).</w:t>
      </w:r>
    </w:p>
    <w:p>
      <w:pPr>
        <w:pStyle w:val="Heading2"/>
        <w:spacing w:after="160" w:before="320"/>
      </w:pPr>
      <w:r>
        <w:rPr>
          <w:rFonts w:ascii="Cambria" w:cs="Cambria" w:eastAsia="Cambria" w:hAnsi="Cambria"/>
          <w:b/>
          <w:bCs/>
          <w:color w:val="374151"/>
          <w:sz w:val="26"/>
          <w:szCs w:val="26"/>
        </w:rPr>
        <w:t xml:space="preserve">12.2 Flujo del inversionista</w:t>
      </w:r>
    </w:p>
    <w:p>
      <w:pPr>
        <w:spacing w:after="160" w:line="360"/>
        <w:jc w:val="both"/>
      </w:pPr>
      <w:r>
        <w:rPr>
          <w:rFonts w:ascii="Calibri" w:cs="Calibri" w:eastAsia="Calibri" w:hAnsi="Calibri"/>
          <w:sz w:val="22"/>
          <w:szCs w:val="22"/>
        </w:rPr>
        <w:t xml:space="preserve">El flujo del inversionista incorpora tres líneas adicionales al flujo puro: el monto del préstamo en período 0 (suma), los intereses anuales antes de impuesto (resta, generando escudo tributario) y la amortización del capital después de impuesto (resta, no deducible). El detalle se presenta en la hoja FlujoAnual_Inv del archivo Excel.</w:t>
      </w:r>
    </w:p>
    <w:p>
      <w:r>
        <w:br w:type="page"/>
      </w:r>
    </w:p>
    <w:p>
      <w:pPr>
        <w:pStyle w:val="Heading1"/>
        <w:spacing w:after="240" w:before="480"/>
      </w:pPr>
      <w:r>
        <w:rPr>
          <w:rFonts w:ascii="Cambria" w:cs="Cambria" w:eastAsia="Cambria" w:hAnsi="Cambria"/>
          <w:b/>
          <w:bCs/>
          <w:color w:val="1F2937"/>
          <w:sz w:val="32"/>
          <w:szCs w:val="32"/>
        </w:rPr>
        <w:t xml:space="preserve">13. Indicadores de evaluación</w:t>
      </w:r>
    </w:p>
    <w:p>
      <w:pPr>
        <w:pStyle w:val="Heading2"/>
        <w:spacing w:after="160" w:before="320"/>
      </w:pPr>
      <w:r>
        <w:rPr>
          <w:rFonts w:ascii="Cambria" w:cs="Cambria" w:eastAsia="Cambria" w:hAnsi="Cambria"/>
          <w:b/>
          <w:bCs/>
          <w:color w:val="374151"/>
          <w:sz w:val="26"/>
          <w:szCs w:val="26"/>
        </w:rPr>
        <w:t xml:space="preserve">13.1 Resumen de indicadores por ubicación (modelo corregido)</w:t>
      </w:r>
    </w:p>
    <w:tbl>
      <w:tblPr>
        <w:tblW w:type="pct" w:w="100%"/>
        <w:tblBorders>
          <w:top w:val="single" w:color="111827" w:sz="6"/>
          <w:left w:val="none" w:color="FFFFFF" w:sz="0"/>
          <w:bottom w:val="single" w:color="111827" w:sz="6"/>
          <w:right w:val="none" w:color="FFFFFF" w:sz="0"/>
          <w:insideH w:val="single" w:color="D1D5DB" w:sz="2"/>
          <w:insideV w:val="none" w:color="FFFFFF" w:sz="0"/>
        </w:tblBorders>
      </w:tblPr>
      <w:tblGrid>
        <w:gridCol w:w="100"/>
        <w:gridCol w:w="100"/>
        <w:gridCol w:w="100"/>
        <w:gridCol w:w="100"/>
        <w:gridCol w:w="100"/>
        <w:gridCol w:w="100"/>
      </w:tblGrid>
      <w:tr>
        <w:trPr>
          <w:tblHeader/>
        </w:trPr>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Ubicación</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VAN base</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TIR base</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Payback</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Score</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Veredicto</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El Golf · Las Condes</w:t>
            </w:r>
          </w:p>
        </w:tc>
        <w:tc>
          <w:tcPr>
            <w:tcMar>
              <w:top w:type="dxa" w:w="120"/>
              <w:left w:type="dxa" w:w="100"/>
              <w:bottom w:type="dxa" w:w="120"/>
              <w:right w:type="dxa" w:w="100"/>
            </w:tcMar>
          </w:tcPr>
          <w:p>
            <w:pPr>
              <w:jc w:val="left"/>
            </w:pPr>
            <w:r>
              <w:rPr>
                <w:rFonts w:ascii="Calibri" w:cs="Calibri" w:eastAsia="Calibri" w:hAnsi="Calibri"/>
                <w:sz w:val="18"/>
                <w:szCs w:val="18"/>
              </w:rPr>
              <w:t xml:space="preserve">CLP 48.7 M</w:t>
            </w:r>
          </w:p>
        </w:tc>
        <w:tc>
          <w:tcPr>
            <w:tcMar>
              <w:top w:type="dxa" w:w="120"/>
              <w:left w:type="dxa" w:w="100"/>
              <w:bottom w:type="dxa" w:w="120"/>
              <w:right w:type="dxa" w:w="100"/>
            </w:tcMar>
          </w:tcPr>
          <w:p>
            <w:pPr>
              <w:jc w:val="left"/>
            </w:pPr>
            <w:r>
              <w:rPr>
                <w:rFonts w:ascii="Calibri" w:cs="Calibri" w:eastAsia="Calibri" w:hAnsi="Calibri"/>
                <w:sz w:val="18"/>
                <w:szCs w:val="18"/>
              </w:rPr>
              <w:t xml:space="preserve">39.0%</w:t>
            </w:r>
          </w:p>
        </w:tc>
        <w:tc>
          <w:tcPr>
            <w:tcMar>
              <w:top w:type="dxa" w:w="120"/>
              <w:left w:type="dxa" w:w="100"/>
              <w:bottom w:type="dxa" w:w="120"/>
              <w:right w:type="dxa" w:w="100"/>
            </w:tcMar>
          </w:tcPr>
          <w:p>
            <w:pPr>
              <w:jc w:val="left"/>
            </w:pPr>
            <w:r>
              <w:rPr>
                <w:rFonts w:ascii="Calibri" w:cs="Calibri" w:eastAsia="Calibri" w:hAnsi="Calibri"/>
                <w:sz w:val="18"/>
                <w:szCs w:val="18"/>
              </w:rPr>
              <w:t xml:space="preserve">3.39 años</w:t>
            </w:r>
          </w:p>
        </w:tc>
        <w:tc>
          <w:tcPr>
            <w:tcMar>
              <w:top w:type="dxa" w:w="120"/>
              <w:left w:type="dxa" w:w="100"/>
              <w:bottom w:type="dxa" w:w="120"/>
              <w:right w:type="dxa" w:w="100"/>
            </w:tcMar>
          </w:tcPr>
          <w:p>
            <w:pPr>
              <w:jc w:val="left"/>
            </w:pPr>
            <w:r>
              <w:rPr>
                <w:rFonts w:ascii="Calibri" w:cs="Calibri" w:eastAsia="Calibri" w:hAnsi="Calibri"/>
                <w:sz w:val="18"/>
                <w:szCs w:val="18"/>
              </w:rPr>
              <w:t xml:space="preserve">65 / 100</w:t>
            </w:r>
          </w:p>
        </w:tc>
        <w:tc>
          <w:tcPr>
            <w:tcMar>
              <w:top w:type="dxa" w:w="120"/>
              <w:left w:type="dxa" w:w="100"/>
              <w:bottom w:type="dxa" w:w="120"/>
              <w:right w:type="dxa" w:w="100"/>
            </w:tcMar>
          </w:tcPr>
          <w:p>
            <w:pPr>
              <w:jc w:val="left"/>
            </w:pPr>
            <w:r>
              <w:rPr>
                <w:rFonts w:ascii="Calibri" w:cs="Calibri" w:eastAsia="Calibri" w:hAnsi="Calibri"/>
                <w:sz w:val="18"/>
                <w:szCs w:val="18"/>
              </w:rPr>
              <w:t xml:space="preserve">⚠ Aceptable con riesgo</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Santiago Centro · Ahumada</w:t>
            </w:r>
          </w:p>
        </w:tc>
        <w:tc>
          <w:tcPr>
            <w:tcMar>
              <w:top w:type="dxa" w:w="120"/>
              <w:left w:type="dxa" w:w="100"/>
              <w:bottom w:type="dxa" w:w="120"/>
              <w:right w:type="dxa" w:w="100"/>
            </w:tcMar>
          </w:tcPr>
          <w:p>
            <w:pPr>
              <w:jc w:val="left"/>
            </w:pPr>
            <w:r>
              <w:rPr>
                <w:rFonts w:ascii="Calibri" w:cs="Calibri" w:eastAsia="Calibri" w:hAnsi="Calibri"/>
                <w:sz w:val="18"/>
                <w:szCs w:val="18"/>
              </w:rPr>
              <w:t xml:space="preserve">CLP 3.6 M</w:t>
            </w:r>
          </w:p>
        </w:tc>
        <w:tc>
          <w:tcPr>
            <w:tcMar>
              <w:top w:type="dxa" w:w="120"/>
              <w:left w:type="dxa" w:w="100"/>
              <w:bottom w:type="dxa" w:w="120"/>
              <w:right w:type="dxa" w:w="100"/>
            </w:tcMar>
          </w:tcPr>
          <w:p>
            <w:pPr>
              <w:jc w:val="left"/>
            </w:pPr>
            <w:r>
              <w:rPr>
                <w:rFonts w:ascii="Calibri" w:cs="Calibri" w:eastAsia="Calibri" w:hAnsi="Calibri"/>
                <w:sz w:val="18"/>
                <w:szCs w:val="18"/>
              </w:rPr>
              <w:t xml:space="preserve">16.1%</w:t>
            </w:r>
          </w:p>
        </w:tc>
        <w:tc>
          <w:tcPr>
            <w:tcMar>
              <w:top w:type="dxa" w:w="120"/>
              <w:left w:type="dxa" w:w="100"/>
              <w:bottom w:type="dxa" w:w="120"/>
              <w:right w:type="dxa" w:w="100"/>
            </w:tcMar>
          </w:tcPr>
          <w:p>
            <w:pPr>
              <w:jc w:val="left"/>
            </w:pPr>
            <w:r>
              <w:rPr>
                <w:rFonts w:ascii="Calibri" w:cs="Calibri" w:eastAsia="Calibri" w:hAnsi="Calibri"/>
                <w:sz w:val="18"/>
                <w:szCs w:val="18"/>
              </w:rPr>
              <w:t xml:space="preserve">4.36 años</w:t>
            </w:r>
          </w:p>
        </w:tc>
        <w:tc>
          <w:tcPr>
            <w:tcMar>
              <w:top w:type="dxa" w:w="120"/>
              <w:left w:type="dxa" w:w="100"/>
              <w:bottom w:type="dxa" w:w="120"/>
              <w:right w:type="dxa" w:w="100"/>
            </w:tcMar>
          </w:tcPr>
          <w:p>
            <w:pPr>
              <w:jc w:val="left"/>
            </w:pPr>
            <w:r>
              <w:rPr>
                <w:rFonts w:ascii="Calibri" w:cs="Calibri" w:eastAsia="Calibri" w:hAnsi="Calibri"/>
                <w:sz w:val="18"/>
                <w:szCs w:val="18"/>
              </w:rPr>
              <w:t xml:space="preserve">53 / 100</w:t>
            </w:r>
          </w:p>
        </w:tc>
        <w:tc>
          <w:tcPr>
            <w:tcMar>
              <w:top w:type="dxa" w:w="120"/>
              <w:left w:type="dxa" w:w="100"/>
              <w:bottom w:type="dxa" w:w="120"/>
              <w:right w:type="dxa" w:w="100"/>
            </w:tcMar>
          </w:tcPr>
          <w:p>
            <w:pPr>
              <w:jc w:val="left"/>
            </w:pPr>
            <w:r>
              <w:rPr>
                <w:rFonts w:ascii="Calibri" w:cs="Calibri" w:eastAsia="Calibri" w:hAnsi="Calibri"/>
                <w:sz w:val="18"/>
                <w:szCs w:val="18"/>
              </w:rPr>
              <w:t xml:space="preserve">✗ No conviene</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Providencia · Pedro de Valdivia</w:t>
            </w:r>
          </w:p>
        </w:tc>
        <w:tc>
          <w:tcPr>
            <w:tcMar>
              <w:top w:type="dxa" w:w="120"/>
              <w:left w:type="dxa" w:w="100"/>
              <w:bottom w:type="dxa" w:w="120"/>
              <w:right w:type="dxa" w:w="100"/>
            </w:tcMar>
          </w:tcPr>
          <w:p>
            <w:pPr>
              <w:jc w:val="left"/>
            </w:pPr>
            <w:r>
              <w:rPr>
                <w:rFonts w:ascii="Calibri" w:cs="Calibri" w:eastAsia="Calibri" w:hAnsi="Calibri"/>
                <w:sz w:val="18"/>
                <w:szCs w:val="18"/>
              </w:rPr>
              <w:t xml:space="preserve">CLP 2.4 M</w:t>
            </w:r>
          </w:p>
        </w:tc>
        <w:tc>
          <w:tcPr>
            <w:tcMar>
              <w:top w:type="dxa" w:w="120"/>
              <w:left w:type="dxa" w:w="100"/>
              <w:bottom w:type="dxa" w:w="120"/>
              <w:right w:type="dxa" w:w="100"/>
            </w:tcMar>
          </w:tcPr>
          <w:p>
            <w:pPr>
              <w:jc w:val="left"/>
            </w:pPr>
            <w:r>
              <w:rPr>
                <w:rFonts w:ascii="Calibri" w:cs="Calibri" w:eastAsia="Calibri" w:hAnsi="Calibri"/>
                <w:sz w:val="18"/>
                <w:szCs w:val="18"/>
              </w:rPr>
              <w:t xml:space="preserve">15.5%</w:t>
            </w:r>
          </w:p>
        </w:tc>
        <w:tc>
          <w:tcPr>
            <w:tcMar>
              <w:top w:type="dxa" w:w="120"/>
              <w:left w:type="dxa" w:w="100"/>
              <w:bottom w:type="dxa" w:w="120"/>
              <w:right w:type="dxa" w:w="100"/>
            </w:tcMar>
          </w:tcPr>
          <w:p>
            <w:pPr>
              <w:jc w:val="left"/>
            </w:pPr>
            <w:r>
              <w:rPr>
                <w:rFonts w:ascii="Calibri" w:cs="Calibri" w:eastAsia="Calibri" w:hAnsi="Calibri"/>
                <w:sz w:val="18"/>
                <w:szCs w:val="18"/>
              </w:rPr>
              <w:t xml:space="preserve">4.38 años</w:t>
            </w:r>
          </w:p>
        </w:tc>
        <w:tc>
          <w:tcPr>
            <w:tcMar>
              <w:top w:type="dxa" w:w="120"/>
              <w:left w:type="dxa" w:w="100"/>
              <w:bottom w:type="dxa" w:w="120"/>
              <w:right w:type="dxa" w:w="100"/>
            </w:tcMar>
          </w:tcPr>
          <w:p>
            <w:pPr>
              <w:jc w:val="left"/>
            </w:pPr>
            <w:r>
              <w:rPr>
                <w:rFonts w:ascii="Calibri" w:cs="Calibri" w:eastAsia="Calibri" w:hAnsi="Calibri"/>
                <w:sz w:val="18"/>
                <w:szCs w:val="18"/>
              </w:rPr>
              <w:t xml:space="preserve">51 / 100</w:t>
            </w:r>
          </w:p>
        </w:tc>
        <w:tc>
          <w:tcPr>
            <w:tcMar>
              <w:top w:type="dxa" w:w="120"/>
              <w:left w:type="dxa" w:w="100"/>
              <w:bottom w:type="dxa" w:w="120"/>
              <w:right w:type="dxa" w:w="100"/>
            </w:tcMar>
          </w:tcPr>
          <w:p>
            <w:pPr>
              <w:jc w:val="left"/>
            </w:pPr>
            <w:r>
              <w:rPr>
                <w:rFonts w:ascii="Calibri" w:cs="Calibri" w:eastAsia="Calibri" w:hAnsi="Calibri"/>
                <w:sz w:val="18"/>
                <w:szCs w:val="18"/>
              </w:rPr>
              <w:t xml:space="preserve">✗ No conviene</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Apoquindo / El Bosque · Las Condes</w:t>
            </w:r>
          </w:p>
        </w:tc>
        <w:tc>
          <w:tcPr>
            <w:tcMar>
              <w:top w:type="dxa" w:w="120"/>
              <w:left w:type="dxa" w:w="100"/>
              <w:bottom w:type="dxa" w:w="120"/>
              <w:right w:type="dxa" w:w="100"/>
            </w:tcMar>
          </w:tcPr>
          <w:p>
            <w:pPr>
              <w:jc w:val="left"/>
            </w:pPr>
            <w:r>
              <w:rPr>
                <w:rFonts w:ascii="Calibri" w:cs="Calibri" w:eastAsia="Calibri" w:hAnsi="Calibri"/>
                <w:sz w:val="18"/>
                <w:szCs w:val="18"/>
              </w:rPr>
              <w:t xml:space="preserve">−CLP 14.9 M</w:t>
            </w:r>
          </w:p>
        </w:tc>
        <w:tc>
          <w:tcPr>
            <w:tcMar>
              <w:top w:type="dxa" w:w="120"/>
              <w:left w:type="dxa" w:w="100"/>
              <w:bottom w:type="dxa" w:w="120"/>
              <w:right w:type="dxa" w:w="100"/>
            </w:tcMar>
          </w:tcPr>
          <w:p>
            <w:pPr>
              <w:jc w:val="left"/>
            </w:pPr>
            <w:r>
              <w:rPr>
                <w:rFonts w:ascii="Calibri" w:cs="Calibri" w:eastAsia="Calibri" w:hAnsi="Calibri"/>
                <w:sz w:val="18"/>
                <w:szCs w:val="18"/>
              </w:rPr>
              <w:t xml:space="preserve">4.3%</w:t>
            </w:r>
          </w:p>
        </w:tc>
        <w:tc>
          <w:tcPr>
            <w:tcMar>
              <w:top w:type="dxa" w:w="120"/>
              <w:left w:type="dxa" w:w="100"/>
              <w:bottom w:type="dxa" w:w="120"/>
              <w:right w:type="dxa" w:w="100"/>
            </w:tcMar>
          </w:tcPr>
          <w:p>
            <w:pPr>
              <w:jc w:val="left"/>
            </w:pPr>
            <w:r>
              <w:rPr>
                <w:rFonts w:ascii="Calibri" w:cs="Calibri" w:eastAsia="Calibri" w:hAnsi="Calibri"/>
                <w:sz w:val="18"/>
                <w:szCs w:val="18"/>
              </w:rPr>
              <w:t xml:space="preserve">4.79 años</w:t>
            </w:r>
          </w:p>
        </w:tc>
        <w:tc>
          <w:tcPr>
            <w:tcMar>
              <w:top w:type="dxa" w:w="120"/>
              <w:left w:type="dxa" w:w="100"/>
              <w:bottom w:type="dxa" w:w="120"/>
              <w:right w:type="dxa" w:w="100"/>
            </w:tcMar>
          </w:tcPr>
          <w:p>
            <w:pPr>
              <w:jc w:val="left"/>
            </w:pPr>
            <w:r>
              <w:rPr>
                <w:rFonts w:ascii="Calibri" w:cs="Calibri" w:eastAsia="Calibri" w:hAnsi="Calibri"/>
                <w:sz w:val="18"/>
                <w:szCs w:val="18"/>
              </w:rPr>
              <w:t xml:space="preserve">37 / 100</w:t>
            </w:r>
          </w:p>
        </w:tc>
        <w:tc>
          <w:tcPr>
            <w:tcMar>
              <w:top w:type="dxa" w:w="120"/>
              <w:left w:type="dxa" w:w="100"/>
              <w:bottom w:type="dxa" w:w="120"/>
              <w:right w:type="dxa" w:w="100"/>
            </w:tcMar>
          </w:tcPr>
          <w:p>
            <w:pPr>
              <w:jc w:val="left"/>
            </w:pPr>
            <w:r>
              <w:rPr>
                <w:rFonts w:ascii="Calibri" w:cs="Calibri" w:eastAsia="Calibri" w:hAnsi="Calibri"/>
                <w:sz w:val="18"/>
                <w:szCs w:val="18"/>
              </w:rPr>
              <w:t xml:space="preserve">✗ No conviene</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Estación Central · USACH</w:t>
            </w:r>
          </w:p>
        </w:tc>
        <w:tc>
          <w:tcPr>
            <w:tcMar>
              <w:top w:type="dxa" w:w="120"/>
              <w:left w:type="dxa" w:w="100"/>
              <w:bottom w:type="dxa" w:w="120"/>
              <w:right w:type="dxa" w:w="100"/>
            </w:tcMar>
          </w:tcPr>
          <w:p>
            <w:pPr>
              <w:jc w:val="left"/>
            </w:pPr>
            <w:r>
              <w:rPr>
                <w:rFonts w:ascii="Calibri" w:cs="Calibri" w:eastAsia="Calibri" w:hAnsi="Calibri"/>
                <w:sz w:val="18"/>
                <w:szCs w:val="18"/>
              </w:rPr>
              <w:t xml:space="preserve">−CLP 47.3 M</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c>
          <w:tcPr>
            <w:tcMar>
              <w:top w:type="dxa" w:w="120"/>
              <w:left w:type="dxa" w:w="100"/>
              <w:bottom w:type="dxa" w:w="120"/>
              <w:right w:type="dxa" w:w="100"/>
            </w:tcMar>
          </w:tcPr>
          <w:p>
            <w:pPr>
              <w:jc w:val="left"/>
            </w:pPr>
            <w:r>
              <w:rPr>
                <w:rFonts w:ascii="Calibri" w:cs="Calibri" w:eastAsia="Calibri" w:hAnsi="Calibri"/>
                <w:sz w:val="18"/>
                <w:szCs w:val="18"/>
              </w:rPr>
              <w:t xml:space="preserve">&gt; 5 años</w:t>
            </w:r>
          </w:p>
        </w:tc>
        <w:tc>
          <w:tcPr>
            <w:tcMar>
              <w:top w:type="dxa" w:w="120"/>
              <w:left w:type="dxa" w:w="100"/>
              <w:bottom w:type="dxa" w:w="120"/>
              <w:right w:type="dxa" w:w="100"/>
            </w:tcMar>
          </w:tcPr>
          <w:p>
            <w:pPr>
              <w:jc w:val="left"/>
            </w:pPr>
            <w:r>
              <w:rPr>
                <w:rFonts w:ascii="Calibri" w:cs="Calibri" w:eastAsia="Calibri" w:hAnsi="Calibri"/>
                <w:sz w:val="18"/>
                <w:szCs w:val="18"/>
              </w:rPr>
              <w:t xml:space="preserve">5 / 100</w:t>
            </w:r>
          </w:p>
        </w:tc>
        <w:tc>
          <w:tcPr>
            <w:tcMar>
              <w:top w:type="dxa" w:w="120"/>
              <w:left w:type="dxa" w:w="100"/>
              <w:bottom w:type="dxa" w:w="120"/>
              <w:right w:type="dxa" w:w="100"/>
            </w:tcMar>
          </w:tcPr>
          <w:p>
            <w:pPr>
              <w:jc w:val="left"/>
            </w:pPr>
            <w:r>
              <w:rPr>
                <w:rFonts w:ascii="Calibri" w:cs="Calibri" w:eastAsia="Calibri" w:hAnsi="Calibri"/>
                <w:sz w:val="18"/>
                <w:szCs w:val="18"/>
              </w:rPr>
              <w:t xml:space="preserve">✗ No conviene</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Vitacura · Alonso de Córdova</w:t>
            </w:r>
          </w:p>
        </w:tc>
        <w:tc>
          <w:tcPr>
            <w:tcMar>
              <w:top w:type="dxa" w:w="120"/>
              <w:left w:type="dxa" w:w="100"/>
              <w:bottom w:type="dxa" w:w="120"/>
              <w:right w:type="dxa" w:w="100"/>
            </w:tcMar>
          </w:tcPr>
          <w:p>
            <w:pPr>
              <w:jc w:val="left"/>
            </w:pPr>
            <w:r>
              <w:rPr>
                <w:rFonts w:ascii="Calibri" w:cs="Calibri" w:eastAsia="Calibri" w:hAnsi="Calibri"/>
                <w:sz w:val="18"/>
                <w:szCs w:val="18"/>
              </w:rPr>
              <w:t xml:space="preserve">−CLP 56.2 M</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c>
          <w:tcPr>
            <w:tcMar>
              <w:top w:type="dxa" w:w="120"/>
              <w:left w:type="dxa" w:w="100"/>
              <w:bottom w:type="dxa" w:w="120"/>
              <w:right w:type="dxa" w:w="100"/>
            </w:tcMar>
          </w:tcPr>
          <w:p>
            <w:pPr>
              <w:jc w:val="left"/>
            </w:pPr>
            <w:r>
              <w:rPr>
                <w:rFonts w:ascii="Calibri" w:cs="Calibri" w:eastAsia="Calibri" w:hAnsi="Calibri"/>
                <w:sz w:val="18"/>
                <w:szCs w:val="18"/>
              </w:rPr>
              <w:t xml:space="preserve">&gt; 5 años</w:t>
            </w:r>
          </w:p>
        </w:tc>
        <w:tc>
          <w:tcPr>
            <w:tcMar>
              <w:top w:type="dxa" w:w="120"/>
              <w:left w:type="dxa" w:w="100"/>
              <w:bottom w:type="dxa" w:w="120"/>
              <w:right w:type="dxa" w:w="100"/>
            </w:tcMar>
          </w:tcPr>
          <w:p>
            <w:pPr>
              <w:jc w:val="left"/>
            </w:pPr>
            <w:r>
              <w:rPr>
                <w:rFonts w:ascii="Calibri" w:cs="Calibri" w:eastAsia="Calibri" w:hAnsi="Calibri"/>
                <w:sz w:val="18"/>
                <w:szCs w:val="18"/>
              </w:rPr>
              <w:t xml:space="preserve">0 / 100</w:t>
            </w:r>
          </w:p>
        </w:tc>
        <w:tc>
          <w:tcPr>
            <w:tcMar>
              <w:top w:type="dxa" w:w="120"/>
              <w:left w:type="dxa" w:w="100"/>
              <w:bottom w:type="dxa" w:w="120"/>
              <w:right w:type="dxa" w:w="100"/>
            </w:tcMar>
          </w:tcPr>
          <w:p>
            <w:pPr>
              <w:jc w:val="left"/>
            </w:pPr>
            <w:r>
              <w:rPr>
                <w:rFonts w:ascii="Calibri" w:cs="Calibri" w:eastAsia="Calibri" w:hAnsi="Calibri"/>
                <w:sz w:val="18"/>
                <w:szCs w:val="18"/>
              </w:rPr>
              <w:t xml:space="preserve">✗ No conviene</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Ñuñoa · Plaza Ñuñoa</w:t>
            </w:r>
          </w:p>
        </w:tc>
        <w:tc>
          <w:tcPr>
            <w:tcMar>
              <w:top w:type="dxa" w:w="120"/>
              <w:left w:type="dxa" w:w="100"/>
              <w:bottom w:type="dxa" w:w="120"/>
              <w:right w:type="dxa" w:w="100"/>
            </w:tcMar>
          </w:tcPr>
          <w:p>
            <w:pPr>
              <w:jc w:val="left"/>
            </w:pPr>
            <w:r>
              <w:rPr>
                <w:rFonts w:ascii="Calibri" w:cs="Calibri" w:eastAsia="Calibri" w:hAnsi="Calibri"/>
                <w:sz w:val="18"/>
                <w:szCs w:val="18"/>
              </w:rPr>
              <w:t xml:space="preserve">−CLP 63.3 M</w:t>
            </w:r>
          </w:p>
        </w:tc>
        <w:tc>
          <w:tcPr>
            <w:tcMar>
              <w:top w:type="dxa" w:w="120"/>
              <w:left w:type="dxa" w:w="100"/>
              <w:bottom w:type="dxa" w:w="120"/>
              <w:right w:type="dxa" w:w="100"/>
            </w:tcMar>
          </w:tcPr>
          <w:p>
            <w:pPr>
              <w:jc w:val="left"/>
            </w:pPr>
            <w:r>
              <w:rPr>
                <w:rFonts w:ascii="Calibri" w:cs="Calibri" w:eastAsia="Calibri" w:hAnsi="Calibri"/>
                <w:sz w:val="18"/>
                <w:szCs w:val="18"/>
              </w:rPr>
              <w:t xml:space="preserve">—</w:t>
            </w:r>
          </w:p>
        </w:tc>
        <w:tc>
          <w:tcPr>
            <w:tcMar>
              <w:top w:type="dxa" w:w="120"/>
              <w:left w:type="dxa" w:w="100"/>
              <w:bottom w:type="dxa" w:w="120"/>
              <w:right w:type="dxa" w:w="100"/>
            </w:tcMar>
          </w:tcPr>
          <w:p>
            <w:pPr>
              <w:jc w:val="left"/>
            </w:pPr>
            <w:r>
              <w:rPr>
                <w:rFonts w:ascii="Calibri" w:cs="Calibri" w:eastAsia="Calibri" w:hAnsi="Calibri"/>
                <w:sz w:val="18"/>
                <w:szCs w:val="18"/>
              </w:rPr>
              <w:t xml:space="preserve">&gt; 5 años</w:t>
            </w:r>
          </w:p>
        </w:tc>
        <w:tc>
          <w:tcPr>
            <w:tcMar>
              <w:top w:type="dxa" w:w="120"/>
              <w:left w:type="dxa" w:w="100"/>
              <w:bottom w:type="dxa" w:w="120"/>
              <w:right w:type="dxa" w:w="100"/>
            </w:tcMar>
          </w:tcPr>
          <w:p>
            <w:pPr>
              <w:jc w:val="left"/>
            </w:pPr>
            <w:r>
              <w:rPr>
                <w:rFonts w:ascii="Calibri" w:cs="Calibri" w:eastAsia="Calibri" w:hAnsi="Calibri"/>
                <w:sz w:val="18"/>
                <w:szCs w:val="18"/>
              </w:rPr>
              <w:t xml:space="preserve">0 / 100</w:t>
            </w:r>
          </w:p>
        </w:tc>
        <w:tc>
          <w:tcPr>
            <w:tcMar>
              <w:top w:type="dxa" w:w="120"/>
              <w:left w:type="dxa" w:w="100"/>
              <w:bottom w:type="dxa" w:w="120"/>
              <w:right w:type="dxa" w:w="100"/>
            </w:tcMar>
          </w:tcPr>
          <w:p>
            <w:pPr>
              <w:jc w:val="left"/>
            </w:pPr>
            <w:r>
              <w:rPr>
                <w:rFonts w:ascii="Calibri" w:cs="Calibri" w:eastAsia="Calibri" w:hAnsi="Calibri"/>
                <w:sz w:val="18"/>
                <w:szCs w:val="18"/>
              </w:rPr>
              <w:t xml:space="preserve">✗ No conviene</w:t>
            </w:r>
          </w:p>
        </w:tc>
      </w:tr>
    </w:tbl>
    <w:p>
      <w:pPr>
        <w:spacing w:after="240" w:before="60"/>
        <w:jc w:val="center"/>
      </w:pPr>
      <w:r>
        <w:rPr>
          <w:rFonts w:ascii="Calibri" w:cs="Calibri" w:eastAsia="Calibri" w:hAnsi="Calibri"/>
          <w:i/>
          <w:iCs/>
          <w:color w:val="6B7280"/>
          <w:sz w:val="18"/>
          <w:szCs w:val="18"/>
        </w:rPr>
        <w:t xml:space="preserve">Tabla 13.1 — Indicadores de evaluación por ubicación, ordenados por VAN base. Modelo corregido (Tcc 14%, valor terminal por múltiplo EBITDA 3,5x, comisión tarjetas 2,8%, costos fijos reales).</w:t>
      </w:r>
    </w:p>
    <w:p>
      <w:pPr>
        <w:pStyle w:val="Heading2"/>
        <w:spacing w:after="160" w:before="320"/>
      </w:pPr>
      <w:r>
        <w:rPr>
          <w:rFonts w:ascii="Cambria" w:cs="Cambria" w:eastAsia="Cambria" w:hAnsi="Cambria"/>
          <w:b/>
          <w:bCs/>
          <w:color w:val="374151"/>
          <w:sz w:val="26"/>
          <w:szCs w:val="26"/>
        </w:rPr>
        <w:t xml:space="preserve">13.2 Interpretación</w:t>
      </w:r>
    </w:p>
    <w:p>
      <w:pPr>
        <w:spacing w:after="160" w:line="360"/>
        <w:jc w:val="both"/>
      </w:pPr>
      <w:r>
        <w:rPr>
          <w:rFonts w:ascii="Calibri" w:cs="Calibri" w:eastAsia="Calibri" w:hAnsi="Calibri"/>
          <w:sz w:val="22"/>
          <w:szCs w:val="22"/>
        </w:rPr>
        <w:t xml:space="preserve">Solo una de las siete localizaciones evaluadas presenta veredicto recomendable bajo el modelo corregido: El Golf · Las Condes, con VAN base de CLP 48.7 M, TIR de 39.0% y payback de 3.39 años. La condición que distingue a esta zona del resto es la combinación de ticket alto sostenible (CLP 4.500) y volumen estable concentrado en horario laboral, que genera un EBITDA del primer año superior a CLP 14.2 M, suficiente para cubrir la estructura de costos fijos elevada del retail food.</w:t>
      </w:r>
    </w:p>
    <w:p>
      <w:pPr>
        <w:spacing w:after="160" w:line="360"/>
        <w:jc w:val="both"/>
      </w:pPr>
      <w:r>
        <w:rPr>
          <w:rFonts w:ascii="Calibri" w:cs="Calibri" w:eastAsia="Calibri" w:hAnsi="Calibri"/>
          <w:sz w:val="22"/>
          <w:szCs w:val="22"/>
        </w:rPr>
        <w:t xml:space="preserve">Las dos siguientes ubicaciones (Santiago Centro · Ahumada y Providencia · Pedro de Valdivia) presentan VAN positivo pero marginal (CLP 3.6 M y CLP 2.4 M respectivamente). Aunque sus TIRs superan el costo de capital, ambos casos requieren ser examinados con cautela porque el escenario pesimista —caída del 35-40% en demanda— destruye su VAN. En la práctica, esto significa que el margen de seguridad operacional es estrecho y dependen críticamente de mantener el volumen proyectado.</w:t>
      </w:r>
    </w:p>
    <w:p>
      <w:pPr>
        <w:spacing w:after="160" w:line="360"/>
        <w:jc w:val="both"/>
      </w:pPr>
      <w:r>
        <w:rPr>
          <w:rFonts w:ascii="Calibri" w:cs="Calibri" w:eastAsia="Calibri" w:hAnsi="Calibri"/>
          <w:sz w:val="22"/>
          <w:szCs w:val="22"/>
        </w:rPr>
        <w:t xml:space="preserve">Las cuatro localizaciones restantes (Apoquindo, Vitacura, Ñuñoa y Estación Central) presentan VAN claramente negativo en el caso base. Sus razones de descarte son específicas de cada zona: ticket insuficiente combinado con volumen bajo (Vitacura, Ñuñoa), o ticket muy bajo aunque volumen alto (Estación Central), o costos fijos elevados sin compensación de margen (Apoquindo).</w:t>
      </w:r>
    </w:p>
    <w:p>
      <w:pPr>
        <w:pStyle w:val="Heading2"/>
        <w:spacing w:after="160" w:before="320"/>
      </w:pPr>
      <w:r>
        <w:rPr>
          <w:rFonts w:ascii="Cambria" w:cs="Cambria" w:eastAsia="Cambria" w:hAnsi="Cambria"/>
          <w:b/>
          <w:bCs/>
          <w:color w:val="374151"/>
          <w:sz w:val="26"/>
          <w:szCs w:val="26"/>
        </w:rPr>
        <w:t xml:space="preserve">13.3 Lectura crítica de la TIR</w:t>
      </w:r>
    </w:p>
    <w:p>
      <w:pPr>
        <w:spacing w:after="160" w:line="360"/>
        <w:jc w:val="both"/>
      </w:pPr>
      <w:r>
        <w:rPr>
          <w:rFonts w:ascii="Calibri" w:cs="Calibri" w:eastAsia="Calibri" w:hAnsi="Calibri"/>
          <w:i/>
          <w:iCs/>
          <w:sz w:val="22"/>
          <w:szCs w:val="22"/>
        </w:rPr>
        <w:t xml:space="preserve">La TIR de la ubicación recomendada se ubica en torno al 38%, valor que resulta atractivo respecto al costo de capital exigido (14%) pero conserva un sesgo "asset light" propio de las cafeterías compactas: la inversión inicial total (CAPEX más capital de trabajo) representa entre el 30 y 35% de los ingresos anuales proyectados, y el valor terminal calculado por múltiplo EBITDA representa cerca del 65% del VAN base. La descomposición del VAN en componente operacional (años 1-5) y componente terminal permite al evaluador medir la sensibilidad del resultado al supuesto de venta del going concern al cabo del horizonte.</w:t>
      </w:r>
    </w:p>
    <w:p>
      <w:r>
        <w:br w:type="page"/>
      </w:r>
    </w:p>
    <w:p>
      <w:pPr>
        <w:pStyle w:val="Heading1"/>
        <w:spacing w:after="240" w:before="480"/>
      </w:pPr>
      <w:r>
        <w:rPr>
          <w:rFonts w:ascii="Cambria" w:cs="Cambria" w:eastAsia="Cambria" w:hAnsi="Cambria"/>
          <w:b/>
          <w:bCs/>
          <w:color w:val="1F2937"/>
          <w:sz w:val="32"/>
          <w:szCs w:val="32"/>
        </w:rPr>
        <w:t xml:space="preserve">14. Análisis de sensibilidad</w:t>
      </w:r>
    </w:p>
    <w:p>
      <w:pPr>
        <w:pStyle w:val="Heading2"/>
        <w:spacing w:after="160" w:before="320"/>
      </w:pPr>
      <w:r>
        <w:rPr>
          <w:rFonts w:ascii="Cambria" w:cs="Cambria" w:eastAsia="Cambria" w:hAnsi="Cambria"/>
          <w:b/>
          <w:bCs/>
          <w:color w:val="374151"/>
          <w:sz w:val="26"/>
          <w:szCs w:val="26"/>
        </w:rPr>
        <w:t xml:space="preserve">14.1 Variables analizadas</w:t>
      </w:r>
    </w:p>
    <w:p>
      <w:pPr>
        <w:spacing w:after="160" w:line="360"/>
        <w:jc w:val="both"/>
      </w:pPr>
      <w:r>
        <w:rPr>
          <w:rFonts w:ascii="Calibri" w:cs="Calibri" w:eastAsia="Calibri" w:hAnsi="Calibri"/>
          <w:sz w:val="22"/>
          <w:szCs w:val="22"/>
        </w:rPr>
        <w:t xml:space="preserve">Se aplicó análisis de sensibilidad univariado sobre seis variables consideradas críticas. Cada variable fue modificada en cuatro deltas (-20%, -10%, +10%, +20%) manteniendo las restantes en su valor base. El impacto se mide en variación absoluta del VAN respecto al caso base.</w:t>
      </w:r>
    </w:p>
    <w:p>
      <w:pPr>
        <w:pStyle w:val="Heading2"/>
        <w:spacing w:after="160" w:before="320"/>
      </w:pPr>
      <w:r>
        <w:rPr>
          <w:rFonts w:ascii="Cambria" w:cs="Cambria" w:eastAsia="Cambria" w:hAnsi="Cambria"/>
          <w:b/>
          <w:bCs/>
          <w:color w:val="374151"/>
          <w:sz w:val="26"/>
          <w:szCs w:val="26"/>
        </w:rPr>
        <w:t xml:space="preserve">14.2 Resultados (ubicación El Golf · Las Condes)</w:t>
      </w:r>
    </w:p>
    <w:tbl>
      <w:tblPr>
        <w:tblW w:type="pct" w:w="100%"/>
        <w:tblBorders>
          <w:top w:val="single" w:color="111827" w:sz="6"/>
          <w:left w:val="none" w:color="FFFFFF" w:sz="0"/>
          <w:bottom w:val="single" w:color="111827" w:sz="6"/>
          <w:right w:val="none" w:color="FFFFFF" w:sz="0"/>
          <w:insideH w:val="single" w:color="D1D5DB" w:sz="2"/>
          <w:insideV w:val="none" w:color="FFFFFF" w:sz="0"/>
        </w:tblBorders>
      </w:tblPr>
      <w:tblGrid>
        <w:gridCol w:w="100"/>
        <w:gridCol w:w="100"/>
        <w:gridCol w:w="100"/>
        <w:gridCol w:w="100"/>
        <w:gridCol w:w="100"/>
        <w:gridCol w:w="100"/>
      </w:tblGrid>
      <w:tr>
        <w:trPr>
          <w:tblHeader/>
        </w:trPr>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Variable</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Δ -20%</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Δ -10%</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Δ +10%</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Δ +20%</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Rango total</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Ticket promedio</w:t>
            </w:r>
          </w:p>
        </w:tc>
        <w:tc>
          <w:tcPr>
            <w:tcMar>
              <w:top w:type="dxa" w:w="120"/>
              <w:left w:type="dxa" w:w="100"/>
              <w:bottom w:type="dxa" w:w="120"/>
              <w:right w:type="dxa" w:w="100"/>
            </w:tcMar>
          </w:tcPr>
          <w:p>
            <w:pPr>
              <w:jc w:val="left"/>
            </w:pPr>
            <w:r>
              <w:rPr>
                <w:rFonts w:ascii="Calibri" w:cs="Calibri" w:eastAsia="Calibri" w:hAnsi="Calibri"/>
                <w:sz w:val="18"/>
                <w:szCs w:val="18"/>
              </w:rPr>
              <w:t xml:space="preserve">($165 M)</w:t>
            </w:r>
          </w:p>
        </w:tc>
        <w:tc>
          <w:tcPr>
            <w:tcMar>
              <w:top w:type="dxa" w:w="120"/>
              <w:left w:type="dxa" w:w="100"/>
              <w:bottom w:type="dxa" w:w="120"/>
              <w:right w:type="dxa" w:w="100"/>
            </w:tcMar>
          </w:tcPr>
          <w:p>
            <w:pPr>
              <w:jc w:val="left"/>
            </w:pPr>
            <w:r>
              <w:rPr>
                <w:rFonts w:ascii="Calibri" w:cs="Calibri" w:eastAsia="Calibri" w:hAnsi="Calibri"/>
                <w:sz w:val="18"/>
                <w:szCs w:val="18"/>
              </w:rPr>
              <w:t xml:space="preserve">($82 M)</w:t>
            </w:r>
          </w:p>
        </w:tc>
        <w:tc>
          <w:tcPr>
            <w:tcMar>
              <w:top w:type="dxa" w:w="120"/>
              <w:left w:type="dxa" w:w="100"/>
              <w:bottom w:type="dxa" w:w="120"/>
              <w:right w:type="dxa" w:w="100"/>
            </w:tcMar>
          </w:tcPr>
          <w:p>
            <w:pPr>
              <w:jc w:val="left"/>
            </w:pPr>
            <w:r>
              <w:rPr>
                <w:rFonts w:ascii="Calibri" w:cs="Calibri" w:eastAsia="Calibri" w:hAnsi="Calibri"/>
                <w:sz w:val="18"/>
                <w:szCs w:val="18"/>
              </w:rPr>
              <w:t xml:space="preserve">+$82 M</w:t>
            </w:r>
          </w:p>
        </w:tc>
        <w:tc>
          <w:tcPr>
            <w:tcMar>
              <w:top w:type="dxa" w:w="120"/>
              <w:left w:type="dxa" w:w="100"/>
              <w:bottom w:type="dxa" w:w="120"/>
              <w:right w:type="dxa" w:w="100"/>
            </w:tcMar>
          </w:tcPr>
          <w:p>
            <w:pPr>
              <w:jc w:val="left"/>
            </w:pPr>
            <w:r>
              <w:rPr>
                <w:rFonts w:ascii="Calibri" w:cs="Calibri" w:eastAsia="Calibri" w:hAnsi="Calibri"/>
                <w:sz w:val="18"/>
                <w:szCs w:val="18"/>
              </w:rPr>
              <w:t xml:space="preserve">+$165 M</w:t>
            </w:r>
          </w:p>
        </w:tc>
        <w:tc>
          <w:tcPr>
            <w:tcMar>
              <w:top w:type="dxa" w:w="120"/>
              <w:left w:type="dxa" w:w="100"/>
              <w:bottom w:type="dxa" w:w="120"/>
              <w:right w:type="dxa" w:w="100"/>
            </w:tcMar>
          </w:tcPr>
          <w:p>
            <w:pPr>
              <w:jc w:val="left"/>
            </w:pPr>
            <w:r>
              <w:rPr>
                <w:rFonts w:ascii="Calibri" w:cs="Calibri" w:eastAsia="Calibri" w:hAnsi="Calibri"/>
                <w:sz w:val="18"/>
                <w:szCs w:val="18"/>
              </w:rPr>
              <w:t xml:space="preserve">$330 M</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Demanda (combos/día)</w:t>
            </w:r>
          </w:p>
        </w:tc>
        <w:tc>
          <w:tcPr>
            <w:tcMar>
              <w:top w:type="dxa" w:w="120"/>
              <w:left w:type="dxa" w:w="100"/>
              <w:bottom w:type="dxa" w:w="120"/>
              <w:right w:type="dxa" w:w="100"/>
            </w:tcMar>
          </w:tcPr>
          <w:p>
            <w:pPr>
              <w:jc w:val="left"/>
            </w:pPr>
            <w:r>
              <w:rPr>
                <w:rFonts w:ascii="Calibri" w:cs="Calibri" w:eastAsia="Calibri" w:hAnsi="Calibri"/>
                <w:sz w:val="18"/>
                <w:szCs w:val="18"/>
              </w:rPr>
              <w:t xml:space="preserve">($154 M)</w:t>
            </w:r>
          </w:p>
        </w:tc>
        <w:tc>
          <w:tcPr>
            <w:tcMar>
              <w:top w:type="dxa" w:w="120"/>
              <w:left w:type="dxa" w:w="100"/>
              <w:bottom w:type="dxa" w:w="120"/>
              <w:right w:type="dxa" w:w="100"/>
            </w:tcMar>
          </w:tcPr>
          <w:p>
            <w:pPr>
              <w:jc w:val="left"/>
            </w:pPr>
            <w:r>
              <w:rPr>
                <w:rFonts w:ascii="Calibri" w:cs="Calibri" w:eastAsia="Calibri" w:hAnsi="Calibri"/>
                <w:sz w:val="18"/>
                <w:szCs w:val="18"/>
              </w:rPr>
              <w:t xml:space="preserve">($77 M)</w:t>
            </w:r>
          </w:p>
        </w:tc>
        <w:tc>
          <w:tcPr>
            <w:tcMar>
              <w:top w:type="dxa" w:w="120"/>
              <w:left w:type="dxa" w:w="100"/>
              <w:bottom w:type="dxa" w:w="120"/>
              <w:right w:type="dxa" w:w="100"/>
            </w:tcMar>
          </w:tcPr>
          <w:p>
            <w:pPr>
              <w:jc w:val="left"/>
            </w:pPr>
            <w:r>
              <w:rPr>
                <w:rFonts w:ascii="Calibri" w:cs="Calibri" w:eastAsia="Calibri" w:hAnsi="Calibri"/>
                <w:sz w:val="18"/>
                <w:szCs w:val="18"/>
              </w:rPr>
              <w:t xml:space="preserve">+$77 M</w:t>
            </w:r>
          </w:p>
        </w:tc>
        <w:tc>
          <w:tcPr>
            <w:tcMar>
              <w:top w:type="dxa" w:w="120"/>
              <w:left w:type="dxa" w:w="100"/>
              <w:bottom w:type="dxa" w:w="120"/>
              <w:right w:type="dxa" w:w="100"/>
            </w:tcMar>
          </w:tcPr>
          <w:p>
            <w:pPr>
              <w:jc w:val="left"/>
            </w:pPr>
            <w:r>
              <w:rPr>
                <w:rFonts w:ascii="Calibri" w:cs="Calibri" w:eastAsia="Calibri" w:hAnsi="Calibri"/>
                <w:sz w:val="18"/>
                <w:szCs w:val="18"/>
              </w:rPr>
              <w:t xml:space="preserve">+$154 M</w:t>
            </w:r>
          </w:p>
        </w:tc>
        <w:tc>
          <w:tcPr>
            <w:tcMar>
              <w:top w:type="dxa" w:w="120"/>
              <w:left w:type="dxa" w:w="100"/>
              <w:bottom w:type="dxa" w:w="120"/>
              <w:right w:type="dxa" w:w="100"/>
            </w:tcMar>
          </w:tcPr>
          <w:p>
            <w:pPr>
              <w:jc w:val="left"/>
            </w:pPr>
            <w:r>
              <w:rPr>
                <w:rFonts w:ascii="Calibri" w:cs="Calibri" w:eastAsia="Calibri" w:hAnsi="Calibri"/>
                <w:sz w:val="18"/>
                <w:szCs w:val="18"/>
              </w:rPr>
              <w:t xml:space="preserve">$308 M</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Costo variable (insumos)</w:t>
            </w:r>
          </w:p>
        </w:tc>
        <w:tc>
          <w:tcPr>
            <w:tcMar>
              <w:top w:type="dxa" w:w="120"/>
              <w:left w:type="dxa" w:w="100"/>
              <w:bottom w:type="dxa" w:w="120"/>
              <w:right w:type="dxa" w:w="100"/>
            </w:tcMar>
          </w:tcPr>
          <w:p>
            <w:pPr>
              <w:jc w:val="left"/>
            </w:pPr>
            <w:r>
              <w:rPr>
                <w:rFonts w:ascii="Calibri" w:cs="Calibri" w:eastAsia="Calibri" w:hAnsi="Calibri"/>
                <w:sz w:val="18"/>
                <w:szCs w:val="18"/>
              </w:rPr>
              <w:t xml:space="preserve">+$58 M</w:t>
            </w:r>
          </w:p>
        </w:tc>
        <w:tc>
          <w:tcPr>
            <w:tcMar>
              <w:top w:type="dxa" w:w="120"/>
              <w:left w:type="dxa" w:w="100"/>
              <w:bottom w:type="dxa" w:w="120"/>
              <w:right w:type="dxa" w:w="100"/>
            </w:tcMar>
          </w:tcPr>
          <w:p>
            <w:pPr>
              <w:jc w:val="left"/>
            </w:pPr>
            <w:r>
              <w:rPr>
                <w:rFonts w:ascii="Calibri" w:cs="Calibri" w:eastAsia="Calibri" w:hAnsi="Calibri"/>
                <w:sz w:val="18"/>
                <w:szCs w:val="18"/>
              </w:rPr>
              <w:t xml:space="preserve">+$29 M</w:t>
            </w:r>
          </w:p>
        </w:tc>
        <w:tc>
          <w:tcPr>
            <w:tcMar>
              <w:top w:type="dxa" w:w="120"/>
              <w:left w:type="dxa" w:w="100"/>
              <w:bottom w:type="dxa" w:w="120"/>
              <w:right w:type="dxa" w:w="100"/>
            </w:tcMar>
          </w:tcPr>
          <w:p>
            <w:pPr>
              <w:jc w:val="left"/>
            </w:pPr>
            <w:r>
              <w:rPr>
                <w:rFonts w:ascii="Calibri" w:cs="Calibri" w:eastAsia="Calibri" w:hAnsi="Calibri"/>
                <w:sz w:val="18"/>
                <w:szCs w:val="18"/>
              </w:rPr>
              <w:t xml:space="preserve">($29 M)</w:t>
            </w:r>
          </w:p>
        </w:tc>
        <w:tc>
          <w:tcPr>
            <w:tcMar>
              <w:top w:type="dxa" w:w="120"/>
              <w:left w:type="dxa" w:w="100"/>
              <w:bottom w:type="dxa" w:w="120"/>
              <w:right w:type="dxa" w:w="100"/>
            </w:tcMar>
          </w:tcPr>
          <w:p>
            <w:pPr>
              <w:jc w:val="left"/>
            </w:pPr>
            <w:r>
              <w:rPr>
                <w:rFonts w:ascii="Calibri" w:cs="Calibri" w:eastAsia="Calibri" w:hAnsi="Calibri"/>
                <w:sz w:val="18"/>
                <w:szCs w:val="18"/>
              </w:rPr>
              <w:t xml:space="preserve">($58 M)</w:t>
            </w:r>
          </w:p>
        </w:tc>
        <w:tc>
          <w:tcPr>
            <w:tcMar>
              <w:top w:type="dxa" w:w="120"/>
              <w:left w:type="dxa" w:w="100"/>
              <w:bottom w:type="dxa" w:w="120"/>
              <w:right w:type="dxa" w:w="100"/>
            </w:tcMar>
          </w:tcPr>
          <w:p>
            <w:pPr>
              <w:jc w:val="left"/>
            </w:pPr>
            <w:r>
              <w:rPr>
                <w:rFonts w:ascii="Calibri" w:cs="Calibri" w:eastAsia="Calibri" w:hAnsi="Calibri"/>
                <w:sz w:val="18"/>
                <w:szCs w:val="18"/>
              </w:rPr>
              <w:t xml:space="preserve">$116 M</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Arriendo</w:t>
            </w:r>
          </w:p>
        </w:tc>
        <w:tc>
          <w:tcPr>
            <w:tcMar>
              <w:top w:type="dxa" w:w="120"/>
              <w:left w:type="dxa" w:w="100"/>
              <w:bottom w:type="dxa" w:w="120"/>
              <w:right w:type="dxa" w:w="100"/>
            </w:tcMar>
          </w:tcPr>
          <w:p>
            <w:pPr>
              <w:jc w:val="left"/>
            </w:pPr>
            <w:r>
              <w:rPr>
                <w:rFonts w:ascii="Calibri" w:cs="Calibri" w:eastAsia="Calibri" w:hAnsi="Calibri"/>
                <w:sz w:val="18"/>
                <w:szCs w:val="18"/>
              </w:rPr>
              <w:t xml:space="preserve">+$48 M</w:t>
            </w:r>
          </w:p>
        </w:tc>
        <w:tc>
          <w:tcPr>
            <w:tcMar>
              <w:top w:type="dxa" w:w="120"/>
              <w:left w:type="dxa" w:w="100"/>
              <w:bottom w:type="dxa" w:w="120"/>
              <w:right w:type="dxa" w:w="100"/>
            </w:tcMar>
          </w:tcPr>
          <w:p>
            <w:pPr>
              <w:jc w:val="left"/>
            </w:pPr>
            <w:r>
              <w:rPr>
                <w:rFonts w:ascii="Calibri" w:cs="Calibri" w:eastAsia="Calibri" w:hAnsi="Calibri"/>
                <w:sz w:val="18"/>
                <w:szCs w:val="18"/>
              </w:rPr>
              <w:t xml:space="preserve">+$24 M</w:t>
            </w:r>
          </w:p>
        </w:tc>
        <w:tc>
          <w:tcPr>
            <w:tcMar>
              <w:top w:type="dxa" w:w="120"/>
              <w:left w:type="dxa" w:w="100"/>
              <w:bottom w:type="dxa" w:w="120"/>
              <w:right w:type="dxa" w:w="100"/>
            </w:tcMar>
          </w:tcPr>
          <w:p>
            <w:pPr>
              <w:jc w:val="left"/>
            </w:pPr>
            <w:r>
              <w:rPr>
                <w:rFonts w:ascii="Calibri" w:cs="Calibri" w:eastAsia="Calibri" w:hAnsi="Calibri"/>
                <w:sz w:val="18"/>
                <w:szCs w:val="18"/>
              </w:rPr>
              <w:t xml:space="preserve">($24 M)</w:t>
            </w:r>
          </w:p>
        </w:tc>
        <w:tc>
          <w:tcPr>
            <w:tcMar>
              <w:top w:type="dxa" w:w="120"/>
              <w:left w:type="dxa" w:w="100"/>
              <w:bottom w:type="dxa" w:w="120"/>
              <w:right w:type="dxa" w:w="100"/>
            </w:tcMar>
          </w:tcPr>
          <w:p>
            <w:pPr>
              <w:jc w:val="left"/>
            </w:pPr>
            <w:r>
              <w:rPr>
                <w:rFonts w:ascii="Calibri" w:cs="Calibri" w:eastAsia="Calibri" w:hAnsi="Calibri"/>
                <w:sz w:val="18"/>
                <w:szCs w:val="18"/>
              </w:rPr>
              <w:t xml:space="preserve">($48 M)</w:t>
            </w:r>
          </w:p>
        </w:tc>
        <w:tc>
          <w:tcPr>
            <w:tcMar>
              <w:top w:type="dxa" w:w="120"/>
              <w:left w:type="dxa" w:w="100"/>
              <w:bottom w:type="dxa" w:w="120"/>
              <w:right w:type="dxa" w:w="100"/>
            </w:tcMar>
          </w:tcPr>
          <w:p>
            <w:pPr>
              <w:jc w:val="left"/>
            </w:pPr>
            <w:r>
              <w:rPr>
                <w:rFonts w:ascii="Calibri" w:cs="Calibri" w:eastAsia="Calibri" w:hAnsi="Calibri"/>
                <w:sz w:val="18"/>
                <w:szCs w:val="18"/>
              </w:rPr>
              <w:t xml:space="preserve">$96 M</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Sueldos planilla</w:t>
            </w:r>
          </w:p>
        </w:tc>
        <w:tc>
          <w:tcPr>
            <w:tcMar>
              <w:top w:type="dxa" w:w="120"/>
              <w:left w:type="dxa" w:w="100"/>
              <w:bottom w:type="dxa" w:w="120"/>
              <w:right w:type="dxa" w:w="100"/>
            </w:tcMar>
          </w:tcPr>
          <w:p>
            <w:pPr>
              <w:jc w:val="left"/>
            </w:pPr>
            <w:r>
              <w:rPr>
                <w:rFonts w:ascii="Calibri" w:cs="Calibri" w:eastAsia="Calibri" w:hAnsi="Calibri"/>
                <w:sz w:val="18"/>
                <w:szCs w:val="18"/>
              </w:rPr>
              <w:t xml:space="preserve">+$45 M</w:t>
            </w:r>
          </w:p>
        </w:tc>
        <w:tc>
          <w:tcPr>
            <w:tcMar>
              <w:top w:type="dxa" w:w="120"/>
              <w:left w:type="dxa" w:w="100"/>
              <w:bottom w:type="dxa" w:w="120"/>
              <w:right w:type="dxa" w:w="100"/>
            </w:tcMar>
          </w:tcPr>
          <w:p>
            <w:pPr>
              <w:jc w:val="left"/>
            </w:pPr>
            <w:r>
              <w:rPr>
                <w:rFonts w:ascii="Calibri" w:cs="Calibri" w:eastAsia="Calibri" w:hAnsi="Calibri"/>
                <w:sz w:val="18"/>
                <w:szCs w:val="18"/>
              </w:rPr>
              <w:t xml:space="preserve">+$22 M</w:t>
            </w:r>
          </w:p>
        </w:tc>
        <w:tc>
          <w:tcPr>
            <w:tcMar>
              <w:top w:type="dxa" w:w="120"/>
              <w:left w:type="dxa" w:w="100"/>
              <w:bottom w:type="dxa" w:w="120"/>
              <w:right w:type="dxa" w:w="100"/>
            </w:tcMar>
          </w:tcPr>
          <w:p>
            <w:pPr>
              <w:jc w:val="left"/>
            </w:pPr>
            <w:r>
              <w:rPr>
                <w:rFonts w:ascii="Calibri" w:cs="Calibri" w:eastAsia="Calibri" w:hAnsi="Calibri"/>
                <w:sz w:val="18"/>
                <w:szCs w:val="18"/>
              </w:rPr>
              <w:t xml:space="preserve">($22 M)</w:t>
            </w:r>
          </w:p>
        </w:tc>
        <w:tc>
          <w:tcPr>
            <w:tcMar>
              <w:top w:type="dxa" w:w="120"/>
              <w:left w:type="dxa" w:w="100"/>
              <w:bottom w:type="dxa" w:w="120"/>
              <w:right w:type="dxa" w:w="100"/>
            </w:tcMar>
          </w:tcPr>
          <w:p>
            <w:pPr>
              <w:jc w:val="left"/>
            </w:pPr>
            <w:r>
              <w:rPr>
                <w:rFonts w:ascii="Calibri" w:cs="Calibri" w:eastAsia="Calibri" w:hAnsi="Calibri"/>
                <w:sz w:val="18"/>
                <w:szCs w:val="18"/>
              </w:rPr>
              <w:t xml:space="preserve">($45 M)</w:t>
            </w:r>
          </w:p>
        </w:tc>
        <w:tc>
          <w:tcPr>
            <w:tcMar>
              <w:top w:type="dxa" w:w="120"/>
              <w:left w:type="dxa" w:w="100"/>
              <w:bottom w:type="dxa" w:w="120"/>
              <w:right w:type="dxa" w:w="100"/>
            </w:tcMar>
          </w:tcPr>
          <w:p>
            <w:pPr>
              <w:jc w:val="left"/>
            </w:pPr>
            <w:r>
              <w:rPr>
                <w:rFonts w:ascii="Calibri" w:cs="Calibri" w:eastAsia="Calibri" w:hAnsi="Calibri"/>
                <w:sz w:val="18"/>
                <w:szCs w:val="18"/>
              </w:rPr>
              <w:t xml:space="preserve">$90 M</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Tasa banco</w:t>
            </w:r>
          </w:p>
        </w:tc>
        <w:tc>
          <w:tcPr>
            <w:tcMar>
              <w:top w:type="dxa" w:w="120"/>
              <w:left w:type="dxa" w:w="100"/>
              <w:bottom w:type="dxa" w:w="120"/>
              <w:right w:type="dxa" w:w="100"/>
            </w:tcMar>
          </w:tcPr>
          <w:p>
            <w:pPr>
              <w:jc w:val="left"/>
            </w:pPr>
            <w:r>
              <w:rPr>
                <w:rFonts w:ascii="Calibri" w:cs="Calibri" w:eastAsia="Calibri" w:hAnsi="Calibri"/>
                <w:sz w:val="18"/>
                <w:szCs w:val="18"/>
              </w:rPr>
              <w:t xml:space="preserve">($12 M)</w:t>
            </w:r>
          </w:p>
        </w:tc>
        <w:tc>
          <w:tcPr>
            <w:tcMar>
              <w:top w:type="dxa" w:w="120"/>
              <w:left w:type="dxa" w:w="100"/>
              <w:bottom w:type="dxa" w:w="120"/>
              <w:right w:type="dxa" w:w="100"/>
            </w:tcMar>
          </w:tcPr>
          <w:p>
            <w:pPr>
              <w:jc w:val="left"/>
            </w:pPr>
            <w:r>
              <w:rPr>
                <w:rFonts w:ascii="Calibri" w:cs="Calibri" w:eastAsia="Calibri" w:hAnsi="Calibri"/>
                <w:sz w:val="18"/>
                <w:szCs w:val="18"/>
              </w:rPr>
              <w:t xml:space="preserve">($6 M)</w:t>
            </w:r>
          </w:p>
        </w:tc>
        <w:tc>
          <w:tcPr>
            <w:tcMar>
              <w:top w:type="dxa" w:w="120"/>
              <w:left w:type="dxa" w:w="100"/>
              <w:bottom w:type="dxa" w:w="120"/>
              <w:right w:type="dxa" w:w="100"/>
            </w:tcMar>
          </w:tcPr>
          <w:p>
            <w:pPr>
              <w:jc w:val="left"/>
            </w:pPr>
            <w:r>
              <w:rPr>
                <w:rFonts w:ascii="Calibri" w:cs="Calibri" w:eastAsia="Calibri" w:hAnsi="Calibri"/>
                <w:sz w:val="18"/>
                <w:szCs w:val="18"/>
              </w:rPr>
              <w:t xml:space="preserve">+$6 M</w:t>
            </w:r>
          </w:p>
        </w:tc>
        <w:tc>
          <w:tcPr>
            <w:tcMar>
              <w:top w:type="dxa" w:w="120"/>
              <w:left w:type="dxa" w:w="100"/>
              <w:bottom w:type="dxa" w:w="120"/>
              <w:right w:type="dxa" w:w="100"/>
            </w:tcMar>
          </w:tcPr>
          <w:p>
            <w:pPr>
              <w:jc w:val="left"/>
            </w:pPr>
            <w:r>
              <w:rPr>
                <w:rFonts w:ascii="Calibri" w:cs="Calibri" w:eastAsia="Calibri" w:hAnsi="Calibri"/>
                <w:sz w:val="18"/>
                <w:szCs w:val="18"/>
              </w:rPr>
              <w:t xml:space="preserve">+$12 M</w:t>
            </w:r>
          </w:p>
        </w:tc>
        <w:tc>
          <w:tcPr>
            <w:tcMar>
              <w:top w:type="dxa" w:w="120"/>
              <w:left w:type="dxa" w:w="100"/>
              <w:bottom w:type="dxa" w:w="120"/>
              <w:right w:type="dxa" w:w="100"/>
            </w:tcMar>
          </w:tcPr>
          <w:p>
            <w:pPr>
              <w:jc w:val="left"/>
            </w:pPr>
            <w:r>
              <w:rPr>
                <w:rFonts w:ascii="Calibri" w:cs="Calibri" w:eastAsia="Calibri" w:hAnsi="Calibri"/>
                <w:sz w:val="18"/>
                <w:szCs w:val="18"/>
              </w:rPr>
              <w:t xml:space="preserve">$24 M</w:t>
            </w:r>
          </w:p>
        </w:tc>
      </w:tr>
    </w:tbl>
    <w:p>
      <w:pPr>
        <w:spacing w:after="240" w:before="60"/>
        <w:jc w:val="center"/>
      </w:pPr>
      <w:r>
        <w:rPr>
          <w:rFonts w:ascii="Calibri" w:cs="Calibri" w:eastAsia="Calibri" w:hAnsi="Calibri"/>
          <w:i/>
          <w:iCs/>
          <w:color w:val="6B7280"/>
          <w:sz w:val="18"/>
          <w:szCs w:val="18"/>
        </w:rPr>
        <w:t xml:space="preserve">Tabla 14.1 — Análisis de sensibilidad sobre VAN. Ordenado por rango total descendente.</w:t>
      </w:r>
    </w:p>
    <w:p>
      <w:pPr>
        <w:pStyle w:val="Heading2"/>
        <w:spacing w:after="160" w:before="320"/>
      </w:pPr>
      <w:r>
        <w:rPr>
          <w:rFonts w:ascii="Cambria" w:cs="Cambria" w:eastAsia="Cambria" w:hAnsi="Cambria"/>
          <w:b/>
          <w:bCs/>
          <w:color w:val="374151"/>
          <w:sz w:val="26"/>
          <w:szCs w:val="26"/>
        </w:rPr>
        <w:t xml:space="preserve">14.3 Interpretación</w:t>
      </w:r>
    </w:p>
    <w:p>
      <w:pPr>
        <w:spacing w:after="160" w:line="360"/>
        <w:jc w:val="both"/>
      </w:pPr>
      <w:r>
        <w:rPr>
          <w:rFonts w:ascii="Calibri" w:cs="Calibri" w:eastAsia="Calibri" w:hAnsi="Calibri"/>
          <w:sz w:val="22"/>
          <w:szCs w:val="22"/>
        </w:rPr>
        <w:t xml:space="preserve">Las dos variables más críticas para el VAN del proyecto son el ticket promedio y el volumen de demanda, con rangos de impacto de CLP 330 millones y CLP 308 millones respectivamente para variaciones de ±20%. Esto significa que una caída del 20% en el ticket o en la demanda reduce el VAN del proyecto en alrededor de la mitad. Estas dos variables son, por tanto, las que requieren mayor atención en la fase de implementación: validación primaria del ticket alcanzable en la zona específica y monitoreo continuo del volumen de ventas con planes de respuesta tácticos en caso de desviación.</w:t>
      </w:r>
    </w:p>
    <w:p>
      <w:pPr>
        <w:spacing w:after="160" w:line="360"/>
        <w:jc w:val="both"/>
      </w:pPr>
      <w:r>
        <w:rPr>
          <w:rFonts w:ascii="Calibri" w:cs="Calibri" w:eastAsia="Calibri" w:hAnsi="Calibri"/>
          <w:sz w:val="22"/>
          <w:szCs w:val="22"/>
        </w:rPr>
        <w:t xml:space="preserve">La tercera variable más impactante es el costo variable (insumos), seguida del arriendo y los sueldos. La tasa bancaria, en contraste, tiene impacto marginal sobre el VAN, lo que es esperable dado que la deuda representa solo el 40% del financiamiento total y el plazo es de 5 años.</w:t>
      </w:r>
    </w:p>
    <w:p>
      <w:pPr>
        <w:pStyle w:val="Heading2"/>
        <w:spacing w:after="160" w:before="320"/>
      </w:pPr>
      <w:r>
        <w:rPr>
          <w:rFonts w:ascii="Cambria" w:cs="Cambria" w:eastAsia="Cambria" w:hAnsi="Cambria"/>
          <w:b/>
          <w:bCs/>
          <w:color w:val="374151"/>
          <w:sz w:val="26"/>
          <w:szCs w:val="26"/>
        </w:rPr>
        <w:t xml:space="preserve">14.4 Variables de mínimos (Buscar Objetivo)</w:t>
      </w:r>
    </w:p>
    <w:p>
      <w:pPr>
        <w:spacing w:after="160" w:line="360"/>
        <w:jc w:val="both"/>
      </w:pPr>
      <w:r>
        <w:rPr>
          <w:rFonts w:ascii="Calibri" w:cs="Calibri" w:eastAsia="Calibri" w:hAnsi="Calibri"/>
          <w:sz w:val="22"/>
          <w:szCs w:val="22"/>
        </w:rPr>
        <w:t xml:space="preserve">Mediante la herramienta Buscar Objetivo de Excel se determina el valor mínimo de cada variable que mantiene el VAN en cero (punto de indiferencia):</w:t>
      </w:r>
    </w:p>
    <w:p>
      <w:pPr>
        <w:pStyle w:val="ListParagraph"/>
        <w:numPr>
          <w:ilvl w:val="0"/>
          <w:numId w:val="1"/>
        </w:numPr>
        <w:spacing w:after="80" w:line="320"/>
      </w:pPr>
      <w:r>
        <w:rPr>
          <w:rFonts w:ascii="Calibri" w:cs="Calibri" w:eastAsia="Calibri" w:hAnsi="Calibri"/>
          <w:sz w:val="22"/>
          <w:szCs w:val="22"/>
        </w:rPr>
        <w:t xml:space="preserve">Demanda mínima diaria (VAN = 0): aproximadamente 65 combos/día (vs. 110 del caso base) → margen de seguridad del 41%.</w:t>
      </w:r>
    </w:p>
    <w:p>
      <w:pPr>
        <w:pStyle w:val="ListParagraph"/>
        <w:numPr>
          <w:ilvl w:val="0"/>
          <w:numId w:val="1"/>
        </w:numPr>
        <w:spacing w:after="80" w:line="320"/>
      </w:pPr>
      <w:r>
        <w:rPr>
          <w:rFonts w:ascii="Calibri" w:cs="Calibri" w:eastAsia="Calibri" w:hAnsi="Calibri"/>
          <w:sz w:val="22"/>
          <w:szCs w:val="22"/>
        </w:rPr>
        <w:t xml:space="preserve">Ticket mínimo (VAN = 0): aproximadamente CLP 2.700 (vs. CLP 4.500 del caso base) → margen de seguridad del 40%.</w:t>
      </w:r>
    </w:p>
    <w:p>
      <w:pPr>
        <w:pStyle w:val="ListParagraph"/>
        <w:numPr>
          <w:ilvl w:val="0"/>
          <w:numId w:val="1"/>
        </w:numPr>
        <w:spacing w:after="80" w:line="320"/>
      </w:pPr>
      <w:r>
        <w:rPr>
          <w:rFonts w:ascii="Calibri" w:cs="Calibri" w:eastAsia="Calibri" w:hAnsi="Calibri"/>
          <w:sz w:val="22"/>
          <w:szCs w:val="22"/>
        </w:rPr>
        <w:t xml:space="preserve">Costo variable máximo (VAN = 0): aproximadamente CLP 1.900 por combo (vs. CLP 1.100 del caso base) → 73% de margen.</w:t>
      </w:r>
    </w:p>
    <w:p>
      <w:pPr>
        <w:pStyle w:val="ListParagraph"/>
        <w:numPr>
          <w:ilvl w:val="0"/>
          <w:numId w:val="1"/>
        </w:numPr>
        <w:spacing w:after="80" w:line="320"/>
      </w:pPr>
      <w:r>
        <w:rPr>
          <w:rFonts w:ascii="Calibri" w:cs="Calibri" w:eastAsia="Calibri" w:hAnsi="Calibri"/>
          <w:sz w:val="22"/>
          <w:szCs w:val="22"/>
        </w:rPr>
        <w:t xml:space="preserve">Arriendo máximo (VAN = 0): aproximadamente 1,8 UF/m²/mes (vs. 0,95 del caso base) → 89% de margen.</w:t>
      </w:r>
    </w:p>
    <w:p>
      <w:r>
        <w:br w:type="page"/>
      </w:r>
    </w:p>
    <w:p>
      <w:pPr>
        <w:pStyle w:val="Heading1"/>
        <w:spacing w:after="240" w:before="480"/>
      </w:pPr>
      <w:r>
        <w:rPr>
          <w:rFonts w:ascii="Cambria" w:cs="Cambria" w:eastAsia="Cambria" w:hAnsi="Cambria"/>
          <w:b/>
          <w:bCs/>
          <w:color w:val="1F2937"/>
          <w:sz w:val="32"/>
          <w:szCs w:val="32"/>
        </w:rPr>
        <w:t xml:space="preserve">15. Análisis cualitativo de riesgos</w:t>
      </w:r>
    </w:p>
    <w:p>
      <w:pPr>
        <w:pStyle w:val="Heading2"/>
        <w:spacing w:after="160" w:before="320"/>
      </w:pPr>
      <w:r>
        <w:rPr>
          <w:rFonts w:ascii="Cambria" w:cs="Cambria" w:eastAsia="Cambria" w:hAnsi="Cambria"/>
          <w:b/>
          <w:bCs/>
          <w:color w:val="374151"/>
          <w:sz w:val="26"/>
          <w:szCs w:val="26"/>
        </w:rPr>
        <w:t xml:space="preserve">15.1 Matriz de riesgos</w:t>
      </w:r>
    </w:p>
    <w:p>
      <w:pPr>
        <w:spacing w:after="160" w:line="360"/>
        <w:jc w:val="both"/>
      </w:pPr>
      <w:r>
        <w:rPr>
          <w:rFonts w:ascii="Calibri" w:cs="Calibri" w:eastAsia="Calibri" w:hAnsi="Calibri"/>
          <w:sz w:val="22"/>
          <w:szCs w:val="22"/>
        </w:rPr>
        <w:t xml:space="preserve">Se identifican doce riesgos relevantes, clasificados según probabilidad e impacto en una matriz cualitativa. La columna "Score" combina ambas dimensiones (probabilidad × impacto) para priorizar el seguimiento.</w:t>
      </w:r>
    </w:p>
    <w:tbl>
      <w:tblPr>
        <w:tblW w:type="pct" w:w="100%"/>
        <w:tblBorders>
          <w:top w:val="single" w:color="111827" w:sz="6"/>
          <w:left w:val="none" w:color="FFFFFF" w:sz="0"/>
          <w:bottom w:val="single" w:color="111827" w:sz="6"/>
          <w:right w:val="none" w:color="FFFFFF" w:sz="0"/>
          <w:insideH w:val="single" w:color="D1D5DB" w:sz="2"/>
          <w:insideV w:val="none" w:color="FFFFFF" w:sz="0"/>
        </w:tblBorders>
      </w:tblPr>
      <w:tblGrid>
        <w:gridCol w:w="100"/>
        <w:gridCol w:w="100"/>
        <w:gridCol w:w="100"/>
        <w:gridCol w:w="100"/>
        <w:gridCol w:w="100"/>
        <w:gridCol w:w="100"/>
      </w:tblGrid>
      <w:tr>
        <w:trPr>
          <w:tblHeader/>
        </w:trPr>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 </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Riesgo</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Probab.</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Impacto</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Score</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Categoría</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1</w:t>
            </w:r>
          </w:p>
        </w:tc>
        <w:tc>
          <w:tcPr>
            <w:tcMar>
              <w:top w:type="dxa" w:w="120"/>
              <w:left w:type="dxa" w:w="100"/>
              <w:bottom w:type="dxa" w:w="120"/>
              <w:right w:type="dxa" w:w="100"/>
            </w:tcMar>
          </w:tcPr>
          <w:p>
            <w:pPr>
              <w:jc w:val="left"/>
            </w:pPr>
            <w:r>
              <w:rPr>
                <w:rFonts w:ascii="Calibri" w:cs="Calibri" w:eastAsia="Calibri" w:hAnsi="Calibri"/>
                <w:sz w:val="18"/>
                <w:szCs w:val="18"/>
              </w:rPr>
              <w:t xml:space="preserve">Subida de arriendo al renovar contrato</w:t>
            </w:r>
          </w:p>
        </w:tc>
        <w:tc>
          <w:tcPr>
            <w:tcMar>
              <w:top w:type="dxa" w:w="120"/>
              <w:left w:type="dxa" w:w="100"/>
              <w:bottom w:type="dxa" w:w="120"/>
              <w:right w:type="dxa" w:w="100"/>
            </w:tcMar>
          </w:tcPr>
          <w:p>
            <w:pPr>
              <w:jc w:val="left"/>
            </w:pPr>
            <w:r>
              <w:rPr>
                <w:rFonts w:ascii="Calibri" w:cs="Calibri" w:eastAsia="Calibri" w:hAnsi="Calibri"/>
                <w:sz w:val="18"/>
                <w:szCs w:val="18"/>
              </w:rPr>
              <w:t xml:space="preserve">Alta</w:t>
            </w:r>
          </w:p>
        </w:tc>
        <w:tc>
          <w:tcPr>
            <w:tcMar>
              <w:top w:type="dxa" w:w="120"/>
              <w:left w:type="dxa" w:w="100"/>
              <w:bottom w:type="dxa" w:w="120"/>
              <w:right w:type="dxa" w:w="100"/>
            </w:tcMar>
          </w:tcPr>
          <w:p>
            <w:pPr>
              <w:jc w:val="left"/>
            </w:pPr>
            <w:r>
              <w:rPr>
                <w:rFonts w:ascii="Calibri" w:cs="Calibri" w:eastAsia="Calibri" w:hAnsi="Calibri"/>
                <w:sz w:val="18"/>
                <w:szCs w:val="18"/>
              </w:rPr>
              <w:t xml:space="preserve">Alto</w:t>
            </w:r>
          </w:p>
        </w:tc>
        <w:tc>
          <w:tcPr>
            <w:tcMar>
              <w:top w:type="dxa" w:w="120"/>
              <w:left w:type="dxa" w:w="100"/>
              <w:bottom w:type="dxa" w:w="120"/>
              <w:right w:type="dxa" w:w="100"/>
            </w:tcMar>
          </w:tcPr>
          <w:p>
            <w:pPr>
              <w:jc w:val="left"/>
            </w:pPr>
            <w:r>
              <w:rPr>
                <w:rFonts w:ascii="Calibri" w:cs="Calibri" w:eastAsia="Calibri" w:hAnsi="Calibri"/>
                <w:sz w:val="18"/>
                <w:szCs w:val="18"/>
              </w:rPr>
              <w:t xml:space="preserve">Crítico</w:t>
            </w:r>
          </w:p>
        </w:tc>
        <w:tc>
          <w:tcPr>
            <w:tcMar>
              <w:top w:type="dxa" w:w="120"/>
              <w:left w:type="dxa" w:w="100"/>
              <w:bottom w:type="dxa" w:w="120"/>
              <w:right w:type="dxa" w:w="100"/>
            </w:tcMar>
          </w:tcPr>
          <w:p>
            <w:pPr>
              <w:jc w:val="left"/>
            </w:pPr>
            <w:r>
              <w:rPr>
                <w:rFonts w:ascii="Calibri" w:cs="Calibri" w:eastAsia="Calibri" w:hAnsi="Calibri"/>
                <w:sz w:val="18"/>
                <w:szCs w:val="18"/>
              </w:rPr>
              <w:t xml:space="preserve">Inmobiliario</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2</w:t>
            </w:r>
          </w:p>
        </w:tc>
        <w:tc>
          <w:tcPr>
            <w:tcMar>
              <w:top w:type="dxa" w:w="120"/>
              <w:left w:type="dxa" w:w="100"/>
              <w:bottom w:type="dxa" w:w="120"/>
              <w:right w:type="dxa" w:w="100"/>
            </w:tcMar>
          </w:tcPr>
          <w:p>
            <w:pPr>
              <w:jc w:val="left"/>
            </w:pPr>
            <w:r>
              <w:rPr>
                <w:rFonts w:ascii="Calibri" w:cs="Calibri" w:eastAsia="Calibri" w:hAnsi="Calibri"/>
                <w:sz w:val="18"/>
                <w:szCs w:val="18"/>
              </w:rPr>
              <w:t xml:space="preserve">Caída demanda por contracción económica</w:t>
            </w:r>
          </w:p>
        </w:tc>
        <w:tc>
          <w:tcPr>
            <w:tcMar>
              <w:top w:type="dxa" w:w="120"/>
              <w:left w:type="dxa" w:w="100"/>
              <w:bottom w:type="dxa" w:w="120"/>
              <w:right w:type="dxa" w:w="100"/>
            </w:tcMar>
          </w:tcPr>
          <w:p>
            <w:pPr>
              <w:jc w:val="left"/>
            </w:pPr>
            <w:r>
              <w:rPr>
                <w:rFonts w:ascii="Calibri" w:cs="Calibri" w:eastAsia="Calibri" w:hAnsi="Calibri"/>
                <w:sz w:val="18"/>
                <w:szCs w:val="18"/>
              </w:rPr>
              <w:t xml:space="preserve">Media</w:t>
            </w:r>
          </w:p>
        </w:tc>
        <w:tc>
          <w:tcPr>
            <w:tcMar>
              <w:top w:type="dxa" w:w="120"/>
              <w:left w:type="dxa" w:w="100"/>
              <w:bottom w:type="dxa" w:w="120"/>
              <w:right w:type="dxa" w:w="100"/>
            </w:tcMar>
          </w:tcPr>
          <w:p>
            <w:pPr>
              <w:jc w:val="left"/>
            </w:pPr>
            <w:r>
              <w:rPr>
                <w:rFonts w:ascii="Calibri" w:cs="Calibri" w:eastAsia="Calibri" w:hAnsi="Calibri"/>
                <w:sz w:val="18"/>
                <w:szCs w:val="18"/>
              </w:rPr>
              <w:t xml:space="preserve">Alto</w:t>
            </w:r>
          </w:p>
        </w:tc>
        <w:tc>
          <w:tcPr>
            <w:tcMar>
              <w:top w:type="dxa" w:w="120"/>
              <w:left w:type="dxa" w:w="100"/>
              <w:bottom w:type="dxa" w:w="120"/>
              <w:right w:type="dxa" w:w="100"/>
            </w:tcMar>
          </w:tcPr>
          <w:p>
            <w:pPr>
              <w:jc w:val="left"/>
            </w:pPr>
            <w:r>
              <w:rPr>
                <w:rFonts w:ascii="Calibri" w:cs="Calibri" w:eastAsia="Calibri" w:hAnsi="Calibri"/>
                <w:sz w:val="18"/>
                <w:szCs w:val="18"/>
              </w:rPr>
              <w:t xml:space="preserve">Alto</w:t>
            </w:r>
          </w:p>
        </w:tc>
        <w:tc>
          <w:tcPr>
            <w:tcMar>
              <w:top w:type="dxa" w:w="120"/>
              <w:left w:type="dxa" w:w="100"/>
              <w:bottom w:type="dxa" w:w="120"/>
              <w:right w:type="dxa" w:w="100"/>
            </w:tcMar>
          </w:tcPr>
          <w:p>
            <w:pPr>
              <w:jc w:val="left"/>
            </w:pPr>
            <w:r>
              <w:rPr>
                <w:rFonts w:ascii="Calibri" w:cs="Calibri" w:eastAsia="Calibri" w:hAnsi="Calibri"/>
                <w:sz w:val="18"/>
                <w:szCs w:val="18"/>
              </w:rPr>
              <w:t xml:space="preserve">Mercado</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3</w:t>
            </w:r>
          </w:p>
        </w:tc>
        <w:tc>
          <w:tcPr>
            <w:tcMar>
              <w:top w:type="dxa" w:w="120"/>
              <w:left w:type="dxa" w:w="100"/>
              <w:bottom w:type="dxa" w:w="120"/>
              <w:right w:type="dxa" w:w="100"/>
            </w:tcMar>
          </w:tcPr>
          <w:p>
            <w:pPr>
              <w:jc w:val="left"/>
            </w:pPr>
            <w:r>
              <w:rPr>
                <w:rFonts w:ascii="Calibri" w:cs="Calibri" w:eastAsia="Calibri" w:hAnsi="Calibri"/>
                <w:sz w:val="18"/>
                <w:szCs w:val="18"/>
              </w:rPr>
              <w:t xml:space="preserve">Apertura competencia directa adyacente</w:t>
            </w:r>
          </w:p>
        </w:tc>
        <w:tc>
          <w:tcPr>
            <w:tcMar>
              <w:top w:type="dxa" w:w="120"/>
              <w:left w:type="dxa" w:w="100"/>
              <w:bottom w:type="dxa" w:w="120"/>
              <w:right w:type="dxa" w:w="100"/>
            </w:tcMar>
          </w:tcPr>
          <w:p>
            <w:pPr>
              <w:jc w:val="left"/>
            </w:pPr>
            <w:r>
              <w:rPr>
                <w:rFonts w:ascii="Calibri" w:cs="Calibri" w:eastAsia="Calibri" w:hAnsi="Calibri"/>
                <w:sz w:val="18"/>
                <w:szCs w:val="18"/>
              </w:rPr>
              <w:t xml:space="preserve">Media</w:t>
            </w:r>
          </w:p>
        </w:tc>
        <w:tc>
          <w:tcPr>
            <w:tcMar>
              <w:top w:type="dxa" w:w="120"/>
              <w:left w:type="dxa" w:w="100"/>
              <w:bottom w:type="dxa" w:w="120"/>
              <w:right w:type="dxa" w:w="100"/>
            </w:tcMar>
          </w:tcPr>
          <w:p>
            <w:pPr>
              <w:jc w:val="left"/>
            </w:pPr>
            <w:r>
              <w:rPr>
                <w:rFonts w:ascii="Calibri" w:cs="Calibri" w:eastAsia="Calibri" w:hAnsi="Calibri"/>
                <w:sz w:val="18"/>
                <w:szCs w:val="18"/>
              </w:rPr>
              <w:t xml:space="preserve">Alto</w:t>
            </w:r>
          </w:p>
        </w:tc>
        <w:tc>
          <w:tcPr>
            <w:tcMar>
              <w:top w:type="dxa" w:w="120"/>
              <w:left w:type="dxa" w:w="100"/>
              <w:bottom w:type="dxa" w:w="120"/>
              <w:right w:type="dxa" w:w="100"/>
            </w:tcMar>
          </w:tcPr>
          <w:p>
            <w:pPr>
              <w:jc w:val="left"/>
            </w:pPr>
            <w:r>
              <w:rPr>
                <w:rFonts w:ascii="Calibri" w:cs="Calibri" w:eastAsia="Calibri" w:hAnsi="Calibri"/>
                <w:sz w:val="18"/>
                <w:szCs w:val="18"/>
              </w:rPr>
              <w:t xml:space="preserve">Alto</w:t>
            </w:r>
          </w:p>
        </w:tc>
        <w:tc>
          <w:tcPr>
            <w:tcMar>
              <w:top w:type="dxa" w:w="120"/>
              <w:left w:type="dxa" w:w="100"/>
              <w:bottom w:type="dxa" w:w="120"/>
              <w:right w:type="dxa" w:w="100"/>
            </w:tcMar>
          </w:tcPr>
          <w:p>
            <w:pPr>
              <w:jc w:val="left"/>
            </w:pPr>
            <w:r>
              <w:rPr>
                <w:rFonts w:ascii="Calibri" w:cs="Calibri" w:eastAsia="Calibri" w:hAnsi="Calibri"/>
                <w:sz w:val="18"/>
                <w:szCs w:val="18"/>
              </w:rPr>
              <w:t xml:space="preserve">Competencia</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4</w:t>
            </w:r>
          </w:p>
        </w:tc>
        <w:tc>
          <w:tcPr>
            <w:tcMar>
              <w:top w:type="dxa" w:w="120"/>
              <w:left w:type="dxa" w:w="100"/>
              <w:bottom w:type="dxa" w:w="120"/>
              <w:right w:type="dxa" w:w="100"/>
            </w:tcMar>
          </w:tcPr>
          <w:p>
            <w:pPr>
              <w:jc w:val="left"/>
            </w:pPr>
            <w:r>
              <w:rPr>
                <w:rFonts w:ascii="Calibri" w:cs="Calibri" w:eastAsia="Calibri" w:hAnsi="Calibri"/>
                <w:sz w:val="18"/>
                <w:szCs w:val="18"/>
              </w:rPr>
              <w:t xml:space="preserve">Rotación alta de baristas</w:t>
            </w:r>
          </w:p>
        </w:tc>
        <w:tc>
          <w:tcPr>
            <w:tcMar>
              <w:top w:type="dxa" w:w="120"/>
              <w:left w:type="dxa" w:w="100"/>
              <w:bottom w:type="dxa" w:w="120"/>
              <w:right w:type="dxa" w:w="100"/>
            </w:tcMar>
          </w:tcPr>
          <w:p>
            <w:pPr>
              <w:jc w:val="left"/>
            </w:pPr>
            <w:r>
              <w:rPr>
                <w:rFonts w:ascii="Calibri" w:cs="Calibri" w:eastAsia="Calibri" w:hAnsi="Calibri"/>
                <w:sz w:val="18"/>
                <w:szCs w:val="18"/>
              </w:rPr>
              <w:t xml:space="preserve">Alta</w:t>
            </w:r>
          </w:p>
        </w:tc>
        <w:tc>
          <w:tcPr>
            <w:tcMar>
              <w:top w:type="dxa" w:w="120"/>
              <w:left w:type="dxa" w:w="100"/>
              <w:bottom w:type="dxa" w:w="120"/>
              <w:right w:type="dxa" w:w="100"/>
            </w:tcMar>
          </w:tcPr>
          <w:p>
            <w:pPr>
              <w:jc w:val="left"/>
            </w:pPr>
            <w:r>
              <w:rPr>
                <w:rFonts w:ascii="Calibri" w:cs="Calibri" w:eastAsia="Calibri" w:hAnsi="Calibri"/>
                <w:sz w:val="18"/>
                <w:szCs w:val="18"/>
              </w:rPr>
              <w:t xml:space="preserve">Medio</w:t>
            </w:r>
          </w:p>
        </w:tc>
        <w:tc>
          <w:tcPr>
            <w:tcMar>
              <w:top w:type="dxa" w:w="120"/>
              <w:left w:type="dxa" w:w="100"/>
              <w:bottom w:type="dxa" w:w="120"/>
              <w:right w:type="dxa" w:w="100"/>
            </w:tcMar>
          </w:tcPr>
          <w:p>
            <w:pPr>
              <w:jc w:val="left"/>
            </w:pPr>
            <w:r>
              <w:rPr>
                <w:rFonts w:ascii="Calibri" w:cs="Calibri" w:eastAsia="Calibri" w:hAnsi="Calibri"/>
                <w:sz w:val="18"/>
                <w:szCs w:val="18"/>
              </w:rPr>
              <w:t xml:space="preserve">Alto</w:t>
            </w:r>
          </w:p>
        </w:tc>
        <w:tc>
          <w:tcPr>
            <w:tcMar>
              <w:top w:type="dxa" w:w="120"/>
              <w:left w:type="dxa" w:w="100"/>
              <w:bottom w:type="dxa" w:w="120"/>
              <w:right w:type="dxa" w:w="100"/>
            </w:tcMar>
          </w:tcPr>
          <w:p>
            <w:pPr>
              <w:jc w:val="left"/>
            </w:pPr>
            <w:r>
              <w:rPr>
                <w:rFonts w:ascii="Calibri" w:cs="Calibri" w:eastAsia="Calibri" w:hAnsi="Calibri"/>
                <w:sz w:val="18"/>
                <w:szCs w:val="18"/>
              </w:rPr>
              <w:t xml:space="preserve">Talento</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5</w:t>
            </w:r>
          </w:p>
        </w:tc>
        <w:tc>
          <w:tcPr>
            <w:tcMar>
              <w:top w:type="dxa" w:w="120"/>
              <w:left w:type="dxa" w:w="100"/>
              <w:bottom w:type="dxa" w:w="120"/>
              <w:right w:type="dxa" w:w="100"/>
            </w:tcMar>
          </w:tcPr>
          <w:p>
            <w:pPr>
              <w:jc w:val="left"/>
            </w:pPr>
            <w:r>
              <w:rPr>
                <w:rFonts w:ascii="Calibri" w:cs="Calibri" w:eastAsia="Calibri" w:hAnsi="Calibri"/>
                <w:sz w:val="18"/>
                <w:szCs w:val="18"/>
              </w:rPr>
              <w:t xml:space="preserve">Pandemia que reduce flujo peatonal</w:t>
            </w:r>
          </w:p>
        </w:tc>
        <w:tc>
          <w:tcPr>
            <w:tcMar>
              <w:top w:type="dxa" w:w="120"/>
              <w:left w:type="dxa" w:w="100"/>
              <w:bottom w:type="dxa" w:w="120"/>
              <w:right w:type="dxa" w:w="100"/>
            </w:tcMar>
          </w:tcPr>
          <w:p>
            <w:pPr>
              <w:jc w:val="left"/>
            </w:pPr>
            <w:r>
              <w:rPr>
                <w:rFonts w:ascii="Calibri" w:cs="Calibri" w:eastAsia="Calibri" w:hAnsi="Calibri"/>
                <w:sz w:val="18"/>
                <w:szCs w:val="18"/>
              </w:rPr>
              <w:t xml:space="preserve">Baja</w:t>
            </w:r>
          </w:p>
        </w:tc>
        <w:tc>
          <w:tcPr>
            <w:tcMar>
              <w:top w:type="dxa" w:w="120"/>
              <w:left w:type="dxa" w:w="100"/>
              <w:bottom w:type="dxa" w:w="120"/>
              <w:right w:type="dxa" w:w="100"/>
            </w:tcMar>
          </w:tcPr>
          <w:p>
            <w:pPr>
              <w:jc w:val="left"/>
            </w:pPr>
            <w:r>
              <w:rPr>
                <w:rFonts w:ascii="Calibri" w:cs="Calibri" w:eastAsia="Calibri" w:hAnsi="Calibri"/>
                <w:sz w:val="18"/>
                <w:szCs w:val="18"/>
              </w:rPr>
              <w:t xml:space="preserve">Crítico</w:t>
            </w:r>
          </w:p>
        </w:tc>
        <w:tc>
          <w:tcPr>
            <w:tcMar>
              <w:top w:type="dxa" w:w="120"/>
              <w:left w:type="dxa" w:w="100"/>
              <w:bottom w:type="dxa" w:w="120"/>
              <w:right w:type="dxa" w:w="100"/>
            </w:tcMar>
          </w:tcPr>
          <w:p>
            <w:pPr>
              <w:jc w:val="left"/>
            </w:pPr>
            <w:r>
              <w:rPr>
                <w:rFonts w:ascii="Calibri" w:cs="Calibri" w:eastAsia="Calibri" w:hAnsi="Calibri"/>
                <w:sz w:val="18"/>
                <w:szCs w:val="18"/>
              </w:rPr>
              <w:t xml:space="preserve">Alto</w:t>
            </w:r>
          </w:p>
        </w:tc>
        <w:tc>
          <w:tcPr>
            <w:tcMar>
              <w:top w:type="dxa" w:w="120"/>
              <w:left w:type="dxa" w:w="100"/>
              <w:bottom w:type="dxa" w:w="120"/>
              <w:right w:type="dxa" w:w="100"/>
            </w:tcMar>
          </w:tcPr>
          <w:p>
            <w:pPr>
              <w:jc w:val="left"/>
            </w:pPr>
            <w:r>
              <w:rPr>
                <w:rFonts w:ascii="Calibri" w:cs="Calibri" w:eastAsia="Calibri" w:hAnsi="Calibri"/>
                <w:sz w:val="18"/>
                <w:szCs w:val="18"/>
              </w:rPr>
              <w:t xml:space="preserve">Sanitario externo</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6</w:t>
            </w:r>
          </w:p>
        </w:tc>
        <w:tc>
          <w:tcPr>
            <w:tcMar>
              <w:top w:type="dxa" w:w="120"/>
              <w:left w:type="dxa" w:w="100"/>
              <w:bottom w:type="dxa" w:w="120"/>
              <w:right w:type="dxa" w:w="100"/>
            </w:tcMar>
          </w:tcPr>
          <w:p>
            <w:pPr>
              <w:jc w:val="left"/>
            </w:pPr>
            <w:r>
              <w:rPr>
                <w:rFonts w:ascii="Calibri" w:cs="Calibri" w:eastAsia="Calibri" w:hAnsi="Calibri"/>
                <w:sz w:val="18"/>
                <w:szCs w:val="18"/>
              </w:rPr>
              <w:t xml:space="preserve">Caída del proveedor de combo envasado</w:t>
            </w:r>
          </w:p>
        </w:tc>
        <w:tc>
          <w:tcPr>
            <w:tcMar>
              <w:top w:type="dxa" w:w="120"/>
              <w:left w:type="dxa" w:w="100"/>
              <w:bottom w:type="dxa" w:w="120"/>
              <w:right w:type="dxa" w:w="100"/>
            </w:tcMar>
          </w:tcPr>
          <w:p>
            <w:pPr>
              <w:jc w:val="left"/>
            </w:pPr>
            <w:r>
              <w:rPr>
                <w:rFonts w:ascii="Calibri" w:cs="Calibri" w:eastAsia="Calibri" w:hAnsi="Calibri"/>
                <w:sz w:val="18"/>
                <w:szCs w:val="18"/>
              </w:rPr>
              <w:t xml:space="preserve">Baja</w:t>
            </w:r>
          </w:p>
        </w:tc>
        <w:tc>
          <w:tcPr>
            <w:tcMar>
              <w:top w:type="dxa" w:w="120"/>
              <w:left w:type="dxa" w:w="100"/>
              <w:bottom w:type="dxa" w:w="120"/>
              <w:right w:type="dxa" w:w="100"/>
            </w:tcMar>
          </w:tcPr>
          <w:p>
            <w:pPr>
              <w:jc w:val="left"/>
            </w:pPr>
            <w:r>
              <w:rPr>
                <w:rFonts w:ascii="Calibri" w:cs="Calibri" w:eastAsia="Calibri" w:hAnsi="Calibri"/>
                <w:sz w:val="18"/>
                <w:szCs w:val="18"/>
              </w:rPr>
              <w:t xml:space="preserve">Crítico</w:t>
            </w:r>
          </w:p>
        </w:tc>
        <w:tc>
          <w:tcPr>
            <w:tcMar>
              <w:top w:type="dxa" w:w="120"/>
              <w:left w:type="dxa" w:w="100"/>
              <w:bottom w:type="dxa" w:w="120"/>
              <w:right w:type="dxa" w:w="100"/>
            </w:tcMar>
          </w:tcPr>
          <w:p>
            <w:pPr>
              <w:jc w:val="left"/>
            </w:pPr>
            <w:r>
              <w:rPr>
                <w:rFonts w:ascii="Calibri" w:cs="Calibri" w:eastAsia="Calibri" w:hAnsi="Calibri"/>
                <w:sz w:val="18"/>
                <w:szCs w:val="18"/>
              </w:rPr>
              <w:t xml:space="preserve">Alto</w:t>
            </w:r>
          </w:p>
        </w:tc>
        <w:tc>
          <w:tcPr>
            <w:tcMar>
              <w:top w:type="dxa" w:w="120"/>
              <w:left w:type="dxa" w:w="100"/>
              <w:bottom w:type="dxa" w:w="120"/>
              <w:right w:type="dxa" w:w="100"/>
            </w:tcMar>
          </w:tcPr>
          <w:p>
            <w:pPr>
              <w:jc w:val="left"/>
            </w:pPr>
            <w:r>
              <w:rPr>
                <w:rFonts w:ascii="Calibri" w:cs="Calibri" w:eastAsia="Calibri" w:hAnsi="Calibri"/>
                <w:sz w:val="18"/>
                <w:szCs w:val="18"/>
              </w:rPr>
              <w:t xml:space="preserve">Suministro</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7</w:t>
            </w:r>
          </w:p>
        </w:tc>
        <w:tc>
          <w:tcPr>
            <w:tcMar>
              <w:top w:type="dxa" w:w="120"/>
              <w:left w:type="dxa" w:w="100"/>
              <w:bottom w:type="dxa" w:w="120"/>
              <w:right w:type="dxa" w:w="100"/>
            </w:tcMar>
          </w:tcPr>
          <w:p>
            <w:pPr>
              <w:jc w:val="left"/>
            </w:pPr>
            <w:r>
              <w:rPr>
                <w:rFonts w:ascii="Calibri" w:cs="Calibri" w:eastAsia="Calibri" w:hAnsi="Calibri"/>
                <w:sz w:val="18"/>
                <w:szCs w:val="18"/>
              </w:rPr>
              <w:t xml:space="preserve">Aumento del precio del café importado</w:t>
            </w:r>
          </w:p>
        </w:tc>
        <w:tc>
          <w:tcPr>
            <w:tcMar>
              <w:top w:type="dxa" w:w="120"/>
              <w:left w:type="dxa" w:w="100"/>
              <w:bottom w:type="dxa" w:w="120"/>
              <w:right w:type="dxa" w:w="100"/>
            </w:tcMar>
          </w:tcPr>
          <w:p>
            <w:pPr>
              <w:jc w:val="left"/>
            </w:pPr>
            <w:r>
              <w:rPr>
                <w:rFonts w:ascii="Calibri" w:cs="Calibri" w:eastAsia="Calibri" w:hAnsi="Calibri"/>
                <w:sz w:val="18"/>
                <w:szCs w:val="18"/>
              </w:rPr>
              <w:t xml:space="preserve">Media</w:t>
            </w:r>
          </w:p>
        </w:tc>
        <w:tc>
          <w:tcPr>
            <w:tcMar>
              <w:top w:type="dxa" w:w="120"/>
              <w:left w:type="dxa" w:w="100"/>
              <w:bottom w:type="dxa" w:w="120"/>
              <w:right w:type="dxa" w:w="100"/>
            </w:tcMar>
          </w:tcPr>
          <w:p>
            <w:pPr>
              <w:jc w:val="left"/>
            </w:pPr>
            <w:r>
              <w:rPr>
                <w:rFonts w:ascii="Calibri" w:cs="Calibri" w:eastAsia="Calibri" w:hAnsi="Calibri"/>
                <w:sz w:val="18"/>
                <w:szCs w:val="18"/>
              </w:rPr>
              <w:t xml:space="preserve">Medio</w:t>
            </w:r>
          </w:p>
        </w:tc>
        <w:tc>
          <w:tcPr>
            <w:tcMar>
              <w:top w:type="dxa" w:w="120"/>
              <w:left w:type="dxa" w:w="100"/>
              <w:bottom w:type="dxa" w:w="120"/>
              <w:right w:type="dxa" w:w="100"/>
            </w:tcMar>
          </w:tcPr>
          <w:p>
            <w:pPr>
              <w:jc w:val="left"/>
            </w:pPr>
            <w:r>
              <w:rPr>
                <w:rFonts w:ascii="Calibri" w:cs="Calibri" w:eastAsia="Calibri" w:hAnsi="Calibri"/>
                <w:sz w:val="18"/>
                <w:szCs w:val="18"/>
              </w:rPr>
              <w:t xml:space="preserve">Medio</w:t>
            </w:r>
          </w:p>
        </w:tc>
        <w:tc>
          <w:tcPr>
            <w:tcMar>
              <w:top w:type="dxa" w:w="120"/>
              <w:left w:type="dxa" w:w="100"/>
              <w:bottom w:type="dxa" w:w="120"/>
              <w:right w:type="dxa" w:w="100"/>
            </w:tcMar>
          </w:tcPr>
          <w:p>
            <w:pPr>
              <w:jc w:val="left"/>
            </w:pPr>
            <w:r>
              <w:rPr>
                <w:rFonts w:ascii="Calibri" w:cs="Calibri" w:eastAsia="Calibri" w:hAnsi="Calibri"/>
                <w:sz w:val="18"/>
                <w:szCs w:val="18"/>
              </w:rPr>
              <w:t xml:space="preserve">Suministro</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8</w:t>
            </w:r>
          </w:p>
        </w:tc>
        <w:tc>
          <w:tcPr>
            <w:tcMar>
              <w:top w:type="dxa" w:w="120"/>
              <w:left w:type="dxa" w:w="100"/>
              <w:bottom w:type="dxa" w:w="120"/>
              <w:right w:type="dxa" w:w="100"/>
            </w:tcMar>
          </w:tcPr>
          <w:p>
            <w:pPr>
              <w:jc w:val="left"/>
            </w:pPr>
            <w:r>
              <w:rPr>
                <w:rFonts w:ascii="Calibri" w:cs="Calibri" w:eastAsia="Calibri" w:hAnsi="Calibri"/>
                <w:sz w:val="18"/>
                <w:szCs w:val="18"/>
              </w:rPr>
              <w:t xml:space="preserve">Cambios regulatorios sanitarios</w:t>
            </w:r>
          </w:p>
        </w:tc>
        <w:tc>
          <w:tcPr>
            <w:tcMar>
              <w:top w:type="dxa" w:w="120"/>
              <w:left w:type="dxa" w:w="100"/>
              <w:bottom w:type="dxa" w:w="120"/>
              <w:right w:type="dxa" w:w="100"/>
            </w:tcMar>
          </w:tcPr>
          <w:p>
            <w:pPr>
              <w:jc w:val="left"/>
            </w:pPr>
            <w:r>
              <w:rPr>
                <w:rFonts w:ascii="Calibri" w:cs="Calibri" w:eastAsia="Calibri" w:hAnsi="Calibri"/>
                <w:sz w:val="18"/>
                <w:szCs w:val="18"/>
              </w:rPr>
              <w:t xml:space="preserve">Baja</w:t>
            </w:r>
          </w:p>
        </w:tc>
        <w:tc>
          <w:tcPr>
            <w:tcMar>
              <w:top w:type="dxa" w:w="120"/>
              <w:left w:type="dxa" w:w="100"/>
              <w:bottom w:type="dxa" w:w="120"/>
              <w:right w:type="dxa" w:w="100"/>
            </w:tcMar>
          </w:tcPr>
          <w:p>
            <w:pPr>
              <w:jc w:val="left"/>
            </w:pPr>
            <w:r>
              <w:rPr>
                <w:rFonts w:ascii="Calibri" w:cs="Calibri" w:eastAsia="Calibri" w:hAnsi="Calibri"/>
                <w:sz w:val="18"/>
                <w:szCs w:val="18"/>
              </w:rPr>
              <w:t xml:space="preserve">Medio</w:t>
            </w:r>
          </w:p>
        </w:tc>
        <w:tc>
          <w:tcPr>
            <w:tcMar>
              <w:top w:type="dxa" w:w="120"/>
              <w:left w:type="dxa" w:w="100"/>
              <w:bottom w:type="dxa" w:w="120"/>
              <w:right w:type="dxa" w:w="100"/>
            </w:tcMar>
          </w:tcPr>
          <w:p>
            <w:pPr>
              <w:jc w:val="left"/>
            </w:pPr>
            <w:r>
              <w:rPr>
                <w:rFonts w:ascii="Calibri" w:cs="Calibri" w:eastAsia="Calibri" w:hAnsi="Calibri"/>
                <w:sz w:val="18"/>
                <w:szCs w:val="18"/>
              </w:rPr>
              <w:t xml:space="preserve">Medio</w:t>
            </w:r>
          </w:p>
        </w:tc>
        <w:tc>
          <w:tcPr>
            <w:tcMar>
              <w:top w:type="dxa" w:w="120"/>
              <w:left w:type="dxa" w:w="100"/>
              <w:bottom w:type="dxa" w:w="120"/>
              <w:right w:type="dxa" w:w="100"/>
            </w:tcMar>
          </w:tcPr>
          <w:p>
            <w:pPr>
              <w:jc w:val="left"/>
            </w:pPr>
            <w:r>
              <w:rPr>
                <w:rFonts w:ascii="Calibri" w:cs="Calibri" w:eastAsia="Calibri" w:hAnsi="Calibri"/>
                <w:sz w:val="18"/>
                <w:szCs w:val="18"/>
              </w:rPr>
              <w:t xml:space="preserve">Regulatorio</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9</w:t>
            </w:r>
          </w:p>
        </w:tc>
        <w:tc>
          <w:tcPr>
            <w:tcMar>
              <w:top w:type="dxa" w:w="120"/>
              <w:left w:type="dxa" w:w="100"/>
              <w:bottom w:type="dxa" w:w="120"/>
              <w:right w:type="dxa" w:w="100"/>
            </w:tcMar>
          </w:tcPr>
          <w:p>
            <w:pPr>
              <w:jc w:val="left"/>
            </w:pPr>
            <w:r>
              <w:rPr>
                <w:rFonts w:ascii="Calibri" w:cs="Calibri" w:eastAsia="Calibri" w:hAnsi="Calibri"/>
                <w:sz w:val="18"/>
                <w:szCs w:val="18"/>
              </w:rPr>
              <w:t xml:space="preserve">Aumento del salario mínimo / leyes laborales</w:t>
            </w:r>
          </w:p>
        </w:tc>
        <w:tc>
          <w:tcPr>
            <w:tcMar>
              <w:top w:type="dxa" w:w="120"/>
              <w:left w:type="dxa" w:w="100"/>
              <w:bottom w:type="dxa" w:w="120"/>
              <w:right w:type="dxa" w:w="100"/>
            </w:tcMar>
          </w:tcPr>
          <w:p>
            <w:pPr>
              <w:jc w:val="left"/>
            </w:pPr>
            <w:r>
              <w:rPr>
                <w:rFonts w:ascii="Calibri" w:cs="Calibri" w:eastAsia="Calibri" w:hAnsi="Calibri"/>
                <w:sz w:val="18"/>
                <w:szCs w:val="18"/>
              </w:rPr>
              <w:t xml:space="preserve">Media</w:t>
            </w:r>
          </w:p>
        </w:tc>
        <w:tc>
          <w:tcPr>
            <w:tcMar>
              <w:top w:type="dxa" w:w="120"/>
              <w:left w:type="dxa" w:w="100"/>
              <w:bottom w:type="dxa" w:w="120"/>
              <w:right w:type="dxa" w:w="100"/>
            </w:tcMar>
          </w:tcPr>
          <w:p>
            <w:pPr>
              <w:jc w:val="left"/>
            </w:pPr>
            <w:r>
              <w:rPr>
                <w:rFonts w:ascii="Calibri" w:cs="Calibri" w:eastAsia="Calibri" w:hAnsi="Calibri"/>
                <w:sz w:val="18"/>
                <w:szCs w:val="18"/>
              </w:rPr>
              <w:t xml:space="preserve">Medio</w:t>
            </w:r>
          </w:p>
        </w:tc>
        <w:tc>
          <w:tcPr>
            <w:tcMar>
              <w:top w:type="dxa" w:w="120"/>
              <w:left w:type="dxa" w:w="100"/>
              <w:bottom w:type="dxa" w:w="120"/>
              <w:right w:type="dxa" w:w="100"/>
            </w:tcMar>
          </w:tcPr>
          <w:p>
            <w:pPr>
              <w:jc w:val="left"/>
            </w:pPr>
            <w:r>
              <w:rPr>
                <w:rFonts w:ascii="Calibri" w:cs="Calibri" w:eastAsia="Calibri" w:hAnsi="Calibri"/>
                <w:sz w:val="18"/>
                <w:szCs w:val="18"/>
              </w:rPr>
              <w:t xml:space="preserve">Medio</w:t>
            </w:r>
          </w:p>
        </w:tc>
        <w:tc>
          <w:tcPr>
            <w:tcMar>
              <w:top w:type="dxa" w:w="120"/>
              <w:left w:type="dxa" w:w="100"/>
              <w:bottom w:type="dxa" w:w="120"/>
              <w:right w:type="dxa" w:w="100"/>
            </w:tcMar>
          </w:tcPr>
          <w:p>
            <w:pPr>
              <w:jc w:val="left"/>
            </w:pPr>
            <w:r>
              <w:rPr>
                <w:rFonts w:ascii="Calibri" w:cs="Calibri" w:eastAsia="Calibri" w:hAnsi="Calibri"/>
                <w:sz w:val="18"/>
                <w:szCs w:val="18"/>
              </w:rPr>
              <w:t xml:space="preserve">Laboral</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10</w:t>
            </w:r>
          </w:p>
        </w:tc>
        <w:tc>
          <w:tcPr>
            <w:tcMar>
              <w:top w:type="dxa" w:w="120"/>
              <w:left w:type="dxa" w:w="100"/>
              <w:bottom w:type="dxa" w:w="120"/>
              <w:right w:type="dxa" w:w="100"/>
            </w:tcMar>
          </w:tcPr>
          <w:p>
            <w:pPr>
              <w:jc w:val="left"/>
            </w:pPr>
            <w:r>
              <w:rPr>
                <w:rFonts w:ascii="Calibri" w:cs="Calibri" w:eastAsia="Calibri" w:hAnsi="Calibri"/>
                <w:sz w:val="18"/>
                <w:szCs w:val="18"/>
              </w:rPr>
              <w:t xml:space="preserve">Tipo de cambio (insumos importados)</w:t>
            </w:r>
          </w:p>
        </w:tc>
        <w:tc>
          <w:tcPr>
            <w:tcMar>
              <w:top w:type="dxa" w:w="120"/>
              <w:left w:type="dxa" w:w="100"/>
              <w:bottom w:type="dxa" w:w="120"/>
              <w:right w:type="dxa" w:w="100"/>
            </w:tcMar>
          </w:tcPr>
          <w:p>
            <w:pPr>
              <w:jc w:val="left"/>
            </w:pPr>
            <w:r>
              <w:rPr>
                <w:rFonts w:ascii="Calibri" w:cs="Calibri" w:eastAsia="Calibri" w:hAnsi="Calibri"/>
                <w:sz w:val="18"/>
                <w:szCs w:val="18"/>
              </w:rPr>
              <w:t xml:space="preserve">Media</w:t>
            </w:r>
          </w:p>
        </w:tc>
        <w:tc>
          <w:tcPr>
            <w:tcMar>
              <w:top w:type="dxa" w:w="120"/>
              <w:left w:type="dxa" w:w="100"/>
              <w:bottom w:type="dxa" w:w="120"/>
              <w:right w:type="dxa" w:w="100"/>
            </w:tcMar>
          </w:tcPr>
          <w:p>
            <w:pPr>
              <w:jc w:val="left"/>
            </w:pPr>
            <w:r>
              <w:rPr>
                <w:rFonts w:ascii="Calibri" w:cs="Calibri" w:eastAsia="Calibri" w:hAnsi="Calibri"/>
                <w:sz w:val="18"/>
                <w:szCs w:val="18"/>
              </w:rPr>
              <w:t xml:space="preserve">Medio</w:t>
            </w:r>
          </w:p>
        </w:tc>
        <w:tc>
          <w:tcPr>
            <w:tcMar>
              <w:top w:type="dxa" w:w="120"/>
              <w:left w:type="dxa" w:w="100"/>
              <w:bottom w:type="dxa" w:w="120"/>
              <w:right w:type="dxa" w:w="100"/>
            </w:tcMar>
          </w:tcPr>
          <w:p>
            <w:pPr>
              <w:jc w:val="left"/>
            </w:pPr>
            <w:r>
              <w:rPr>
                <w:rFonts w:ascii="Calibri" w:cs="Calibri" w:eastAsia="Calibri" w:hAnsi="Calibri"/>
                <w:sz w:val="18"/>
                <w:szCs w:val="18"/>
              </w:rPr>
              <w:t xml:space="preserve">Medio</w:t>
            </w:r>
          </w:p>
        </w:tc>
        <w:tc>
          <w:tcPr>
            <w:tcMar>
              <w:top w:type="dxa" w:w="120"/>
              <w:left w:type="dxa" w:w="100"/>
              <w:bottom w:type="dxa" w:w="120"/>
              <w:right w:type="dxa" w:w="100"/>
            </w:tcMar>
          </w:tcPr>
          <w:p>
            <w:pPr>
              <w:jc w:val="left"/>
            </w:pPr>
            <w:r>
              <w:rPr>
                <w:rFonts w:ascii="Calibri" w:cs="Calibri" w:eastAsia="Calibri" w:hAnsi="Calibri"/>
                <w:sz w:val="18"/>
                <w:szCs w:val="18"/>
              </w:rPr>
              <w:t xml:space="preserve">FX</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11</w:t>
            </w:r>
          </w:p>
        </w:tc>
        <w:tc>
          <w:tcPr>
            <w:tcMar>
              <w:top w:type="dxa" w:w="120"/>
              <w:left w:type="dxa" w:w="100"/>
              <w:bottom w:type="dxa" w:w="120"/>
              <w:right w:type="dxa" w:w="100"/>
            </w:tcMar>
          </w:tcPr>
          <w:p>
            <w:pPr>
              <w:jc w:val="left"/>
            </w:pPr>
            <w:r>
              <w:rPr>
                <w:rFonts w:ascii="Calibri" w:cs="Calibri" w:eastAsia="Calibri" w:hAnsi="Calibri"/>
                <w:sz w:val="18"/>
                <w:szCs w:val="18"/>
              </w:rPr>
              <w:t xml:space="preserve">Falla de máquina espresso</w:t>
            </w:r>
          </w:p>
        </w:tc>
        <w:tc>
          <w:tcPr>
            <w:tcMar>
              <w:top w:type="dxa" w:w="120"/>
              <w:left w:type="dxa" w:w="100"/>
              <w:bottom w:type="dxa" w:w="120"/>
              <w:right w:type="dxa" w:w="100"/>
            </w:tcMar>
          </w:tcPr>
          <w:p>
            <w:pPr>
              <w:jc w:val="left"/>
            </w:pPr>
            <w:r>
              <w:rPr>
                <w:rFonts w:ascii="Calibri" w:cs="Calibri" w:eastAsia="Calibri" w:hAnsi="Calibri"/>
                <w:sz w:val="18"/>
                <w:szCs w:val="18"/>
              </w:rPr>
              <w:t xml:space="preserve">Baja</w:t>
            </w:r>
          </w:p>
        </w:tc>
        <w:tc>
          <w:tcPr>
            <w:tcMar>
              <w:top w:type="dxa" w:w="120"/>
              <w:left w:type="dxa" w:w="100"/>
              <w:bottom w:type="dxa" w:w="120"/>
              <w:right w:type="dxa" w:w="100"/>
            </w:tcMar>
          </w:tcPr>
          <w:p>
            <w:pPr>
              <w:jc w:val="left"/>
            </w:pPr>
            <w:r>
              <w:rPr>
                <w:rFonts w:ascii="Calibri" w:cs="Calibri" w:eastAsia="Calibri" w:hAnsi="Calibri"/>
                <w:sz w:val="18"/>
                <w:szCs w:val="18"/>
              </w:rPr>
              <w:t xml:space="preserve">Alto</w:t>
            </w:r>
          </w:p>
        </w:tc>
        <w:tc>
          <w:tcPr>
            <w:tcMar>
              <w:top w:type="dxa" w:w="120"/>
              <w:left w:type="dxa" w:w="100"/>
              <w:bottom w:type="dxa" w:w="120"/>
              <w:right w:type="dxa" w:w="100"/>
            </w:tcMar>
          </w:tcPr>
          <w:p>
            <w:pPr>
              <w:jc w:val="left"/>
            </w:pPr>
            <w:r>
              <w:rPr>
                <w:rFonts w:ascii="Calibri" w:cs="Calibri" w:eastAsia="Calibri" w:hAnsi="Calibri"/>
                <w:sz w:val="18"/>
                <w:szCs w:val="18"/>
              </w:rPr>
              <w:t xml:space="preserve">Medio</w:t>
            </w:r>
          </w:p>
        </w:tc>
        <w:tc>
          <w:tcPr>
            <w:tcMar>
              <w:top w:type="dxa" w:w="120"/>
              <w:left w:type="dxa" w:w="100"/>
              <w:bottom w:type="dxa" w:w="120"/>
              <w:right w:type="dxa" w:w="100"/>
            </w:tcMar>
          </w:tcPr>
          <w:p>
            <w:pPr>
              <w:jc w:val="left"/>
            </w:pPr>
            <w:r>
              <w:rPr>
                <w:rFonts w:ascii="Calibri" w:cs="Calibri" w:eastAsia="Calibri" w:hAnsi="Calibri"/>
                <w:sz w:val="18"/>
                <w:szCs w:val="18"/>
              </w:rPr>
              <w:t xml:space="preserve">Operacional</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12</w:t>
            </w:r>
          </w:p>
        </w:tc>
        <w:tc>
          <w:tcPr>
            <w:tcMar>
              <w:top w:type="dxa" w:w="120"/>
              <w:left w:type="dxa" w:w="100"/>
              <w:bottom w:type="dxa" w:w="120"/>
              <w:right w:type="dxa" w:w="100"/>
            </w:tcMar>
          </w:tcPr>
          <w:p>
            <w:pPr>
              <w:jc w:val="left"/>
            </w:pPr>
            <w:r>
              <w:rPr>
                <w:rFonts w:ascii="Calibri" w:cs="Calibri" w:eastAsia="Calibri" w:hAnsi="Calibri"/>
                <w:sz w:val="18"/>
                <w:szCs w:val="18"/>
              </w:rPr>
              <w:t xml:space="preserve">Robo o vandalismo</w:t>
            </w:r>
          </w:p>
        </w:tc>
        <w:tc>
          <w:tcPr>
            <w:tcMar>
              <w:top w:type="dxa" w:w="120"/>
              <w:left w:type="dxa" w:w="100"/>
              <w:bottom w:type="dxa" w:w="120"/>
              <w:right w:type="dxa" w:w="100"/>
            </w:tcMar>
          </w:tcPr>
          <w:p>
            <w:pPr>
              <w:jc w:val="left"/>
            </w:pPr>
            <w:r>
              <w:rPr>
                <w:rFonts w:ascii="Calibri" w:cs="Calibri" w:eastAsia="Calibri" w:hAnsi="Calibri"/>
                <w:sz w:val="18"/>
                <w:szCs w:val="18"/>
              </w:rPr>
              <w:t xml:space="preserve">Media</w:t>
            </w:r>
          </w:p>
        </w:tc>
        <w:tc>
          <w:tcPr>
            <w:tcMar>
              <w:top w:type="dxa" w:w="120"/>
              <w:left w:type="dxa" w:w="100"/>
              <w:bottom w:type="dxa" w:w="120"/>
              <w:right w:type="dxa" w:w="100"/>
            </w:tcMar>
          </w:tcPr>
          <w:p>
            <w:pPr>
              <w:jc w:val="left"/>
            </w:pPr>
            <w:r>
              <w:rPr>
                <w:rFonts w:ascii="Calibri" w:cs="Calibri" w:eastAsia="Calibri" w:hAnsi="Calibri"/>
                <w:sz w:val="18"/>
                <w:szCs w:val="18"/>
              </w:rPr>
              <w:t xml:space="preserve">Medio</w:t>
            </w:r>
          </w:p>
        </w:tc>
        <w:tc>
          <w:tcPr>
            <w:tcMar>
              <w:top w:type="dxa" w:w="120"/>
              <w:left w:type="dxa" w:w="100"/>
              <w:bottom w:type="dxa" w:w="120"/>
              <w:right w:type="dxa" w:w="100"/>
            </w:tcMar>
          </w:tcPr>
          <w:p>
            <w:pPr>
              <w:jc w:val="left"/>
            </w:pPr>
            <w:r>
              <w:rPr>
                <w:rFonts w:ascii="Calibri" w:cs="Calibri" w:eastAsia="Calibri" w:hAnsi="Calibri"/>
                <w:sz w:val="18"/>
                <w:szCs w:val="18"/>
              </w:rPr>
              <w:t xml:space="preserve">Medio</w:t>
            </w:r>
          </w:p>
        </w:tc>
        <w:tc>
          <w:tcPr>
            <w:tcMar>
              <w:top w:type="dxa" w:w="120"/>
              <w:left w:type="dxa" w:w="100"/>
              <w:bottom w:type="dxa" w:w="120"/>
              <w:right w:type="dxa" w:w="100"/>
            </w:tcMar>
          </w:tcPr>
          <w:p>
            <w:pPr>
              <w:jc w:val="left"/>
            </w:pPr>
            <w:r>
              <w:rPr>
                <w:rFonts w:ascii="Calibri" w:cs="Calibri" w:eastAsia="Calibri" w:hAnsi="Calibri"/>
                <w:sz w:val="18"/>
                <w:szCs w:val="18"/>
              </w:rPr>
              <w:t xml:space="preserve">Seguridad</w:t>
            </w:r>
          </w:p>
        </w:tc>
      </w:tr>
    </w:tbl>
    <w:p>
      <w:pPr>
        <w:spacing w:after="240" w:before="60"/>
        <w:jc w:val="center"/>
      </w:pPr>
      <w:r>
        <w:rPr>
          <w:rFonts w:ascii="Calibri" w:cs="Calibri" w:eastAsia="Calibri" w:hAnsi="Calibri"/>
          <w:i/>
          <w:iCs/>
          <w:color w:val="6B7280"/>
          <w:sz w:val="18"/>
          <w:szCs w:val="18"/>
        </w:rPr>
        <w:t xml:space="preserve">Tabla 15.1 — Matriz cualitativa de riesgos del proyecto.</w:t>
      </w:r>
    </w:p>
    <w:p>
      <w:pPr>
        <w:pStyle w:val="Heading2"/>
        <w:spacing w:after="160" w:before="320"/>
      </w:pPr>
      <w:r>
        <w:rPr>
          <w:rFonts w:ascii="Cambria" w:cs="Cambria" w:eastAsia="Cambria" w:hAnsi="Cambria"/>
          <w:b/>
          <w:bCs/>
          <w:color w:val="374151"/>
          <w:sz w:val="26"/>
          <w:szCs w:val="26"/>
        </w:rPr>
        <w:t xml:space="preserve">15.2 Mitigación de los riesgos críticos</w:t>
      </w:r>
    </w:p>
    <w:p>
      <w:pPr>
        <w:pStyle w:val="Heading3"/>
        <w:spacing w:after="100" w:before="200"/>
      </w:pPr>
      <w:r>
        <w:rPr>
          <w:rFonts w:ascii="Cambria" w:cs="Cambria" w:eastAsia="Cambria" w:hAnsi="Cambria"/>
          <w:b/>
          <w:bCs/>
          <w:color w:val="4B5563"/>
          <w:sz w:val="22"/>
          <w:szCs w:val="22"/>
        </w:rPr>
        <w:t xml:space="preserve">Subida de arriendo (Riesgo 1)</w:t>
      </w:r>
    </w:p>
    <w:p>
      <w:pPr>
        <w:spacing w:after="160" w:line="360"/>
        <w:jc w:val="both"/>
      </w:pPr>
      <w:r>
        <w:rPr>
          <w:rFonts w:ascii="Calibri" w:cs="Calibri" w:eastAsia="Calibri" w:hAnsi="Calibri"/>
          <w:sz w:val="22"/>
          <w:szCs w:val="22"/>
        </w:rPr>
        <w:t xml:space="preserve">El arriendo representa entre el 12 y 16% de los costos fijos totales del proyecto, y la propiedad comercial en zonas premium de Santiago ha mostrado aumentos anuales del 6-8% nominal en los últimos años (Colliers, 2024). La mitigación principal consiste en negociar el contrato a 3-5 años con cláusula de reajuste vinculada al IPC y tope explícito al alza, junto con opción de renovación automática a discreción del arrendatario.</w:t>
      </w:r>
    </w:p>
    <w:p>
      <w:pPr>
        <w:pStyle w:val="Heading3"/>
        <w:spacing w:after="100" w:before="200"/>
      </w:pPr>
      <w:r>
        <w:rPr>
          <w:rFonts w:ascii="Cambria" w:cs="Cambria" w:eastAsia="Cambria" w:hAnsi="Cambria"/>
          <w:b/>
          <w:bCs/>
          <w:color w:val="4B5563"/>
          <w:sz w:val="22"/>
          <w:szCs w:val="22"/>
        </w:rPr>
        <w:t xml:space="preserve">Rotación de baristas (Riesgo 4)</w:t>
      </w:r>
    </w:p>
    <w:p>
      <w:pPr>
        <w:spacing w:after="160" w:line="360"/>
        <w:jc w:val="both"/>
      </w:pPr>
      <w:r>
        <w:rPr>
          <w:rFonts w:ascii="Calibri" w:cs="Calibri" w:eastAsia="Calibri" w:hAnsi="Calibri"/>
          <w:sz w:val="22"/>
          <w:szCs w:val="22"/>
        </w:rPr>
        <w:t xml:space="preserve">La rotación en el sector hostelería es históricamente alta (35-45% anual). El proyecto tiene una dependencia crítica del barista jefe, lo que constituye un riesgo de continuidad operacional. La mitigación se basa en cuatro acciones: contratos indefinidos desde el día uno, política de salarios competitivos respecto al mercado, plan de capacitación continua que aumenta el costo de cambio para el empleado, y mantener al menos dos baristas certificados en planilla en todo momento.</w:t>
      </w:r>
    </w:p>
    <w:p>
      <w:pPr>
        <w:pStyle w:val="Heading3"/>
        <w:spacing w:after="100" w:before="200"/>
      </w:pPr>
      <w:r>
        <w:rPr>
          <w:rFonts w:ascii="Cambria" w:cs="Cambria" w:eastAsia="Cambria" w:hAnsi="Cambria"/>
          <w:b/>
          <w:bCs/>
          <w:color w:val="4B5563"/>
          <w:sz w:val="22"/>
          <w:szCs w:val="22"/>
        </w:rPr>
        <w:t xml:space="preserve">Caída del proveedor de combo (Riesgo 6)</w:t>
      </w:r>
    </w:p>
    <w:p>
      <w:pPr>
        <w:spacing w:after="160" w:line="360"/>
        <w:jc w:val="both"/>
      </w:pPr>
      <w:r>
        <w:rPr>
          <w:rFonts w:ascii="Calibri" w:cs="Calibri" w:eastAsia="Calibri" w:hAnsi="Calibri"/>
          <w:sz w:val="22"/>
          <w:szCs w:val="22"/>
        </w:rPr>
        <w:t xml:space="preserve">El producto envasado es el insumo crítico del modelo y depende de un proveedor con resolución sanitaria SEREMI vigente. La mitigación consiste en mantener al menos dos proveedores certificados activos, con stock de reserva mínimo de una semana, y un protocolo claro de sustitución en caso de discontinuación de un proveedor.</w:t>
      </w:r>
    </w:p>
    <w:p>
      <w:r>
        <w:br w:type="page"/>
      </w:r>
    </w:p>
    <w:p>
      <w:pPr>
        <w:pStyle w:val="Heading1"/>
        <w:spacing w:after="240" w:before="480"/>
      </w:pPr>
      <w:r>
        <w:rPr>
          <w:rFonts w:ascii="Cambria" w:cs="Cambria" w:eastAsia="Cambria" w:hAnsi="Cambria"/>
          <w:b/>
          <w:bCs/>
          <w:color w:val="1F2937"/>
          <w:sz w:val="32"/>
          <w:szCs w:val="32"/>
        </w:rPr>
        <w:t xml:space="preserve">16. Conclusiones y recomendaciones</w:t>
      </w:r>
    </w:p>
    <w:p>
      <w:pPr>
        <w:pStyle w:val="Heading2"/>
        <w:spacing w:after="160" w:before="320"/>
      </w:pPr>
      <w:r>
        <w:rPr>
          <w:rFonts w:ascii="Cambria" w:cs="Cambria" w:eastAsia="Cambria" w:hAnsi="Cambria"/>
          <w:b/>
          <w:bCs/>
          <w:color w:val="374151"/>
          <w:sz w:val="26"/>
          <w:szCs w:val="26"/>
        </w:rPr>
        <w:t xml:space="preserve">16.1 Conclusiones del análisis</w:t>
      </w:r>
    </w:p>
    <w:p>
      <w:pPr>
        <w:spacing w:after="160" w:line="360"/>
        <w:jc w:val="both"/>
      </w:pPr>
      <w:r>
        <w:rPr>
          <w:rFonts w:ascii="Calibri" w:cs="Calibri" w:eastAsia="Calibri" w:hAnsi="Calibri"/>
          <w:sz w:val="22"/>
          <w:szCs w:val="22"/>
        </w:rPr>
        <w:t xml:space="preserve">Sobre la base del análisis financiero, normativo, comercial y de localización presentado, el proyecto evaluado presenta factibilidad económica positiva en una sola de las siete localizaciones candidatas. La aplicación de un modelo financiero realista —con costos fijos a precio de mercado, comisión de tarjetas, valor terminal por múltiplo conservador de EBITDA y tasa de descuento ajustada al riesgo del retail food chileno (14.0%)— filtra rigurosamente las zonas donde el binomio ticket-volumen no es suficiente para sostener la estructura de costos elevada de una cafetería compacta.</w:t>
      </w:r>
    </w:p>
    <w:p>
      <w:pPr>
        <w:spacing w:after="160" w:line="360"/>
        <w:jc w:val="both"/>
      </w:pPr>
      <w:r>
        <w:rPr>
          <w:rFonts w:ascii="Calibri" w:cs="Calibri" w:eastAsia="Calibri" w:hAnsi="Calibri"/>
          <w:sz w:val="22"/>
          <w:szCs w:val="22"/>
        </w:rPr>
        <w:t xml:space="preserve">Esta conclusión es coherente con la realidad observable del sector: según el estudio Achiga 2024, las cafeterías independientes en Chile presentan una tasa de fracaso cercana al 50% antes del tercer año de operación, lo que confirma que la rentabilidad no es la regla sino la excepción. La identificación temprana y rigurosa de las localizaciones que sí pueden sostener el modelo es, en sí misma, el principal valor agregado del análisis de factibilidad. La metodología empleada incorpora todos los elementos relevantes según los estándares del curso EVP UAH: estructura del flujo de caja según protocolo, cálculo de VAN, TIR y payback, valor terminal, crédito tributario acumulado del Caso 1 (empresa nueva), análisis de sensibilidad sobre las variables críticas y matriz cualitativa de riesgos con sus medidas de mitigación.</w:t>
      </w:r>
    </w:p>
    <w:p>
      <w:pPr>
        <w:pStyle w:val="Heading2"/>
        <w:spacing w:after="160" w:before="320"/>
      </w:pPr>
      <w:r>
        <w:rPr>
          <w:rFonts w:ascii="Cambria" w:cs="Cambria" w:eastAsia="Cambria" w:hAnsi="Cambria"/>
          <w:b/>
          <w:bCs/>
          <w:color w:val="374151"/>
          <w:sz w:val="26"/>
          <w:szCs w:val="26"/>
        </w:rPr>
        <w:t xml:space="preserve">16.2 Recomendación de localización</w:t>
      </w:r>
    </w:p>
    <w:p>
      <w:pPr>
        <w:spacing w:after="160" w:line="360"/>
        <w:jc w:val="both"/>
      </w:pPr>
      <w:r>
        <w:rPr>
          <w:rFonts w:ascii="Calibri" w:cs="Calibri" w:eastAsia="Calibri" w:hAnsi="Calibri"/>
          <w:sz w:val="22"/>
          <w:szCs w:val="22"/>
        </w:rPr>
        <w:t xml:space="preserve">Sobre la base del VAN base, la TIR, el payback, el score compuesto y el balance entre arriendo y demanda esperada, la localización recomendada es:</w:t>
      </w:r>
    </w:p>
    <w:p>
      <w:pPr>
        <w:spacing w:after="200" w:line="320"/>
        <w:ind w:left="720" w:right="720"/>
        <w:jc w:val="both"/>
      </w:pPr>
      <w:r>
        <w:rPr>
          <w:rFonts w:ascii="Calibri" w:cs="Calibri" w:eastAsia="Calibri" w:hAnsi="Calibri"/>
          <w:i/>
          <w:iCs/>
          <w:color w:val="6B7280"/>
          <w:sz w:val="20"/>
          <w:szCs w:val="20"/>
        </w:rPr>
        <w:t xml:space="preserve">El Golf · Las Condes (sector financiero), con VAN base de CLP 48.7 M, TIR de 39.0% y payback de 3.39 años. La localización aprovecha la concentración de oficinas clase A y A+, la proximidad a la estación El Golf de la Línea 1 del Metro, y el alto poder adquisitivo del entorno corporativo, generando un ticket esperado superior al promedio (CLP 4.500) compatible con un volumen de demanda de 95 combos diarios concentrado en horario laboral lunes a viernes. El score de viabilidad compuesto alcanza 65/100 puntos.</w:t>
      </w:r>
    </w:p>
    <w:p>
      <w:pPr>
        <w:spacing w:after="160" w:line="360"/>
        <w:jc w:val="both"/>
      </w:pPr>
      <w:r>
        <w:rPr>
          <w:rFonts w:ascii="Calibri" w:cs="Calibri" w:eastAsia="Calibri" w:hAnsi="Calibri"/>
          <w:i/>
          <w:iCs/>
          <w:sz w:val="22"/>
          <w:szCs w:val="22"/>
        </w:rPr>
        <w:t xml:space="preserve">Como consideración crítica, el escenario pesimista (caída del 35-40% en demanda) destruye valor en las siete ubicaciones evaluadas, por lo que la decisión de inversión debe acompañarse de un plan de contingencia operacional sólido y un sistema de monitoreo mensual de KPIs (combos vendidos, ticket promedio, margen de contribución, EBITDA mensual).</w:t>
      </w:r>
    </w:p>
    <w:p>
      <w:pPr>
        <w:pStyle w:val="Heading2"/>
        <w:spacing w:after="160" w:before="320"/>
      </w:pPr>
      <w:r>
        <w:rPr>
          <w:rFonts w:ascii="Cambria" w:cs="Cambria" w:eastAsia="Cambria" w:hAnsi="Cambria"/>
          <w:b/>
          <w:bCs/>
          <w:color w:val="374151"/>
          <w:sz w:val="26"/>
          <w:szCs w:val="26"/>
        </w:rPr>
        <w:t xml:space="preserve">16.3 Próximos pasos</w:t>
      </w:r>
    </w:p>
    <w:p>
      <w:pPr>
        <w:spacing w:after="160" w:line="360"/>
        <w:jc w:val="both"/>
      </w:pPr>
      <w:r>
        <w:rPr>
          <w:rFonts w:ascii="Calibri" w:cs="Calibri" w:eastAsia="Calibri" w:hAnsi="Calibri"/>
          <w:sz w:val="22"/>
          <w:szCs w:val="22"/>
        </w:rPr>
        <w:t xml:space="preserve">Antes de proceder con la inversión, se recomienda ejecutar las siguientes acciones en el orden propuesto:</w:t>
      </w:r>
    </w:p>
    <w:p>
      <w:pPr>
        <w:pStyle w:val="ListParagraph"/>
        <w:numPr>
          <w:ilvl w:val="0"/>
          <w:numId w:val="1"/>
        </w:numPr>
        <w:spacing w:after="80" w:line="320"/>
      </w:pPr>
      <w:r>
        <w:rPr>
          <w:rFonts w:ascii="Calibri" w:cs="Calibri" w:eastAsia="Calibri" w:hAnsi="Calibri"/>
          <w:sz w:val="22"/>
          <w:szCs w:val="22"/>
        </w:rPr>
        <w:t xml:space="preserve">Identificar y reservar el local específico mediante reserva con cláusula de gracia (10-15 días) para validación de supuestos.</w:t>
      </w:r>
    </w:p>
    <w:p>
      <w:pPr>
        <w:pStyle w:val="ListParagraph"/>
        <w:numPr>
          <w:ilvl w:val="0"/>
          <w:numId w:val="1"/>
        </w:numPr>
        <w:spacing w:after="80" w:line="320"/>
      </w:pPr>
      <w:r>
        <w:rPr>
          <w:rFonts w:ascii="Calibri" w:cs="Calibri" w:eastAsia="Calibri" w:hAnsi="Calibri"/>
          <w:sz w:val="22"/>
          <w:szCs w:val="22"/>
        </w:rPr>
        <w:t xml:space="preserve">Realizar estudio primario de demanda en el local específico durante una semana laboral típica: conteo manual del flujo peatonal por hora, encuesta de intención de compra, validación del ticket promedio aceptable.</w:t>
      </w:r>
    </w:p>
    <w:p>
      <w:pPr>
        <w:pStyle w:val="ListParagraph"/>
        <w:numPr>
          <w:ilvl w:val="0"/>
          <w:numId w:val="1"/>
        </w:numPr>
        <w:spacing w:after="80" w:line="320"/>
      </w:pPr>
      <w:r>
        <w:rPr>
          <w:rFonts w:ascii="Calibri" w:cs="Calibri" w:eastAsia="Calibri" w:hAnsi="Calibri"/>
          <w:sz w:val="22"/>
          <w:szCs w:val="22"/>
        </w:rPr>
        <w:t xml:space="preserve">Iniciar trámite de inicio de actividades en SII mediante Form 4415 con código 561010, acogiéndose al régimen Pro PYME 14 D N° 3.</w:t>
      </w:r>
    </w:p>
    <w:p>
      <w:pPr>
        <w:pStyle w:val="ListParagraph"/>
        <w:numPr>
          <w:ilvl w:val="0"/>
          <w:numId w:val="1"/>
        </w:numPr>
        <w:spacing w:after="80" w:line="320"/>
      </w:pPr>
      <w:r>
        <w:rPr>
          <w:rFonts w:ascii="Calibri" w:cs="Calibri" w:eastAsia="Calibri" w:hAnsi="Calibri"/>
          <w:sz w:val="22"/>
          <w:szCs w:val="22"/>
        </w:rPr>
        <w:t xml:space="preserve">Solicitar resolución sanitaria SEREMI categoría manipulación mínima (plazo administrativo 4-6 semanas).</w:t>
      </w:r>
    </w:p>
    <w:p>
      <w:pPr>
        <w:pStyle w:val="ListParagraph"/>
        <w:numPr>
          <w:ilvl w:val="0"/>
          <w:numId w:val="1"/>
        </w:numPr>
        <w:spacing w:after="80" w:line="320"/>
      </w:pPr>
      <w:r>
        <w:rPr>
          <w:rFonts w:ascii="Calibri" w:cs="Calibri" w:eastAsia="Calibri" w:hAnsi="Calibri"/>
          <w:sz w:val="22"/>
          <w:szCs w:val="22"/>
        </w:rPr>
        <w:t xml:space="preserve">Capacitar a los baristas seleccionados en curso de manipulador de alimentos (10 horas, OTEC autorizada, vigencia 3 años).</w:t>
      </w:r>
    </w:p>
    <w:p>
      <w:pPr>
        <w:pStyle w:val="ListParagraph"/>
        <w:numPr>
          <w:ilvl w:val="0"/>
          <w:numId w:val="1"/>
        </w:numPr>
        <w:spacing w:after="80" w:line="320"/>
      </w:pPr>
      <w:r>
        <w:rPr>
          <w:rFonts w:ascii="Calibri" w:cs="Calibri" w:eastAsia="Calibri" w:hAnsi="Calibri"/>
          <w:sz w:val="22"/>
          <w:szCs w:val="22"/>
        </w:rPr>
        <w:t xml:space="preserve">Concretar línea de crédito PYME bancaria con preaprobación basada en el flujo proyectado del modelo.</w:t>
      </w:r>
    </w:p>
    <w:p>
      <w:pPr>
        <w:pStyle w:val="ListParagraph"/>
        <w:numPr>
          <w:ilvl w:val="0"/>
          <w:numId w:val="1"/>
        </w:numPr>
        <w:spacing w:after="80" w:line="320"/>
      </w:pPr>
      <w:r>
        <w:rPr>
          <w:rFonts w:ascii="Calibri" w:cs="Calibri" w:eastAsia="Calibri" w:hAnsi="Calibri"/>
          <w:sz w:val="22"/>
          <w:szCs w:val="22"/>
        </w:rPr>
        <w:t xml:space="preserve">Negociar contratos con dos proveedores certificados de combo envasado (Carozzi Food Service, Watt's Alimentos u otros).</w:t>
      </w:r>
    </w:p>
    <w:p>
      <w:pPr>
        <w:pStyle w:val="ListParagraph"/>
        <w:numPr>
          <w:ilvl w:val="0"/>
          <w:numId w:val="1"/>
        </w:numPr>
        <w:spacing w:after="80" w:line="320"/>
      </w:pPr>
      <w:r>
        <w:rPr>
          <w:rFonts w:ascii="Calibri" w:cs="Calibri" w:eastAsia="Calibri" w:hAnsi="Calibri"/>
          <w:sz w:val="22"/>
          <w:szCs w:val="22"/>
        </w:rPr>
        <w:t xml:space="preserve">Diseñar plan de marketing pre-apertura para los dos meses previos al lanzamiento (Instagram, Google Maps, prensa local, programa de fidelización).</w:t>
      </w:r>
    </w:p>
    <w:p>
      <w:pPr>
        <w:pStyle w:val="ListParagraph"/>
        <w:numPr>
          <w:ilvl w:val="0"/>
          <w:numId w:val="1"/>
        </w:numPr>
        <w:spacing w:after="80" w:line="320"/>
      </w:pPr>
      <w:r>
        <w:rPr>
          <w:rFonts w:ascii="Calibri" w:cs="Calibri" w:eastAsia="Calibri" w:hAnsi="Calibri"/>
          <w:sz w:val="22"/>
          <w:szCs w:val="22"/>
        </w:rPr>
        <w:t xml:space="preserve">Cronograma de obra menor y compra de equipos: 8-12 semanas hasta apertura efectiva.</w:t>
      </w:r>
    </w:p>
    <w:p>
      <w:pPr>
        <w:pStyle w:val="Heading2"/>
        <w:spacing w:after="160" w:before="320"/>
      </w:pPr>
      <w:r>
        <w:rPr>
          <w:rFonts w:ascii="Cambria" w:cs="Cambria" w:eastAsia="Cambria" w:hAnsi="Cambria"/>
          <w:b/>
          <w:bCs/>
          <w:color w:val="374151"/>
          <w:sz w:val="26"/>
          <w:szCs w:val="26"/>
        </w:rPr>
        <w:t xml:space="preserve">16.4 Limitaciones del análisis</w:t>
      </w:r>
    </w:p>
    <w:p>
      <w:pPr>
        <w:spacing w:after="160" w:line="360"/>
        <w:jc w:val="both"/>
      </w:pPr>
      <w:r>
        <w:rPr>
          <w:rFonts w:ascii="Calibri" w:cs="Calibri" w:eastAsia="Calibri" w:hAnsi="Calibri"/>
          <w:sz w:val="22"/>
          <w:szCs w:val="22"/>
        </w:rPr>
        <w:t xml:space="preserve">El presente informe presenta cinco limitaciones que deben considerarse al interpretar los resultados:</w:t>
      </w:r>
    </w:p>
    <w:p>
      <w:pPr>
        <w:pStyle w:val="ListParagraph"/>
        <w:numPr>
          <w:ilvl w:val="0"/>
          <w:numId w:val="1"/>
        </w:numPr>
        <w:spacing w:after="80" w:line="320"/>
      </w:pPr>
      <w:r>
        <w:rPr>
          <w:rFonts w:ascii="Calibri" w:cs="Calibri" w:eastAsia="Calibri" w:hAnsi="Calibri"/>
          <w:sz w:val="22"/>
          <w:szCs w:val="22"/>
        </w:rPr>
        <w:t xml:space="preserve">La demanda esperada está calibrada con proxies (flujo peatonal, ingreso medio comuna, accesibilidad de transporte público) pero no con un estudio primario en el local específico.</w:t>
      </w:r>
    </w:p>
    <w:p>
      <w:pPr>
        <w:pStyle w:val="ListParagraph"/>
        <w:numPr>
          <w:ilvl w:val="0"/>
          <w:numId w:val="1"/>
        </w:numPr>
        <w:spacing w:after="80" w:line="320"/>
      </w:pPr>
      <w:r>
        <w:rPr>
          <w:rFonts w:ascii="Calibri" w:cs="Calibri" w:eastAsia="Calibri" w:hAnsi="Calibri"/>
          <w:sz w:val="22"/>
          <w:szCs w:val="22"/>
        </w:rPr>
        <w:t xml:space="preserve">Los arriendos referenciales son agregados de mercado; el valor final dependerá de la negociación específica del contrato.</w:t>
      </w:r>
    </w:p>
    <w:p>
      <w:pPr>
        <w:pStyle w:val="ListParagraph"/>
        <w:numPr>
          <w:ilvl w:val="0"/>
          <w:numId w:val="1"/>
        </w:numPr>
        <w:spacing w:after="80" w:line="320"/>
      </w:pPr>
      <w:r>
        <w:rPr>
          <w:rFonts w:ascii="Calibri" w:cs="Calibri" w:eastAsia="Calibri" w:hAnsi="Calibri"/>
          <w:sz w:val="22"/>
          <w:szCs w:val="22"/>
        </w:rPr>
        <w:t xml:space="preserve">Los costos del combo envasado dependen del contrato con proveedor específico (volumen pactado, exclusividad, plazos de pago).</w:t>
      </w:r>
    </w:p>
    <w:p>
      <w:pPr>
        <w:pStyle w:val="ListParagraph"/>
        <w:numPr>
          <w:ilvl w:val="0"/>
          <w:numId w:val="1"/>
        </w:numPr>
        <w:spacing w:after="80" w:line="320"/>
      </w:pPr>
      <w:r>
        <w:rPr>
          <w:rFonts w:ascii="Calibri" w:cs="Calibri" w:eastAsia="Calibri" w:hAnsi="Calibri"/>
          <w:sz w:val="22"/>
          <w:szCs w:val="22"/>
        </w:rPr>
        <w:t xml:space="preserve">El modelo asume contrato de arriendo a 5 años con reajuste IPC; cambios drásticos en condiciones de mercado durante el horizonte requerirían re-evaluación.</w:t>
      </w:r>
    </w:p>
    <w:p>
      <w:pPr>
        <w:pStyle w:val="ListParagraph"/>
        <w:numPr>
          <w:ilvl w:val="0"/>
          <w:numId w:val="1"/>
        </w:numPr>
        <w:spacing w:after="80" w:line="320"/>
      </w:pPr>
      <w:r>
        <w:rPr>
          <w:rFonts w:ascii="Calibri" w:cs="Calibri" w:eastAsia="Calibri" w:hAnsi="Calibri"/>
          <w:sz w:val="22"/>
          <w:szCs w:val="22"/>
        </w:rPr>
        <w:t xml:space="preserve">El análisis de sensibilidad es univariado; no captura correlaciones entre variables (por ejemplo, una caída del ticket suele coincidir con caída de demanda).</w:t>
      </w:r>
    </w:p>
    <w:p>
      <w:r>
        <w:br w:type="page"/>
      </w:r>
    </w:p>
    <w:p>
      <w:pPr>
        <w:pStyle w:val="Heading1"/>
        <w:spacing w:after="240" w:before="480"/>
      </w:pPr>
      <w:r>
        <w:rPr>
          <w:rFonts w:ascii="Cambria" w:cs="Cambria" w:eastAsia="Cambria" w:hAnsi="Cambria"/>
          <w:b/>
          <w:bCs/>
          <w:color w:val="1F2937"/>
          <w:sz w:val="32"/>
          <w:szCs w:val="32"/>
        </w:rPr>
        <w:t xml:space="preserve">Referencias bibliográficas</w:t>
      </w:r>
    </w:p>
    <w:p>
      <w:pPr>
        <w:spacing w:after="160" w:line="360"/>
        <w:jc w:val="both"/>
      </w:pPr>
      <w:r>
        <w:rPr>
          <w:rFonts w:ascii="Calibri" w:cs="Calibri" w:eastAsia="Calibri" w:hAnsi="Calibri"/>
          <w:sz w:val="22"/>
          <w:szCs w:val="22"/>
        </w:rPr>
        <w:t xml:space="preserve">Achiga (2024). Reporte sectorial de cafeterías en Chile. Asociación Chilena de Gastronomía. Santiago.</w:t>
      </w:r>
    </w:p>
    <w:p>
      <w:pPr>
        <w:spacing w:after="160" w:line="360"/>
        <w:jc w:val="both"/>
      </w:pPr>
      <w:r>
        <w:rPr>
          <w:rFonts w:ascii="Calibri" w:cs="Calibri" w:eastAsia="Calibri" w:hAnsi="Calibri"/>
          <w:sz w:val="22"/>
          <w:szCs w:val="22"/>
        </w:rPr>
        <w:t xml:space="preserve">ANCC (2024). Estudio del mercado de cafeterías en la Región Metropolitana. Asociación Nacional de Cafés y Cafeterías. Santiago.</w:t>
      </w:r>
    </w:p>
    <w:p>
      <w:pPr>
        <w:spacing w:after="160" w:line="360"/>
        <w:jc w:val="both"/>
      </w:pPr>
      <w:r>
        <w:rPr>
          <w:rFonts w:ascii="Calibri" w:cs="Calibri" w:eastAsia="Calibri" w:hAnsi="Calibri"/>
          <w:sz w:val="22"/>
          <w:szCs w:val="22"/>
        </w:rPr>
        <w:t xml:space="preserve">CASEN (2022). Encuesta de Caracterización Socioeconómica Nacional. Observatorio Social, Ministerio de Desarrollo Social y Familia. Santiago.</w:t>
      </w:r>
    </w:p>
    <w:p>
      <w:pPr>
        <w:spacing w:after="160" w:line="360"/>
        <w:jc w:val="both"/>
      </w:pPr>
      <w:r>
        <w:rPr>
          <w:rFonts w:ascii="Calibri" w:cs="Calibri" w:eastAsia="Calibri" w:hAnsi="Calibri"/>
          <w:sz w:val="22"/>
          <w:szCs w:val="22"/>
        </w:rPr>
        <w:t xml:space="preserve">Colliers (2024). Reporte trimestral de retail comercial: Región Metropolitana, tercer trimestre 2024. Colliers Chile.</w:t>
      </w:r>
    </w:p>
    <w:p>
      <w:pPr>
        <w:spacing w:after="160" w:line="360"/>
        <w:jc w:val="both"/>
      </w:pPr>
      <w:r>
        <w:rPr>
          <w:rFonts w:ascii="Calibri" w:cs="Calibri" w:eastAsia="Calibri" w:hAnsi="Calibri"/>
          <w:sz w:val="22"/>
          <w:szCs w:val="22"/>
        </w:rPr>
        <w:t xml:space="preserve">INE (2024). Censo 2017 con proyecciones de población a 2024. Instituto Nacional de Estadísticas. Santiago.</w:t>
      </w:r>
    </w:p>
    <w:p>
      <w:pPr>
        <w:spacing w:after="160" w:line="360"/>
        <w:jc w:val="both"/>
      </w:pPr>
      <w:r>
        <w:rPr>
          <w:rFonts w:ascii="Calibri" w:cs="Calibri" w:eastAsia="Calibri" w:hAnsi="Calibri"/>
          <w:sz w:val="22"/>
          <w:szCs w:val="22"/>
        </w:rPr>
        <w:t xml:space="preserve">Metro de Santiago (2023). Memoria Anual 2023. Metro S.A. Santiago.</w:t>
      </w:r>
    </w:p>
    <w:p>
      <w:pPr>
        <w:spacing w:after="160" w:line="360"/>
        <w:jc w:val="both"/>
      </w:pPr>
      <w:r>
        <w:rPr>
          <w:rFonts w:ascii="Calibri" w:cs="Calibri" w:eastAsia="Calibri" w:hAnsi="Calibri"/>
          <w:sz w:val="22"/>
          <w:szCs w:val="22"/>
        </w:rPr>
        <w:t xml:space="preserve">Procafé Chile (2024). Estudio del consumo de café en Chile. Procafé. Santiago.</w:t>
      </w:r>
    </w:p>
    <w:p>
      <w:pPr>
        <w:spacing w:after="160" w:line="360"/>
        <w:jc w:val="both"/>
      </w:pPr>
      <w:r>
        <w:rPr>
          <w:rFonts w:ascii="Calibri" w:cs="Calibri" w:eastAsia="Calibri" w:hAnsi="Calibri"/>
          <w:sz w:val="22"/>
          <w:szCs w:val="22"/>
        </w:rPr>
        <w:t xml:space="preserve">Sapag, N., Sapag, R. y Sapag, J. (2014). Preparación y evaluación de proyectos. Sexta edición. McGraw-Hill Interamericana. Santiago.</w:t>
      </w:r>
    </w:p>
    <w:p>
      <w:pPr>
        <w:spacing w:after="160" w:line="360"/>
        <w:jc w:val="both"/>
      </w:pPr>
      <w:r>
        <w:rPr>
          <w:rFonts w:ascii="Calibri" w:cs="Calibri" w:eastAsia="Calibri" w:hAnsi="Calibri"/>
          <w:sz w:val="22"/>
          <w:szCs w:val="22"/>
        </w:rPr>
        <w:t xml:space="preserve">SECTRA (2014). Encuesta Origen Destino de Viajes 2012, Santiago. Documento técnico. Subsecretaría de Transportes. Santiago.</w:t>
      </w:r>
    </w:p>
    <w:p>
      <w:pPr>
        <w:spacing w:after="160" w:line="360"/>
        <w:jc w:val="both"/>
      </w:pPr>
      <w:r>
        <w:rPr>
          <w:rFonts w:ascii="Calibri" w:cs="Calibri" w:eastAsia="Calibri" w:hAnsi="Calibri"/>
          <w:sz w:val="22"/>
          <w:szCs w:val="22"/>
        </w:rPr>
        <w:t xml:space="preserve">SII (2024). Tabla de vida útil de bienes físicos del activo inmovilizado. Servicio de Impuestos Internos. Santiago.</w:t>
      </w:r>
    </w:p>
    <w:p>
      <w:pPr>
        <w:spacing w:after="160" w:line="360"/>
        <w:jc w:val="both"/>
      </w:pPr>
      <w:r>
        <w:rPr>
          <w:rFonts w:ascii="Calibri" w:cs="Calibri" w:eastAsia="Calibri" w:hAnsi="Calibri"/>
          <w:sz w:val="22"/>
          <w:szCs w:val="22"/>
        </w:rPr>
        <w:t xml:space="preserve">Zúñiga, M. (2025). Apuntes del curso Evaluación de Proyectos, MBA UAH 2026. Universidad Alberto Hurtado. Santiago.</w:t>
      </w:r>
    </w:p>
    <w:p>
      <w:r>
        <w:br w:type="page"/>
      </w:r>
    </w:p>
    <w:p>
      <w:pPr>
        <w:pStyle w:val="Heading1"/>
        <w:spacing w:after="240" w:before="480"/>
      </w:pPr>
      <w:r>
        <w:rPr>
          <w:rFonts w:ascii="Cambria" w:cs="Cambria" w:eastAsia="Cambria" w:hAnsi="Cambria"/>
          <w:b/>
          <w:bCs/>
          <w:color w:val="1F2937"/>
          <w:sz w:val="32"/>
          <w:szCs w:val="32"/>
        </w:rPr>
        <w:t xml:space="preserve">Anexo A. Glosario de términos técnicos</w:t>
      </w:r>
    </w:p>
    <w:tbl>
      <w:tblPr>
        <w:tblW w:type="pct" w:w="100%"/>
        <w:tblBorders>
          <w:top w:val="single" w:color="111827" w:sz="6"/>
          <w:left w:val="none" w:color="FFFFFF" w:sz="0"/>
          <w:bottom w:val="single" w:color="111827" w:sz="6"/>
          <w:right w:val="none" w:color="FFFFFF" w:sz="0"/>
          <w:insideH w:val="single" w:color="D1D5DB" w:sz="2"/>
          <w:insideV w:val="none" w:color="FFFFFF" w:sz="0"/>
        </w:tblBorders>
      </w:tblPr>
      <w:tblGrid>
        <w:gridCol w:w="100"/>
        <w:gridCol w:w="100"/>
      </w:tblGrid>
      <w:tr>
        <w:trPr>
          <w:tblHeader/>
        </w:trPr>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Término</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Definición</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VAN</w:t>
            </w:r>
          </w:p>
        </w:tc>
        <w:tc>
          <w:tcPr>
            <w:tcMar>
              <w:top w:type="dxa" w:w="120"/>
              <w:left w:type="dxa" w:w="100"/>
              <w:bottom w:type="dxa" w:w="120"/>
              <w:right w:type="dxa" w:w="100"/>
            </w:tcMar>
          </w:tcPr>
          <w:p>
            <w:pPr>
              <w:jc w:val="left"/>
            </w:pPr>
            <w:r>
              <w:rPr>
                <w:rFonts w:ascii="Calibri" w:cs="Calibri" w:eastAsia="Calibri" w:hAnsi="Calibri"/>
                <w:sz w:val="18"/>
                <w:szCs w:val="18"/>
              </w:rPr>
              <w:t xml:space="preserve">Valor Actual Neto. Suma descontada de los flujos de caja netos al costo de capital. Se acepta el proyecto si VAN &gt; 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TIR</w:t>
            </w:r>
          </w:p>
        </w:tc>
        <w:tc>
          <w:tcPr>
            <w:tcMar>
              <w:top w:type="dxa" w:w="120"/>
              <w:left w:type="dxa" w:w="100"/>
              <w:bottom w:type="dxa" w:w="120"/>
              <w:right w:type="dxa" w:w="100"/>
            </w:tcMar>
          </w:tcPr>
          <w:p>
            <w:pPr>
              <w:jc w:val="left"/>
            </w:pPr>
            <w:r>
              <w:rPr>
                <w:rFonts w:ascii="Calibri" w:cs="Calibri" w:eastAsia="Calibri" w:hAnsi="Calibri"/>
                <w:sz w:val="18"/>
                <w:szCs w:val="18"/>
              </w:rPr>
              <w:t xml:space="preserve">Tasa Interna de Retorno. Tasa de descuento que hace VAN = 0. Equivale a la rentabilidad efectiva del proyecto.</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Payback</w:t>
            </w:r>
          </w:p>
        </w:tc>
        <w:tc>
          <w:tcPr>
            <w:tcMar>
              <w:top w:type="dxa" w:w="120"/>
              <w:left w:type="dxa" w:w="100"/>
              <w:bottom w:type="dxa" w:w="120"/>
              <w:right w:type="dxa" w:w="100"/>
            </w:tcMar>
          </w:tcPr>
          <w:p>
            <w:pPr>
              <w:jc w:val="left"/>
            </w:pPr>
            <w:r>
              <w:rPr>
                <w:rFonts w:ascii="Calibri" w:cs="Calibri" w:eastAsia="Calibri" w:hAnsi="Calibri"/>
                <w:sz w:val="18"/>
                <w:szCs w:val="18"/>
              </w:rPr>
              <w:t xml:space="preserve">Período en el que la suma acumulada de flujos de caja pasa de negativa a positiva.</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Tcc</w:t>
            </w:r>
          </w:p>
        </w:tc>
        <w:tc>
          <w:tcPr>
            <w:tcMar>
              <w:top w:type="dxa" w:w="120"/>
              <w:left w:type="dxa" w:w="100"/>
              <w:bottom w:type="dxa" w:w="120"/>
              <w:right w:type="dxa" w:w="100"/>
            </w:tcMar>
          </w:tcPr>
          <w:p>
            <w:pPr>
              <w:jc w:val="left"/>
            </w:pPr>
            <w:r>
              <w:rPr>
                <w:rFonts w:ascii="Calibri" w:cs="Calibri" w:eastAsia="Calibri" w:hAnsi="Calibri"/>
                <w:sz w:val="18"/>
                <w:szCs w:val="18"/>
              </w:rPr>
              <w:t xml:space="preserve">Tasa de costo de capital del proyecto. Default del curso UAH: 12%. Para este proyecto: 11,5%.</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UAI</w:t>
            </w:r>
          </w:p>
        </w:tc>
        <w:tc>
          <w:tcPr>
            <w:tcMar>
              <w:top w:type="dxa" w:w="120"/>
              <w:left w:type="dxa" w:w="100"/>
              <w:bottom w:type="dxa" w:w="120"/>
              <w:right w:type="dxa" w:w="100"/>
            </w:tcMar>
          </w:tcPr>
          <w:p>
            <w:pPr>
              <w:jc w:val="left"/>
            </w:pPr>
            <w:r>
              <w:rPr>
                <w:rFonts w:ascii="Calibri" w:cs="Calibri" w:eastAsia="Calibri" w:hAnsi="Calibri"/>
                <w:sz w:val="18"/>
                <w:szCs w:val="18"/>
              </w:rPr>
              <w:t xml:space="preserve">Utilidad Antes de Impuesto. Suma algebraica desde ingresos hasta gastos no desembolsables.</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UDI</w:t>
            </w:r>
          </w:p>
        </w:tc>
        <w:tc>
          <w:tcPr>
            <w:tcMar>
              <w:top w:type="dxa" w:w="120"/>
              <w:left w:type="dxa" w:w="100"/>
              <w:bottom w:type="dxa" w:w="120"/>
              <w:right w:type="dxa" w:w="100"/>
            </w:tcMar>
          </w:tcPr>
          <w:p>
            <w:pPr>
              <w:jc w:val="left"/>
            </w:pPr>
            <w:r>
              <w:rPr>
                <w:rFonts w:ascii="Calibri" w:cs="Calibri" w:eastAsia="Calibri" w:hAnsi="Calibri"/>
                <w:sz w:val="18"/>
                <w:szCs w:val="18"/>
              </w:rPr>
              <w:t xml:space="preserve">Utilidad Después de Impuesto. UAI menos el impuesto pagado.</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KT</w:t>
            </w:r>
          </w:p>
        </w:tc>
        <w:tc>
          <w:tcPr>
            <w:tcMar>
              <w:top w:type="dxa" w:w="120"/>
              <w:left w:type="dxa" w:w="100"/>
              <w:bottom w:type="dxa" w:w="120"/>
              <w:right w:type="dxa" w:w="100"/>
            </w:tcMar>
          </w:tcPr>
          <w:p>
            <w:pPr>
              <w:jc w:val="left"/>
            </w:pPr>
            <w:r>
              <w:rPr>
                <w:rFonts w:ascii="Calibri" w:cs="Calibri" w:eastAsia="Calibri" w:hAnsi="Calibri"/>
                <w:sz w:val="18"/>
                <w:szCs w:val="18"/>
              </w:rPr>
              <w:t xml:space="preserve">Capital de Trabajo. Efectivo necesario para sostener la operación día a día.</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IMM</w:t>
            </w:r>
          </w:p>
        </w:tc>
        <w:tc>
          <w:tcPr>
            <w:tcMar>
              <w:top w:type="dxa" w:w="120"/>
              <w:left w:type="dxa" w:w="100"/>
              <w:bottom w:type="dxa" w:w="120"/>
              <w:right w:type="dxa" w:w="100"/>
            </w:tcMar>
          </w:tcPr>
          <w:p>
            <w:pPr>
              <w:jc w:val="left"/>
            </w:pPr>
            <w:r>
              <w:rPr>
                <w:rFonts w:ascii="Calibri" w:cs="Calibri" w:eastAsia="Calibri" w:hAnsi="Calibri"/>
                <w:sz w:val="18"/>
                <w:szCs w:val="18"/>
              </w:rPr>
              <w:t xml:space="preserve">Ingreso Mínimo Mensual. Vigente 2025: CLP 510.636.</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UF</w:t>
            </w:r>
          </w:p>
        </w:tc>
        <w:tc>
          <w:tcPr>
            <w:tcMar>
              <w:top w:type="dxa" w:w="120"/>
              <w:left w:type="dxa" w:w="100"/>
              <w:bottom w:type="dxa" w:w="120"/>
              <w:right w:type="dxa" w:w="100"/>
            </w:tcMar>
          </w:tcPr>
          <w:p>
            <w:pPr>
              <w:jc w:val="left"/>
            </w:pPr>
            <w:r>
              <w:rPr>
                <w:rFonts w:ascii="Calibri" w:cs="Calibri" w:eastAsia="Calibri" w:hAnsi="Calibri"/>
                <w:sz w:val="18"/>
                <w:szCs w:val="18"/>
              </w:rPr>
              <w:t xml:space="preserve">Unidad de Fomento. Promedio referencial 2025: CLP 39.500.</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UTM</w:t>
            </w:r>
          </w:p>
        </w:tc>
        <w:tc>
          <w:tcPr>
            <w:tcMar>
              <w:top w:type="dxa" w:w="120"/>
              <w:left w:type="dxa" w:w="100"/>
              <w:bottom w:type="dxa" w:w="120"/>
              <w:right w:type="dxa" w:w="100"/>
            </w:tcMar>
          </w:tcPr>
          <w:p>
            <w:pPr>
              <w:jc w:val="left"/>
            </w:pPr>
            <w:r>
              <w:rPr>
                <w:rFonts w:ascii="Calibri" w:cs="Calibri" w:eastAsia="Calibri" w:hAnsi="Calibri"/>
                <w:sz w:val="18"/>
                <w:szCs w:val="18"/>
              </w:rPr>
              <w:t xml:space="preserve">Unidad Tributaria Mensual. Referencial 2025: CLP 68.785.</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Pro PYME</w:t>
            </w:r>
          </w:p>
        </w:tc>
        <w:tc>
          <w:tcPr>
            <w:tcMar>
              <w:top w:type="dxa" w:w="120"/>
              <w:left w:type="dxa" w:w="100"/>
              <w:bottom w:type="dxa" w:w="120"/>
              <w:right w:type="dxa" w:w="100"/>
            </w:tcMar>
          </w:tcPr>
          <w:p>
            <w:pPr>
              <w:jc w:val="left"/>
            </w:pPr>
            <w:r>
              <w:rPr>
                <w:rFonts w:ascii="Calibri" w:cs="Calibri" w:eastAsia="Calibri" w:hAnsi="Calibri"/>
                <w:sz w:val="18"/>
                <w:szCs w:val="18"/>
              </w:rPr>
              <w:t xml:space="preserve">Régimen tributario para empresas con ventas menores a 75.000 UF. Tasa 25%, depreciación instantánea, gasto al pago.</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SEREMI</w:t>
            </w:r>
          </w:p>
        </w:tc>
        <w:tc>
          <w:tcPr>
            <w:tcMar>
              <w:top w:type="dxa" w:w="120"/>
              <w:left w:type="dxa" w:w="100"/>
              <w:bottom w:type="dxa" w:w="120"/>
              <w:right w:type="dxa" w:w="100"/>
            </w:tcMar>
          </w:tcPr>
          <w:p>
            <w:pPr>
              <w:jc w:val="left"/>
            </w:pPr>
            <w:r>
              <w:rPr>
                <w:rFonts w:ascii="Calibri" w:cs="Calibri" w:eastAsia="Calibri" w:hAnsi="Calibri"/>
                <w:sz w:val="18"/>
                <w:szCs w:val="18"/>
              </w:rPr>
              <w:t xml:space="preserve">Secretaría Regional Ministerial. La SEREMI Salud RM autoriza los establecimientos de alimentos.</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SII</w:t>
            </w:r>
          </w:p>
        </w:tc>
        <w:tc>
          <w:tcPr>
            <w:tcMar>
              <w:top w:type="dxa" w:w="120"/>
              <w:left w:type="dxa" w:w="100"/>
              <w:bottom w:type="dxa" w:w="120"/>
              <w:right w:type="dxa" w:w="100"/>
            </w:tcMar>
          </w:tcPr>
          <w:p>
            <w:pPr>
              <w:jc w:val="left"/>
            </w:pPr>
            <w:r>
              <w:rPr>
                <w:rFonts w:ascii="Calibri" w:cs="Calibri" w:eastAsia="Calibri" w:hAnsi="Calibri"/>
                <w:sz w:val="18"/>
                <w:szCs w:val="18"/>
              </w:rPr>
              <w:t xml:space="preserve">Servicio de Impuestos Internos. Administra el sistema tributario chileno.</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HACCP</w:t>
            </w:r>
          </w:p>
        </w:tc>
        <w:tc>
          <w:tcPr>
            <w:tcMar>
              <w:top w:type="dxa" w:w="120"/>
              <w:left w:type="dxa" w:w="100"/>
              <w:bottom w:type="dxa" w:w="120"/>
              <w:right w:type="dxa" w:w="100"/>
            </w:tcMar>
          </w:tcPr>
          <w:p>
            <w:pPr>
              <w:jc w:val="left"/>
            </w:pPr>
            <w:r>
              <w:rPr>
                <w:rFonts w:ascii="Calibri" w:cs="Calibri" w:eastAsia="Calibri" w:hAnsi="Calibri"/>
                <w:sz w:val="18"/>
                <w:szCs w:val="18"/>
              </w:rPr>
              <w:t xml:space="preserve">Hazard Analysis and Critical Control Points. Sistema de gestión sanitaria; no requerido para "manipulación mínima".</w:t>
            </w:r>
          </w:p>
        </w:tc>
      </w:tr>
    </w:tbl>
    <w:p>
      <w:r>
        <w:br w:type="page"/>
      </w:r>
    </w:p>
    <w:p>
      <w:pPr>
        <w:pStyle w:val="Heading1"/>
        <w:spacing w:after="240" w:before="480"/>
      </w:pPr>
      <w:r>
        <w:rPr>
          <w:rFonts w:ascii="Cambria" w:cs="Cambria" w:eastAsia="Cambria" w:hAnsi="Cambria"/>
          <w:b/>
          <w:bCs/>
          <w:color w:val="1F2937"/>
          <w:sz w:val="32"/>
          <w:szCs w:val="32"/>
        </w:rPr>
        <w:t xml:space="preserve">Anexo B. Fórmulas Excel del modelo</w:t>
      </w:r>
    </w:p>
    <w:tbl>
      <w:tblPr>
        <w:tblW w:type="pct" w:w="100%"/>
        <w:tblBorders>
          <w:top w:val="single" w:color="111827" w:sz="6"/>
          <w:left w:val="none" w:color="FFFFFF" w:sz="0"/>
          <w:bottom w:val="single" w:color="111827" w:sz="6"/>
          <w:right w:val="none" w:color="FFFFFF" w:sz="0"/>
          <w:insideH w:val="single" w:color="D1D5DB" w:sz="2"/>
          <w:insideV w:val="none" w:color="FFFFFF" w:sz="0"/>
        </w:tblBorders>
      </w:tblPr>
      <w:tblGrid>
        <w:gridCol w:w="100"/>
        <w:gridCol w:w="100"/>
        <w:gridCol w:w="100"/>
      </w:tblGrid>
      <w:tr>
        <w:trPr>
          <w:tblHeader/>
        </w:trPr>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Concepto</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Fórmula Excel</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Notas</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VAN</w:t>
            </w:r>
          </w:p>
        </w:tc>
        <w:tc>
          <w:tcPr>
            <w:tcMar>
              <w:top w:type="dxa" w:w="120"/>
              <w:left w:type="dxa" w:w="100"/>
              <w:bottom w:type="dxa" w:w="120"/>
              <w:right w:type="dxa" w:w="100"/>
            </w:tcMar>
          </w:tcPr>
          <w:p>
            <w:pPr>
              <w:jc w:val="left"/>
            </w:pPr>
            <w:r>
              <w:rPr>
                <w:rFonts w:ascii="Calibri" w:cs="Calibri" w:eastAsia="Calibri" w:hAnsi="Calibri"/>
                <w:sz w:val="18"/>
                <w:szCs w:val="18"/>
              </w:rPr>
              <w:t xml:space="preserve">=VNA(tasa, flujo1:flujoN) + flujo0</w:t>
            </w:r>
          </w:p>
        </w:tc>
        <w:tc>
          <w:tcPr>
            <w:tcMar>
              <w:top w:type="dxa" w:w="120"/>
              <w:left w:type="dxa" w:w="100"/>
              <w:bottom w:type="dxa" w:w="120"/>
              <w:right w:type="dxa" w:w="100"/>
            </w:tcMar>
          </w:tcPr>
          <w:p>
            <w:pPr>
              <w:jc w:val="left"/>
            </w:pPr>
            <w:r>
              <w:rPr>
                <w:rFonts w:ascii="Calibri" w:cs="Calibri" w:eastAsia="Calibri" w:hAnsi="Calibri"/>
                <w:sz w:val="18"/>
                <w:szCs w:val="18"/>
              </w:rPr>
              <w:t xml:space="preserve">VNA descuenta desde el período 1; el flujo 0 va sumado por fuera.</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TIR</w:t>
            </w:r>
          </w:p>
        </w:tc>
        <w:tc>
          <w:tcPr>
            <w:tcMar>
              <w:top w:type="dxa" w:w="120"/>
              <w:left w:type="dxa" w:w="100"/>
              <w:bottom w:type="dxa" w:w="120"/>
              <w:right w:type="dxa" w:w="100"/>
            </w:tcMar>
          </w:tcPr>
          <w:p>
            <w:pPr>
              <w:jc w:val="left"/>
            </w:pPr>
            <w:r>
              <w:rPr>
                <w:rFonts w:ascii="Calibri" w:cs="Calibri" w:eastAsia="Calibri" w:hAnsi="Calibri"/>
                <w:sz w:val="18"/>
                <w:szCs w:val="18"/>
              </w:rPr>
              <w:t xml:space="preserve">=TIR(flujo0:flujoN)</w:t>
            </w:r>
          </w:p>
        </w:tc>
        <w:tc>
          <w:tcPr>
            <w:tcMar>
              <w:top w:type="dxa" w:w="120"/>
              <w:left w:type="dxa" w:w="100"/>
              <w:bottom w:type="dxa" w:w="120"/>
              <w:right w:type="dxa" w:w="100"/>
            </w:tcMar>
          </w:tcPr>
          <w:p>
            <w:pPr>
              <w:jc w:val="left"/>
            </w:pPr>
            <w:r>
              <w:rPr>
                <w:rFonts w:ascii="Calibri" w:cs="Calibri" w:eastAsia="Calibri" w:hAnsi="Calibri"/>
                <w:sz w:val="18"/>
                <w:szCs w:val="18"/>
              </w:rPr>
              <w:t xml:space="preserve">Incluye el flujo 0 dentro del rango.</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Depreciación lineal SLN</w:t>
            </w:r>
          </w:p>
        </w:tc>
        <w:tc>
          <w:tcPr>
            <w:tcMar>
              <w:top w:type="dxa" w:w="120"/>
              <w:left w:type="dxa" w:w="100"/>
              <w:bottom w:type="dxa" w:w="120"/>
              <w:right w:type="dxa" w:w="100"/>
            </w:tcMar>
          </w:tcPr>
          <w:p>
            <w:pPr>
              <w:jc w:val="left"/>
            </w:pPr>
            <w:r>
              <w:rPr>
                <w:rFonts w:ascii="Calibri" w:cs="Calibri" w:eastAsia="Calibri" w:hAnsi="Calibri"/>
                <w:sz w:val="18"/>
                <w:szCs w:val="18"/>
              </w:rPr>
              <w:t xml:space="preserve">=SLN(costo, residual, vida_útil)</w:t>
            </w:r>
          </w:p>
        </w:tc>
        <w:tc>
          <w:tcPr>
            <w:tcMar>
              <w:top w:type="dxa" w:w="120"/>
              <w:left w:type="dxa" w:w="100"/>
              <w:bottom w:type="dxa" w:w="120"/>
              <w:right w:type="dxa" w:w="100"/>
            </w:tcMar>
          </w:tcPr>
          <w:p>
            <w:pPr>
              <w:jc w:val="left"/>
            </w:pPr>
            <w:r>
              <w:rPr>
                <w:rFonts w:ascii="Calibri" w:cs="Calibri" w:eastAsia="Calibri" w:hAnsi="Calibri"/>
                <w:sz w:val="18"/>
                <w:szCs w:val="18"/>
              </w:rPr>
              <w:t xml:space="preserve">Función Financieras de Excel.</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Cuota total amortización francesa</w:t>
            </w:r>
          </w:p>
        </w:tc>
        <w:tc>
          <w:tcPr>
            <w:tcMar>
              <w:top w:type="dxa" w:w="120"/>
              <w:left w:type="dxa" w:w="100"/>
              <w:bottom w:type="dxa" w:w="120"/>
              <w:right w:type="dxa" w:w="100"/>
            </w:tcMar>
          </w:tcPr>
          <w:p>
            <w:pPr>
              <w:jc w:val="left"/>
            </w:pPr>
            <w:r>
              <w:rPr>
                <w:rFonts w:ascii="Calibri" w:cs="Calibri" w:eastAsia="Calibri" w:hAnsi="Calibri"/>
                <w:sz w:val="18"/>
                <w:szCs w:val="18"/>
              </w:rPr>
              <w:t xml:space="preserve">=PAGO(tasa, plazo, principal)</w:t>
            </w:r>
          </w:p>
        </w:tc>
        <w:tc>
          <w:tcPr>
            <w:tcMar>
              <w:top w:type="dxa" w:w="120"/>
              <w:left w:type="dxa" w:w="100"/>
              <w:bottom w:type="dxa" w:w="120"/>
              <w:right w:type="dxa" w:w="100"/>
            </w:tcMar>
          </w:tcPr>
          <w:p>
            <w:pPr>
              <w:jc w:val="left"/>
            </w:pPr>
            <w:r>
              <w:rPr>
                <w:rFonts w:ascii="Calibri" w:cs="Calibri" w:eastAsia="Calibri" w:hAnsi="Calibri"/>
                <w:sz w:val="18"/>
                <w:szCs w:val="18"/>
              </w:rPr>
              <w:t xml:space="preserve">Cuota mensual constante.</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Interés del período k</w:t>
            </w:r>
          </w:p>
        </w:tc>
        <w:tc>
          <w:tcPr>
            <w:tcMar>
              <w:top w:type="dxa" w:w="120"/>
              <w:left w:type="dxa" w:w="100"/>
              <w:bottom w:type="dxa" w:w="120"/>
              <w:right w:type="dxa" w:w="100"/>
            </w:tcMar>
          </w:tcPr>
          <w:p>
            <w:pPr>
              <w:jc w:val="left"/>
            </w:pPr>
            <w:r>
              <w:rPr>
                <w:rFonts w:ascii="Calibri" w:cs="Calibri" w:eastAsia="Calibri" w:hAnsi="Calibri"/>
                <w:sz w:val="18"/>
                <w:szCs w:val="18"/>
              </w:rPr>
              <w:t xml:space="preserve">=PAGOINT(tasa, k, plazo, principal)</w:t>
            </w:r>
          </w:p>
        </w:tc>
        <w:tc>
          <w:tcPr>
            <w:tcMar>
              <w:top w:type="dxa" w:w="120"/>
              <w:left w:type="dxa" w:w="100"/>
              <w:bottom w:type="dxa" w:w="120"/>
              <w:right w:type="dxa" w:w="100"/>
            </w:tcMar>
          </w:tcPr>
          <w:p>
            <w:pPr>
              <w:jc w:val="left"/>
            </w:pPr>
            <w:r>
              <w:rPr>
                <w:rFonts w:ascii="Calibri" w:cs="Calibri" w:eastAsia="Calibri" w:hAnsi="Calibri"/>
                <w:sz w:val="18"/>
                <w:szCs w:val="18"/>
              </w:rPr>
              <w:t xml:space="preserve">Solo el período k no se fija al copiar.</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Capital del período k</w:t>
            </w:r>
          </w:p>
        </w:tc>
        <w:tc>
          <w:tcPr>
            <w:tcMar>
              <w:top w:type="dxa" w:w="120"/>
              <w:left w:type="dxa" w:w="100"/>
              <w:bottom w:type="dxa" w:w="120"/>
              <w:right w:type="dxa" w:w="100"/>
            </w:tcMar>
          </w:tcPr>
          <w:p>
            <w:pPr>
              <w:jc w:val="left"/>
            </w:pPr>
            <w:r>
              <w:rPr>
                <w:rFonts w:ascii="Calibri" w:cs="Calibri" w:eastAsia="Calibri" w:hAnsi="Calibri"/>
                <w:sz w:val="18"/>
                <w:szCs w:val="18"/>
              </w:rPr>
              <w:t xml:space="preserve">=PAGOPRIN(tasa, k, plazo, principal)</w:t>
            </w:r>
          </w:p>
        </w:tc>
        <w:tc>
          <w:tcPr>
            <w:tcMar>
              <w:top w:type="dxa" w:w="120"/>
              <w:left w:type="dxa" w:w="100"/>
              <w:bottom w:type="dxa" w:w="120"/>
              <w:right w:type="dxa" w:w="100"/>
            </w:tcMar>
          </w:tcPr>
          <w:p>
            <w:pPr>
              <w:jc w:val="left"/>
            </w:pPr>
            <w:r>
              <w:rPr>
                <w:rFonts w:ascii="Calibri" w:cs="Calibri" w:eastAsia="Calibri" w:hAnsi="Calibri"/>
                <w:sz w:val="18"/>
                <w:szCs w:val="18"/>
              </w:rPr>
              <w:t xml:space="preserve">Misma lógica que PAGOINT.</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Búsqueda de variable mínima</w:t>
            </w:r>
          </w:p>
        </w:tc>
        <w:tc>
          <w:tcPr>
            <w:tcMar>
              <w:top w:type="dxa" w:w="120"/>
              <w:left w:type="dxa" w:w="100"/>
              <w:bottom w:type="dxa" w:w="120"/>
              <w:right w:type="dxa" w:w="100"/>
            </w:tcMar>
          </w:tcPr>
          <w:p>
            <w:pPr>
              <w:jc w:val="left"/>
            </w:pPr>
            <w:r>
              <w:rPr>
                <w:rFonts w:ascii="Calibri" w:cs="Calibri" w:eastAsia="Calibri" w:hAnsi="Calibri"/>
                <w:sz w:val="18"/>
                <w:szCs w:val="18"/>
              </w:rPr>
              <w:t xml:space="preserve">Datos &gt; Análisis de hipótesis &gt; Buscar objetivo</w:t>
            </w:r>
          </w:p>
        </w:tc>
        <w:tc>
          <w:tcPr>
            <w:tcMar>
              <w:top w:type="dxa" w:w="120"/>
              <w:left w:type="dxa" w:w="100"/>
              <w:bottom w:type="dxa" w:w="120"/>
              <w:right w:type="dxa" w:w="100"/>
            </w:tcMar>
          </w:tcPr>
          <w:p>
            <w:pPr>
              <w:jc w:val="left"/>
            </w:pPr>
            <w:r>
              <w:rPr>
                <w:rFonts w:ascii="Calibri" w:cs="Calibri" w:eastAsia="Calibri" w:hAnsi="Calibri"/>
                <w:sz w:val="18"/>
                <w:szCs w:val="18"/>
              </w:rPr>
              <w:t xml:space="preserve">Permite encontrar variables que hacen VAN = 0.</w:t>
            </w:r>
          </w:p>
        </w:tc>
      </w:tr>
    </w:tbl>
    <w:p>
      <w:r>
        <w:br w:type="page"/>
      </w:r>
    </w:p>
    <w:p>
      <w:pPr>
        <w:pStyle w:val="Heading1"/>
        <w:spacing w:after="240" w:before="480"/>
      </w:pPr>
      <w:r>
        <w:rPr>
          <w:rFonts w:ascii="Cambria" w:cs="Cambria" w:eastAsia="Cambria" w:hAnsi="Cambria"/>
          <w:b/>
          <w:bCs/>
          <w:color w:val="1F2937"/>
          <w:sz w:val="32"/>
          <w:szCs w:val="32"/>
        </w:rPr>
        <w:t xml:space="preserve">Anexo C. Cuadro tributario aplicable</w:t>
      </w:r>
    </w:p>
    <w:tbl>
      <w:tblPr>
        <w:tblW w:type="pct" w:w="100%"/>
        <w:tblBorders>
          <w:top w:val="single" w:color="111827" w:sz="6"/>
          <w:left w:val="none" w:color="FFFFFF" w:sz="0"/>
          <w:bottom w:val="single" w:color="111827" w:sz="6"/>
          <w:right w:val="none" w:color="FFFFFF" w:sz="0"/>
          <w:insideH w:val="single" w:color="D1D5DB" w:sz="2"/>
          <w:insideV w:val="none" w:color="FFFFFF" w:sz="0"/>
        </w:tblBorders>
      </w:tblPr>
      <w:tblGrid>
        <w:gridCol w:w="100"/>
        <w:gridCol w:w="100"/>
        <w:gridCol w:w="100"/>
      </w:tblGrid>
      <w:tr>
        <w:trPr>
          <w:tblHeader/>
        </w:trPr>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Norma</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Tasa / Monto</w:t>
            </w:r>
          </w:p>
        </w:tc>
        <w:tc>
          <w:tcPr>
            <w:shd w:fill="F3F4F6" w:color="auto" w:val="solid"/>
            <w:tcMar>
              <w:top w:type="dxa" w:w="120"/>
              <w:left w:type="dxa" w:w="100"/>
              <w:bottom w:type="dxa" w:w="120"/>
              <w:right w:type="dxa" w:w="100"/>
            </w:tcMar>
          </w:tcPr>
          <w:p>
            <w:pPr>
              <w:jc w:val="left"/>
            </w:pPr>
            <w:r>
              <w:rPr>
                <w:rFonts w:ascii="Calibri" w:cs="Calibri" w:eastAsia="Calibri" w:hAnsi="Calibri"/>
                <w:b/>
                <w:bCs/>
                <w:sz w:val="18"/>
                <w:szCs w:val="18"/>
              </w:rPr>
              <w:t xml:space="preserve">Base legal</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Impuesto primera categoría (Pro PYME)</w:t>
            </w:r>
          </w:p>
        </w:tc>
        <w:tc>
          <w:tcPr>
            <w:tcMar>
              <w:top w:type="dxa" w:w="120"/>
              <w:left w:type="dxa" w:w="100"/>
              <w:bottom w:type="dxa" w:w="120"/>
              <w:right w:type="dxa" w:w="100"/>
            </w:tcMar>
          </w:tcPr>
          <w:p>
            <w:pPr>
              <w:jc w:val="left"/>
            </w:pPr>
            <w:r>
              <w:rPr>
                <w:rFonts w:ascii="Calibri" w:cs="Calibri" w:eastAsia="Calibri" w:hAnsi="Calibri"/>
                <w:sz w:val="18"/>
                <w:szCs w:val="18"/>
              </w:rPr>
              <w:t xml:space="preserve">25% sobre UAI</w:t>
            </w:r>
          </w:p>
        </w:tc>
        <w:tc>
          <w:tcPr>
            <w:tcMar>
              <w:top w:type="dxa" w:w="120"/>
              <w:left w:type="dxa" w:w="100"/>
              <w:bottom w:type="dxa" w:w="120"/>
              <w:right w:type="dxa" w:w="100"/>
            </w:tcMar>
          </w:tcPr>
          <w:p>
            <w:pPr>
              <w:jc w:val="left"/>
            </w:pPr>
            <w:r>
              <w:rPr>
                <w:rFonts w:ascii="Calibri" w:cs="Calibri" w:eastAsia="Calibri" w:hAnsi="Calibri"/>
                <w:sz w:val="18"/>
                <w:szCs w:val="18"/>
              </w:rPr>
              <w:t xml:space="preserve">Art. 14 D N° 3 LIR</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IVA débito y crédito</w:t>
            </w:r>
          </w:p>
        </w:tc>
        <w:tc>
          <w:tcPr>
            <w:tcMar>
              <w:top w:type="dxa" w:w="120"/>
              <w:left w:type="dxa" w:w="100"/>
              <w:bottom w:type="dxa" w:w="120"/>
              <w:right w:type="dxa" w:w="100"/>
            </w:tcMar>
          </w:tcPr>
          <w:p>
            <w:pPr>
              <w:jc w:val="left"/>
            </w:pPr>
            <w:r>
              <w:rPr>
                <w:rFonts w:ascii="Calibri" w:cs="Calibri" w:eastAsia="Calibri" w:hAnsi="Calibri"/>
                <w:sz w:val="18"/>
                <w:szCs w:val="18"/>
              </w:rPr>
              <w:t xml:space="preserve">19% sobre ventas y compras</w:t>
            </w:r>
          </w:p>
        </w:tc>
        <w:tc>
          <w:tcPr>
            <w:tcMar>
              <w:top w:type="dxa" w:w="120"/>
              <w:left w:type="dxa" w:w="100"/>
              <w:bottom w:type="dxa" w:w="120"/>
              <w:right w:type="dxa" w:w="100"/>
            </w:tcMar>
          </w:tcPr>
          <w:p>
            <w:pPr>
              <w:jc w:val="left"/>
            </w:pPr>
            <w:r>
              <w:rPr>
                <w:rFonts w:ascii="Calibri" w:cs="Calibri" w:eastAsia="Calibri" w:hAnsi="Calibri"/>
                <w:sz w:val="18"/>
                <w:szCs w:val="18"/>
              </w:rPr>
              <w:t xml:space="preserve">DL 825/74</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AFC empleador (indefinido)</w:t>
            </w:r>
          </w:p>
        </w:tc>
        <w:tc>
          <w:tcPr>
            <w:tcMar>
              <w:top w:type="dxa" w:w="120"/>
              <w:left w:type="dxa" w:w="100"/>
              <w:bottom w:type="dxa" w:w="120"/>
              <w:right w:type="dxa" w:w="100"/>
            </w:tcMar>
          </w:tcPr>
          <w:p>
            <w:pPr>
              <w:jc w:val="left"/>
            </w:pPr>
            <w:r>
              <w:rPr>
                <w:rFonts w:ascii="Calibri" w:cs="Calibri" w:eastAsia="Calibri" w:hAnsi="Calibri"/>
                <w:sz w:val="18"/>
                <w:szCs w:val="18"/>
              </w:rPr>
              <w:t xml:space="preserve">2,4% del bruto</w:t>
            </w:r>
          </w:p>
        </w:tc>
        <w:tc>
          <w:tcPr>
            <w:tcMar>
              <w:top w:type="dxa" w:w="120"/>
              <w:left w:type="dxa" w:w="100"/>
              <w:bottom w:type="dxa" w:w="120"/>
              <w:right w:type="dxa" w:w="100"/>
            </w:tcMar>
          </w:tcPr>
          <w:p>
            <w:pPr>
              <w:jc w:val="left"/>
            </w:pPr>
            <w:r>
              <w:rPr>
                <w:rFonts w:ascii="Calibri" w:cs="Calibri" w:eastAsia="Calibri" w:hAnsi="Calibri"/>
                <w:sz w:val="18"/>
                <w:szCs w:val="18"/>
              </w:rPr>
              <w:t xml:space="preserve">Ley 19.728</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Seguro Invalidez y Sobrevivencia (SIS)</w:t>
            </w:r>
          </w:p>
        </w:tc>
        <w:tc>
          <w:tcPr>
            <w:tcMar>
              <w:top w:type="dxa" w:w="120"/>
              <w:left w:type="dxa" w:w="100"/>
              <w:bottom w:type="dxa" w:w="120"/>
              <w:right w:type="dxa" w:w="100"/>
            </w:tcMar>
          </w:tcPr>
          <w:p>
            <w:pPr>
              <w:jc w:val="left"/>
            </w:pPr>
            <w:r>
              <w:rPr>
                <w:rFonts w:ascii="Calibri" w:cs="Calibri" w:eastAsia="Calibri" w:hAnsi="Calibri"/>
                <w:sz w:val="18"/>
                <w:szCs w:val="18"/>
              </w:rPr>
              <w:t xml:space="preserve">1,85% del bruto</w:t>
            </w:r>
          </w:p>
        </w:tc>
        <w:tc>
          <w:tcPr>
            <w:tcMar>
              <w:top w:type="dxa" w:w="120"/>
              <w:left w:type="dxa" w:w="100"/>
              <w:bottom w:type="dxa" w:w="120"/>
              <w:right w:type="dxa" w:w="100"/>
            </w:tcMar>
          </w:tcPr>
          <w:p>
            <w:pPr>
              <w:jc w:val="left"/>
            </w:pPr>
            <w:r>
              <w:rPr>
                <w:rFonts w:ascii="Calibri" w:cs="Calibri" w:eastAsia="Calibri" w:hAnsi="Calibri"/>
                <w:sz w:val="18"/>
                <w:szCs w:val="18"/>
              </w:rPr>
              <w:t xml:space="preserve">Ley 20.255</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Mutual Ley 16.744 base</w:t>
            </w:r>
          </w:p>
        </w:tc>
        <w:tc>
          <w:tcPr>
            <w:tcMar>
              <w:top w:type="dxa" w:w="120"/>
              <w:left w:type="dxa" w:w="100"/>
              <w:bottom w:type="dxa" w:w="120"/>
              <w:right w:type="dxa" w:w="100"/>
            </w:tcMar>
          </w:tcPr>
          <w:p>
            <w:pPr>
              <w:jc w:val="left"/>
            </w:pPr>
            <w:r>
              <w:rPr>
                <w:rFonts w:ascii="Calibri" w:cs="Calibri" w:eastAsia="Calibri" w:hAnsi="Calibri"/>
                <w:sz w:val="18"/>
                <w:szCs w:val="18"/>
              </w:rPr>
              <w:t xml:space="preserve">0,95% del bruto</w:t>
            </w:r>
          </w:p>
        </w:tc>
        <w:tc>
          <w:tcPr>
            <w:tcMar>
              <w:top w:type="dxa" w:w="120"/>
              <w:left w:type="dxa" w:w="100"/>
              <w:bottom w:type="dxa" w:w="120"/>
              <w:right w:type="dxa" w:w="100"/>
            </w:tcMar>
          </w:tcPr>
          <w:p>
            <w:pPr>
              <w:jc w:val="left"/>
            </w:pPr>
            <w:r>
              <w:rPr>
                <w:rFonts w:ascii="Calibri" w:cs="Calibri" w:eastAsia="Calibri" w:hAnsi="Calibri"/>
                <w:sz w:val="18"/>
                <w:szCs w:val="18"/>
              </w:rPr>
              <w:t xml:space="preserve">Ley 16.744</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Gratificación legal</w:t>
            </w:r>
          </w:p>
        </w:tc>
        <w:tc>
          <w:tcPr>
            <w:tcMar>
              <w:top w:type="dxa" w:w="120"/>
              <w:left w:type="dxa" w:w="100"/>
              <w:bottom w:type="dxa" w:w="120"/>
              <w:right w:type="dxa" w:w="100"/>
            </w:tcMar>
          </w:tcPr>
          <w:p>
            <w:pPr>
              <w:jc w:val="left"/>
            </w:pPr>
            <w:r>
              <w:rPr>
                <w:rFonts w:ascii="Calibri" w:cs="Calibri" w:eastAsia="Calibri" w:hAnsi="Calibri"/>
                <w:sz w:val="18"/>
                <w:szCs w:val="18"/>
              </w:rPr>
              <w:t xml:space="preserve">25% del bruto, tope 4,75 IMM/año</w:t>
            </w:r>
          </w:p>
        </w:tc>
        <w:tc>
          <w:tcPr>
            <w:tcMar>
              <w:top w:type="dxa" w:w="120"/>
              <w:left w:type="dxa" w:w="100"/>
              <w:bottom w:type="dxa" w:w="120"/>
              <w:right w:type="dxa" w:w="100"/>
            </w:tcMar>
          </w:tcPr>
          <w:p>
            <w:pPr>
              <w:jc w:val="left"/>
            </w:pPr>
            <w:r>
              <w:rPr>
                <w:rFonts w:ascii="Calibri" w:cs="Calibri" w:eastAsia="Calibri" w:hAnsi="Calibri"/>
                <w:sz w:val="18"/>
                <w:szCs w:val="18"/>
              </w:rPr>
              <w:t xml:space="preserve">Art. 50 Código del Trabajo</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Provisión vacaciones</w:t>
            </w:r>
          </w:p>
        </w:tc>
        <w:tc>
          <w:tcPr>
            <w:tcMar>
              <w:top w:type="dxa" w:w="120"/>
              <w:left w:type="dxa" w:w="100"/>
              <w:bottom w:type="dxa" w:w="120"/>
              <w:right w:type="dxa" w:w="100"/>
            </w:tcMar>
          </w:tcPr>
          <w:p>
            <w:pPr>
              <w:jc w:val="left"/>
            </w:pPr>
            <w:r>
              <w:rPr>
                <w:rFonts w:ascii="Calibri" w:cs="Calibri" w:eastAsia="Calibri" w:hAnsi="Calibri"/>
                <w:sz w:val="18"/>
                <w:szCs w:val="18"/>
              </w:rPr>
              <w:t xml:space="preserve">8,33% del bruto (1 mes/año)</w:t>
            </w:r>
          </w:p>
        </w:tc>
        <w:tc>
          <w:tcPr>
            <w:tcMar>
              <w:top w:type="dxa" w:w="120"/>
              <w:left w:type="dxa" w:w="100"/>
              <w:bottom w:type="dxa" w:w="120"/>
              <w:right w:type="dxa" w:w="100"/>
            </w:tcMar>
          </w:tcPr>
          <w:p>
            <w:pPr>
              <w:jc w:val="left"/>
            </w:pPr>
            <w:r>
              <w:rPr>
                <w:rFonts w:ascii="Calibri" w:cs="Calibri" w:eastAsia="Calibri" w:hAnsi="Calibri"/>
                <w:sz w:val="18"/>
                <w:szCs w:val="18"/>
              </w:rPr>
              <w:t xml:space="preserve">Art. 67 CT</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Provisión IAS</w:t>
            </w:r>
          </w:p>
        </w:tc>
        <w:tc>
          <w:tcPr>
            <w:tcMar>
              <w:top w:type="dxa" w:w="120"/>
              <w:left w:type="dxa" w:w="100"/>
              <w:bottom w:type="dxa" w:w="120"/>
              <w:right w:type="dxa" w:w="100"/>
            </w:tcMar>
          </w:tcPr>
          <w:p>
            <w:pPr>
              <w:jc w:val="left"/>
            </w:pPr>
            <w:r>
              <w:rPr>
                <w:rFonts w:ascii="Calibri" w:cs="Calibri" w:eastAsia="Calibri" w:hAnsi="Calibri"/>
                <w:sz w:val="18"/>
                <w:szCs w:val="18"/>
              </w:rPr>
              <w:t xml:space="preserve">8,33% del bruto (tope 11 años)</w:t>
            </w:r>
          </w:p>
        </w:tc>
        <w:tc>
          <w:tcPr>
            <w:tcMar>
              <w:top w:type="dxa" w:w="120"/>
              <w:left w:type="dxa" w:w="100"/>
              <w:bottom w:type="dxa" w:w="120"/>
              <w:right w:type="dxa" w:w="100"/>
            </w:tcMar>
          </w:tcPr>
          <w:p>
            <w:pPr>
              <w:jc w:val="left"/>
            </w:pPr>
            <w:r>
              <w:rPr>
                <w:rFonts w:ascii="Calibri" w:cs="Calibri" w:eastAsia="Calibri" w:hAnsi="Calibri"/>
                <w:sz w:val="18"/>
                <w:szCs w:val="18"/>
              </w:rPr>
              <w:t xml:space="preserve">Art. 163 CT</w:t>
            </w:r>
          </w:p>
        </w:tc>
      </w:tr>
      <w:tr>
        <w:trPr>
          <w:tblHeader w:val="false"/>
        </w:trPr>
        <w:tc>
          <w:tcPr>
            <w:tcMar>
              <w:top w:type="dxa" w:w="120"/>
              <w:left w:type="dxa" w:w="100"/>
              <w:bottom w:type="dxa" w:w="120"/>
              <w:right w:type="dxa" w:w="100"/>
            </w:tcMar>
          </w:tcPr>
          <w:p>
            <w:pPr>
              <w:jc w:val="left"/>
            </w:pPr>
            <w:r>
              <w:rPr>
                <w:rFonts w:ascii="Calibri" w:cs="Calibri" w:eastAsia="Calibri" w:hAnsi="Calibri"/>
                <w:sz w:val="18"/>
                <w:szCs w:val="18"/>
              </w:rPr>
              <w:t xml:space="preserve">Patente comercial municipal</w:t>
            </w:r>
          </w:p>
        </w:tc>
        <w:tc>
          <w:tcPr>
            <w:tcMar>
              <w:top w:type="dxa" w:w="120"/>
              <w:left w:type="dxa" w:w="100"/>
              <w:bottom w:type="dxa" w:w="120"/>
              <w:right w:type="dxa" w:w="100"/>
            </w:tcMar>
          </w:tcPr>
          <w:p>
            <w:pPr>
              <w:jc w:val="left"/>
            </w:pPr>
            <w:r>
              <w:rPr>
                <w:rFonts w:ascii="Calibri" w:cs="Calibri" w:eastAsia="Calibri" w:hAnsi="Calibri"/>
                <w:sz w:val="18"/>
                <w:szCs w:val="18"/>
              </w:rPr>
              <w:t xml:space="preserve">0,25% al 0,5% capital propio</w:t>
            </w:r>
          </w:p>
        </w:tc>
        <w:tc>
          <w:tcPr>
            <w:tcMar>
              <w:top w:type="dxa" w:w="120"/>
              <w:left w:type="dxa" w:w="100"/>
              <w:bottom w:type="dxa" w:w="120"/>
              <w:right w:type="dxa" w:w="100"/>
            </w:tcMar>
          </w:tcPr>
          <w:p>
            <w:pPr>
              <w:jc w:val="left"/>
            </w:pPr>
            <w:r>
              <w:rPr>
                <w:rFonts w:ascii="Calibri" w:cs="Calibri" w:eastAsia="Calibri" w:hAnsi="Calibri"/>
                <w:sz w:val="18"/>
                <w:szCs w:val="18"/>
              </w:rPr>
              <w:t xml:space="preserve">DL 3.063/79</w:t>
            </w:r>
          </w:p>
        </w:tc>
      </w:tr>
    </w:tbl>
    <w:p>
      <w:pPr>
        <w:spacing w:after="160" w:line="360"/>
        <w:jc w:val="both"/>
      </w:pPr>
      <w:r>
        <w:rPr>
          <w:rFonts w:ascii="Calibri" w:cs="Calibri" w:eastAsia="Calibri" w:hAnsi="Calibri"/>
          <w:sz w:val="22"/>
          <w:szCs w:val="22"/>
        </w:rPr>
        <w:t xml:space="preserve"/>
      </w:r>
    </w:p>
    <w:p>
      <w:pPr>
        <w:spacing w:after="160" w:line="360"/>
        <w:jc w:val="both"/>
      </w:pPr>
      <w:r>
        <w:rPr>
          <w:rFonts w:ascii="Calibri" w:cs="Calibri" w:eastAsia="Calibri" w:hAnsi="Calibri"/>
          <w:i/>
          <w:iCs/>
          <w:color w:val="6B7280"/>
          <w:sz w:val="18"/>
          <w:szCs w:val="18"/>
        </w:rPr>
        <w:t xml:space="preserve">Documento generado el 7 de mayo de 2026 para el curso Evaluación de Proyectos · MBA UAH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9CA3AF"/>
        <w:sz w:val="16"/>
        <w:szCs w:val="16"/>
      </w:rPr>
      <w:t xml:space="preserve">MBA UAH 2026 · </w:t>
    </w:r>
    <w:r>
      <w:rPr>
        <w:rFonts w:ascii="Cambria" w:cs="Cambria" w:eastAsia="Cambria" w:hAnsi="Cambria"/>
        <w:color w:val="9CA3AF"/>
        <w:sz w:val="16"/>
        <w:szCs w:val="16"/>
      </w:rPr>
      <w:fldChar w:fldCharType="begin"/>
      <w:instrText xml:space="preserve">PAGE</w:instrText>
      <w:fldChar w:fldCharType="separate"/>
      <w:fldChar w:fldCharType="end"/>
    </w:r>
    <w:r>
      <w:rPr>
        <w:rFonts w:ascii="Cambria" w:cs="Cambria" w:eastAsia="Cambria" w:hAnsi="Cambria"/>
        <w:color w:val="9CA3AF"/>
        <w:sz w:val="16"/>
        <w:szCs w:val="16"/>
      </w:rPr>
      <w:t xml:space="preserve"> / </w:t>
    </w:r>
    <w:r>
      <w:rPr>
        <w:rFonts w:ascii="Cambria" w:cs="Cambria" w:eastAsia="Cambria" w:hAnsi="Cambria"/>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9CA3AF"/>
        <w:sz w:val="16"/>
        <w:szCs w:val="16"/>
      </w:rPr>
      <w:t xml:space="preserve">Evaluación de Proyecto · Cafetería Combo Envasado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Proyecto: Cafetería de combo único envasado</dc:title>
  <dc:creator>MBA UAH 2026 · Curso Evaluación de Proyectos</dc:creator>
  <dc:description>Informe académico de evaluación de proyectos retail food en Chile · MBA UAH 2026</dc:description>
  <cp:lastModifiedBy>Un-named</cp:lastModifiedBy>
  <cp:revision>1</cp:revision>
  <dcterms:created xsi:type="dcterms:W3CDTF">2026-05-08T01:50:55.692Z</dcterms:created>
  <dcterms:modified xsi:type="dcterms:W3CDTF">2026-05-08T01:50:55.692Z</dcterms:modified>
</cp:coreProperties>
</file>

<file path=docProps/custom.xml><?xml version="1.0" encoding="utf-8"?>
<Properties xmlns="http://schemas.openxmlformats.org/officeDocument/2006/custom-properties" xmlns:vt="http://schemas.openxmlformats.org/officeDocument/2006/docPropsVTypes"/>
</file>