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total promedia CLP 44.5 millones (CLP 20.5 M en activos depreciables más capital de trabajo equivalente a 2,5 meses de egresos), con horizonte de evaluación de 5 años y valor terminal por múltiplo de EBITDA (3.5x). Tras la auditoría y corrección del modelo financiero —que ajusta los costos fijos al universo real del retail food chileno, incorpora la comisión de tarjetas, sustituye el valor terminal por perpetuidad creciente por uno de múltiplo conservador y eleva la tasa de descuento al riesgo medio sectorial (14.0%)— solo una de las siete localizaciones evaluadas es claramente recomendable: El Golf · Las Condes (VAN CLP 47.2 M, TIR 38.5%, payback 3.39 años). Las dos siguientes (Santiago Centro · Ahumada y Providencia · Pedro de Valdivia) presentan VAN positivo pero marginal, en el borde de la viabilidad económica.</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 Las Condes, sujeto a verificación de los supuestos sensibles mediante un estudio primario de demanda en el local específico previo a la firma del contrato de arriendo. El escenario pesimista (caída del 35-40% en demanda) genera valor presente neto negativo en todas las ubicaciones evaluadas, lo que obliga a contar con un plan de contingencia operativo robusto y a monitorear mensualmente los KPIs críticos del negocio.</w:t>
      </w:r>
    </w:p>
    <w:p>
      <w:r>
        <w:br w:type="page"/>
      </w:r>
    </w:p>
    <w:p>
      <w:pPr>
        <w:pStyle w:val="Heading1"/>
        <w:spacing w:after="240" w:before="480"/>
      </w:pPr>
      <w:r>
        <w:rPr>
          <w:rFonts w:ascii="Cambria" w:cs="Cambria" w:eastAsia="Cambria" w:hAnsi="Cambria"/>
          <w:b/>
          <w:bCs/>
          <w:color w:val="1F2937"/>
          <w:sz w:val="32"/>
          <w:szCs w:val="32"/>
        </w:rPr>
        <w:t xml:space="preserve">Auditoría del modelo financiero (mayo 2026)</w:t>
      </w:r>
    </w:p>
    <w:p>
      <w:pPr>
        <w:spacing w:after="160" w:line="360"/>
        <w:jc w:val="both"/>
      </w:pPr>
      <w:r>
        <w:rPr>
          <w:rFonts w:ascii="Calibri" w:cs="Calibri" w:eastAsia="Calibri" w:hAnsi="Calibri"/>
          <w:sz w:val="22"/>
          <w:szCs w:val="22"/>
        </w:rPr>
        <w:t xml:space="preserve">El modelo financiero original presentaba un valor presente neto cercano a los CLP 543 millones para la mejor ubicación, lo que tras revisión técnica resultó incompatible con la realidad operativa del retail food en Chile. Una cafetería pequeña (30-35 m²) con un combo único no genera, en condiciones razonables, retornos absolutos superiores a 5x la inversión inicial en cinco años. La presente versión del informe incorpora seis correcciones documentadas a continuación, que reducen el VAN base de la ubicación ganadora a un nivel coherente con benchmarks sectoriales (Achiga 2024, Procafé 2024) y con la tasa de fracaso observada en cafeterías independientes en Chile (50-55% antes de los tres años, según el estudio Achiga 2024).</w:t>
      </w:r>
    </w:p>
    <w:p>
      <w:pPr>
        <w:pStyle w:val="Heading2"/>
        <w:spacing w:after="160" w:before="320"/>
      </w:pPr>
      <w:r>
        <w:rPr>
          <w:rFonts w:ascii="Cambria" w:cs="Cambria" w:eastAsia="Cambria" w:hAnsi="Cambria"/>
          <w:b/>
          <w:bCs/>
          <w:color w:val="374151"/>
          <w:sz w:val="26"/>
          <w:szCs w:val="26"/>
        </w:rPr>
        <w:t xml:space="preserve">Correcciones aplicadas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Antes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Ahora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Justificación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 combo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1.100 fijo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1.300 a 1.700 según zona</w:t>
            </w:r>
          </w:p>
        </w:tc>
        <w:tc>
          <w:tcPr>
            <w:tcMar>
              <w:top w:type="dxa" w:w="120"/>
              <w:left w:type="dxa" w:w="100"/>
              <w:bottom w:type="dxa" w:w="120"/>
              <w:right w:type="dxa" w:w="100"/>
            </w:tcMar>
          </w:tcPr>
          <w:p>
            <w:pPr>
              <w:jc w:val="left"/>
            </w:pPr>
            <w:r>
              <w:rPr>
                <w:rFonts w:ascii="Calibri" w:cs="Calibri" w:eastAsia="Calibri" w:hAnsi="Calibri"/>
                <w:sz w:val="18"/>
                <w:szCs w:val="18"/>
              </w:rPr>
              <w:t xml:space="preserve">Combos con producto envasado real: insumos café, leche, vasos, sleeves, tapas. 40-50% del ticket en lugar del 24% original.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350.000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850.000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Faltaban: marketing (CLP 200k), aseo y pest control (CLP 100k), software y contador externo (CLP 150k), seguros y provisión de mantenciones (CLP 150k), servicios (CLP 250k).</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Comisión tarjetas</w:t>
            </w:r>
          </w:p>
        </w:tc>
        <w:tc>
          <w:tcPr>
            <w:tcMar>
              <w:top w:type="dxa" w:w="120"/>
              <w:left w:type="dxa" w:w="100"/>
              <w:bottom w:type="dxa" w:w="120"/>
              <w:right w:type="dxa" w:w="100"/>
            </w:tcMar>
          </w:tcPr>
          <w:p>
            <w:pPr>
              <w:jc w:val="left"/>
            </w:pPr>
            <w:r>
              <w:rPr>
                <w:rFonts w:ascii="Calibri" w:cs="Calibri" w:eastAsia="Calibri" w:hAnsi="Calibri"/>
                <w:sz w:val="18"/>
                <w:szCs w:val="18"/>
              </w:rPr>
              <w:t xml:space="preserve">No considerada</w:t>
            </w:r>
          </w:p>
        </w:tc>
        <w:tc>
          <w:tcPr>
            <w:tcMar>
              <w:top w:type="dxa" w:w="120"/>
              <w:left w:type="dxa" w:w="100"/>
              <w:bottom w:type="dxa" w:w="120"/>
              <w:right w:type="dxa" w:w="100"/>
            </w:tcMar>
          </w:tcPr>
          <w:p>
            <w:pPr>
              <w:jc w:val="left"/>
            </w:pPr>
            <w:r>
              <w:rPr>
                <w:rFonts w:ascii="Calibri" w:cs="Calibri" w:eastAsia="Calibri" w:hAnsi="Calibri"/>
                <w:sz w:val="18"/>
                <w:szCs w:val="18"/>
              </w:rPr>
              <w:t xml:space="preserve">2,8% sobre 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Transbank o Getnet ~3,5% sobre el ~80% de pago electrónico observado en cafeterías chilenas.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Crecimiento demanda anual</w:t>
            </w:r>
          </w:p>
        </w:tc>
        <w:tc>
          <w:tcPr>
            <w:tcMar>
              <w:top w:type="dxa" w:w="120"/>
              <w:left w:type="dxa" w:w="100"/>
              <w:bottom w:type="dxa" w:w="120"/>
              <w:right w:type="dxa" w:w="100"/>
            </w:tcMar>
          </w:tcPr>
          <w:p>
            <w:pPr>
              <w:jc w:val="left"/>
            </w:pPr>
            <w:r>
              <w:rPr>
                <w:rFonts w:ascii="Calibri" w:cs="Calibri" w:eastAsia="Calibri" w:hAnsi="Calibri"/>
                <w:sz w:val="18"/>
                <w:szCs w:val="18"/>
              </w:rPr>
              <w:t xml:space="preserve">5,0%</w:t>
            </w:r>
          </w:p>
        </w:tc>
        <w:tc>
          <w:tcPr>
            <w:tcMar>
              <w:top w:type="dxa" w:w="120"/>
              <w:left w:type="dxa" w:w="100"/>
              <w:bottom w:type="dxa" w:w="120"/>
              <w:right w:type="dxa" w:w="100"/>
            </w:tcMar>
          </w:tcPr>
          <w:p>
            <w:pPr>
              <w:jc w:val="left"/>
            </w:pPr>
            <w:r>
              <w:rPr>
                <w:rFonts w:ascii="Calibri" w:cs="Calibri" w:eastAsia="Calibri" w:hAnsi="Calibri"/>
                <w:sz w:val="18"/>
                <w:szCs w:val="18"/>
              </w:rPr>
              <w:t xml:space="preserve">2,5%</w:t>
            </w:r>
          </w:p>
        </w:tc>
        <w:tc>
          <w:tcPr>
            <w:tcMar>
              <w:top w:type="dxa" w:w="120"/>
              <w:left w:type="dxa" w:w="100"/>
              <w:bottom w:type="dxa" w:w="120"/>
              <w:right w:type="dxa" w:w="100"/>
            </w:tcMar>
          </w:tcPr>
          <w:p>
            <w:pPr>
              <w:jc w:val="left"/>
            </w:pPr>
            <w:r>
              <w:rPr>
                <w:rFonts w:ascii="Calibri" w:cs="Calibri" w:eastAsia="Calibri" w:hAnsi="Calibri"/>
                <w:sz w:val="18"/>
                <w:szCs w:val="18"/>
              </w:rPr>
              <w:t xml:space="preserve">Sectorial cafetería sin reinversión; 5% requeriría marketing adicional o expansión de capacidad.</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w:t>
            </w:r>
          </w:p>
        </w:tc>
        <w:tc>
          <w:tcPr>
            <w:tcMar>
              <w:top w:type="dxa" w:w="120"/>
              <w:left w:type="dxa" w:w="100"/>
              <w:bottom w:type="dxa" w:w="120"/>
              <w:right w:type="dxa" w:w="100"/>
            </w:tcMar>
          </w:tcPr>
          <w:p>
            <w:pPr>
              <w:jc w:val="left"/>
            </w:pPr>
            <w:r>
              <w:rPr>
                <w:rFonts w:ascii="Calibri" w:cs="Calibri" w:eastAsia="Calibri" w:hAnsi="Calibri"/>
                <w:sz w:val="18"/>
                <w:szCs w:val="18"/>
              </w:rPr>
              <w:t xml:space="preserve">Gordon Growth (multiplicador 10,7x)</w:t>
            </w:r>
          </w:p>
        </w:tc>
        <w:tc>
          <w:tcPr>
            <w:tcMar>
              <w:top w:type="dxa" w:w="120"/>
              <w:left w:type="dxa" w:w="100"/>
              <w:bottom w:type="dxa" w:w="120"/>
              <w:right w:type="dxa" w:w="100"/>
            </w:tcMar>
          </w:tcPr>
          <w:p>
            <w:pPr>
              <w:jc w:val="left"/>
            </w:pPr>
            <w:r>
              <w:rPr>
                <w:rFonts w:ascii="Calibri" w:cs="Calibri" w:eastAsia="Calibri" w:hAnsi="Calibri"/>
                <w:sz w:val="18"/>
                <w:szCs w:val="18"/>
              </w:rPr>
              <w:t xml:space="preserve">Múltiplo EBITDA 3,5x</w:t>
            </w:r>
          </w:p>
        </w:tc>
        <w:tc>
          <w:tcPr>
            <w:tcMar>
              <w:top w:type="dxa" w:w="120"/>
              <w:left w:type="dxa" w:w="100"/>
              <w:bottom w:type="dxa" w:w="120"/>
              <w:right w:type="dxa" w:w="100"/>
            </w:tcMar>
          </w:tcPr>
          <w:p>
            <w:pPr>
              <w:jc w:val="left"/>
            </w:pPr>
            <w:r>
              <w:rPr>
                <w:rFonts w:ascii="Calibri" w:cs="Calibri" w:eastAsia="Calibri" w:hAnsi="Calibri"/>
                <w:sz w:val="18"/>
                <w:szCs w:val="18"/>
              </w:rPr>
              <w:t xml:space="preserve">Cafetería independiente no opera a perpetuidad sin reposición de equipos. Múltiplo de salida es estándar en M&amp;A retail food Chile (3-5x EBITDA).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w:t>
            </w:r>
          </w:p>
        </w:tc>
        <w:tc>
          <w:tcPr>
            <w:tcMar>
              <w:top w:type="dxa" w:w="120"/>
              <w:left w:type="dxa" w:w="100"/>
              <w:bottom w:type="dxa" w:w="120"/>
              <w:right w:type="dxa" w:w="100"/>
            </w:tcMar>
          </w:tcPr>
          <w:p>
            <w:pPr>
              <w:jc w:val="left"/>
            </w:pPr>
            <w:r>
              <w:rPr>
                <w:rFonts w:ascii="Calibri" w:cs="Calibri" w:eastAsia="Calibri" w:hAnsi="Calibri"/>
                <w:sz w:val="18"/>
                <w:szCs w:val="18"/>
              </w:rPr>
              <w:t xml:space="preserve">11,5%</w:t>
            </w:r>
          </w:p>
        </w:tc>
        <w:tc>
          <w:tcPr>
            <w:tcMar>
              <w:top w:type="dxa" w:w="120"/>
              <w:left w:type="dxa" w:w="100"/>
              <w:bottom w:type="dxa" w:w="120"/>
              <w:right w:type="dxa" w:w="100"/>
            </w:tcMar>
          </w:tcPr>
          <w:p>
            <w:pPr>
              <w:jc w:val="left"/>
            </w:pPr>
            <w:r>
              <w:rPr>
                <w:rFonts w:ascii="Calibri" w:cs="Calibri" w:eastAsia="Calibri" w:hAnsi="Calibri"/>
                <w:sz w:val="18"/>
                <w:szCs w:val="18"/>
              </w:rPr>
              <w:t xml:space="preserve">14,0%</w:t>
            </w:r>
          </w:p>
        </w:tc>
        <w:tc>
          <w:tcPr>
            <w:tcMar>
              <w:top w:type="dxa" w:w="120"/>
              <w:left w:type="dxa" w:w="100"/>
              <w:bottom w:type="dxa" w:w="120"/>
              <w:right w:type="dxa" w:w="100"/>
            </w:tcMar>
          </w:tcPr>
          <w:p>
            <w:pPr>
              <w:jc w:val="left"/>
            </w:pPr>
            <w:r>
              <w:rPr>
                <w:rFonts w:ascii="Calibri" w:cs="Calibri" w:eastAsia="Calibri" w:hAnsi="Calibri"/>
                <w:sz w:val="18"/>
                <w:szCs w:val="18"/>
              </w:rPr>
              <w:t xml:space="preserve">Retail food en Chile es riesgo medio-alto (alta tasa de fracaso). CAPM: Rf 5,5% + β 1,3 × ERP 6,5%.</w:t>
            </w:r>
          </w:p>
        </w:tc>
      </w:tr>
    </w:tbl>
    <w:p>
      <w:pPr>
        <w:spacing w:after="240" w:before="60"/>
        <w:jc w:val="center"/>
      </w:pPr>
      <w:r>
        <w:rPr>
          <w:rFonts w:ascii="Calibri" w:cs="Calibri" w:eastAsia="Calibri" w:hAnsi="Calibri"/>
          <w:i/>
          <w:iCs/>
          <w:color w:val="6B7280"/>
          <w:sz w:val="18"/>
          <w:szCs w:val="18"/>
        </w:rPr>
        <w:t xml:space="preserve">Tabla A.1 — Correcciones aplicadas al modelo financiero entre la versión inicial y la versión auditada. Fuentes: Achiga 2024, Procafé 2024, Damodaran 2024, BCN 2025.</w:t>
      </w:r>
    </w:p>
    <w:p>
      <w:pPr>
        <w:pStyle w:val="Heading2"/>
        <w:spacing w:after="160" w:before="320"/>
      </w:pPr>
      <w:r>
        <w:rPr>
          <w:rFonts w:ascii="Cambria" w:cs="Cambria" w:eastAsia="Cambria" w:hAnsi="Cambria"/>
          <w:b/>
          <w:bCs/>
          <w:color w:val="374151"/>
          <w:sz w:val="26"/>
          <w:szCs w:val="26"/>
        </w:rPr>
        <w:t xml:space="preserve">Impacto en los resultados</w:t>
      </w:r>
    </w:p>
    <w:p>
      <w:pPr>
        <w:spacing w:after="160" w:line="360"/>
        <w:jc w:val="both"/>
      </w:pPr>
      <w:r>
        <w:rPr>
          <w:rFonts w:ascii="Calibri" w:cs="Calibri" w:eastAsia="Calibri" w:hAnsi="Calibri"/>
          <w:sz w:val="22"/>
          <w:szCs w:val="22"/>
        </w:rPr>
        <w:t xml:space="preserve">El conjunto de correcciones reduce el VAN de la ubicación ganadora desde CLP 543 millones a CLP 47.2 M, una magnitud coherente con benchmarks sectoriales para cafeterías independientes en zonas premium de la Región Metropolitana. La TIR se ajusta desde 119% a 38.5%, valor que sigue siendo atractivo respecto al costo de capital exigido pero ya no presenta el sesgo de "asset light" extremo del modelo original. El payback aumenta de 1,18 a 3.39 años, también dentro de rangos sectoriales razonables. Tras esta corrección, el ranking de localizaciones también cambia: solo una ubicación (El Golf) presenta veredicto de viabilidad económica positiva con resiliencia razonable; otras dos (Santiago Centro y Providencia) presentan VAN marginalmente positivo en el caso base pero no resisten el escenario pesimista; las cuatro restantes presentan VAN claramente negativo y se desestiman.</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 (modelo corregido)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47.2 M</w:t>
            </w:r>
          </w:p>
        </w:tc>
        <w:tc>
          <w:tcPr>
            <w:tcMar>
              <w:top w:type="dxa" w:w="120"/>
              <w:left w:type="dxa" w:w="100"/>
              <w:bottom w:type="dxa" w:w="120"/>
              <w:right w:type="dxa" w:w="100"/>
            </w:tcMar>
          </w:tcPr>
          <w:p>
            <w:pPr>
              <w:jc w:val="left"/>
            </w:pPr>
            <w:r>
              <w:rPr>
                <w:rFonts w:ascii="Calibri" w:cs="Calibri" w:eastAsia="Calibri" w:hAnsi="Calibri"/>
                <w:sz w:val="18"/>
                <w:szCs w:val="18"/>
              </w:rPr>
              <w:t xml:space="preserve">38.5%</w:t>
            </w:r>
          </w:p>
        </w:tc>
        <w:tc>
          <w:tcPr>
            <w:tcMar>
              <w:top w:type="dxa" w:w="120"/>
              <w:left w:type="dxa" w:w="100"/>
              <w:bottom w:type="dxa" w:w="120"/>
              <w:right w:type="dxa" w:w="100"/>
            </w:tcMar>
          </w:tcPr>
          <w:p>
            <w:pPr>
              <w:jc w:val="left"/>
            </w:pPr>
            <w:r>
              <w:rPr>
                <w:rFonts w:ascii="Calibri" w:cs="Calibri" w:eastAsia="Calibri" w:hAnsi="Calibri"/>
                <w:sz w:val="18"/>
                <w:szCs w:val="18"/>
              </w:rPr>
              <w:t xml:space="preserve">3.39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2.1 M</w:t>
            </w:r>
          </w:p>
        </w:tc>
        <w:tc>
          <w:tcPr>
            <w:tcMar>
              <w:top w:type="dxa" w:w="120"/>
              <w:left w:type="dxa" w:w="100"/>
              <w:bottom w:type="dxa" w:w="120"/>
              <w:right w:type="dxa" w:w="100"/>
            </w:tcMar>
          </w:tcPr>
          <w:p>
            <w:pPr>
              <w:jc w:val="left"/>
            </w:pPr>
            <w:r>
              <w:rPr>
                <w:rFonts w:ascii="Calibri" w:cs="Calibri" w:eastAsia="Calibri" w:hAnsi="Calibri"/>
                <w:sz w:val="18"/>
                <w:szCs w:val="18"/>
              </w:rPr>
              <w:t xml:space="preserve">15.3%</w:t>
            </w:r>
          </w:p>
        </w:tc>
        <w:tc>
          <w:tcPr>
            <w:tcMar>
              <w:top w:type="dxa" w:w="120"/>
              <w:left w:type="dxa" w:w="100"/>
              <w:bottom w:type="dxa" w:w="120"/>
              <w:right w:type="dxa" w:w="100"/>
            </w:tcMar>
          </w:tcPr>
          <w:p>
            <w:pPr>
              <w:jc w:val="left"/>
            </w:pPr>
            <w:r>
              <w:rPr>
                <w:rFonts w:ascii="Calibri" w:cs="Calibri" w:eastAsia="Calibri" w:hAnsi="Calibri"/>
                <w:sz w:val="18"/>
                <w:szCs w:val="18"/>
              </w:rPr>
              <w:t xml:space="preserve">4.38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52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924.515</w:t>
            </w:r>
          </w:p>
        </w:tc>
        <w:tc>
          <w:tcPr>
            <w:tcMar>
              <w:top w:type="dxa" w:w="120"/>
              <w:left w:type="dxa" w:w="100"/>
              <w:bottom w:type="dxa" w:w="120"/>
              <w:right w:type="dxa" w:w="100"/>
            </w:tcMar>
          </w:tcPr>
          <w:p>
            <w:pPr>
              <w:jc w:val="left"/>
            </w:pPr>
            <w:r>
              <w:rPr>
                <w:rFonts w:ascii="Calibri" w:cs="Calibri" w:eastAsia="Calibri" w:hAnsi="Calibri"/>
                <w:sz w:val="18"/>
                <w:szCs w:val="18"/>
              </w:rPr>
              <w:t xml:space="preserve">14.6%</w:t>
            </w:r>
          </w:p>
        </w:tc>
        <w:tc>
          <w:tcPr>
            <w:tcMar>
              <w:top w:type="dxa" w:w="120"/>
              <w:left w:type="dxa" w:w="100"/>
              <w:bottom w:type="dxa" w:w="120"/>
              <w:right w:type="dxa" w:w="100"/>
            </w:tcMar>
          </w:tcPr>
          <w:p>
            <w:pPr>
              <w:jc w:val="left"/>
            </w:pPr>
            <w:r>
              <w:rPr>
                <w:rFonts w:ascii="Calibri" w:cs="Calibri" w:eastAsia="Calibri" w:hAnsi="Calibri"/>
                <w:sz w:val="18"/>
                <w:szCs w:val="18"/>
              </w:rPr>
              <w:t xml:space="preserve">4.40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50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16.4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w:t>
            </w:r>
          </w:p>
        </w:tc>
        <w:tc>
          <w:tcPr>
            <w:tcMar>
              <w:top w:type="dxa" w:w="120"/>
              <w:left w:type="dxa" w:w="100"/>
              <w:bottom w:type="dxa" w:w="120"/>
              <w:right w:type="dxa" w:w="100"/>
            </w:tcMar>
          </w:tcPr>
          <w:p>
            <w:pPr>
              <w:jc w:val="left"/>
            </w:pPr>
            <w:r>
              <w:rPr>
                <w:rFonts w:ascii="Calibri" w:cs="Calibri" w:eastAsia="Calibri" w:hAnsi="Calibri"/>
                <w:sz w:val="18"/>
                <w:szCs w:val="18"/>
              </w:rPr>
              <w:t xml:space="preserve">4.85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35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48.8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4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57.7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64.7 M</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&gt; 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 Modelo corregido (Tcc 14%, valor terminal por múltiplo EBITDA 3,5x, comisión tarjetas 2,8%, costos fijos reales).</w:t>
      </w:r>
    </w:p>
    <w:p>
      <w:pPr>
        <w:pStyle w:val="Heading2"/>
        <w:spacing w:after="160" w:before="320"/>
      </w:pPr>
      <w:r>
        <w:rPr>
          <w:rFonts w:ascii="Cambria" w:cs="Cambria" w:eastAsia="Cambria" w:hAnsi="Cambria"/>
          <w:b/>
          <w:bCs/>
          <w:color w:val="374151"/>
          <w:sz w:val="26"/>
          <w:szCs w:val="26"/>
        </w:rPr>
        <w:t xml:space="preserve">13.2 Interpretación</w:t>
      </w:r>
    </w:p>
    <w:p>
      <w:pPr>
        <w:spacing w:after="160" w:line="360"/>
        <w:jc w:val="both"/>
      </w:pPr>
      <w:r>
        <w:rPr>
          <w:rFonts w:ascii="Calibri" w:cs="Calibri" w:eastAsia="Calibri" w:hAnsi="Calibri"/>
          <w:sz w:val="22"/>
          <w:szCs w:val="22"/>
        </w:rPr>
        <w:t xml:space="preserve">Solo una de las siete localizaciones evaluadas presenta veredicto recomendable bajo el modelo corregido: El Golf · Las Condes, con VAN base de CLP 47.2 M, TIR de 38.5% y payback de 3.39 años. La condición que distingue a esta zona del resto es la combinación de ticket alto sostenible (CLP 4.500) y volumen estable concentrado en horario laboral, que genera un EBITDA del primer año superior a CLP 14.2 M, suficiente para cubrir la estructura de costos fijos elevada del retail food.</w:t>
      </w:r>
    </w:p>
    <w:p>
      <w:pPr>
        <w:spacing w:after="160" w:line="360"/>
        <w:jc w:val="both"/>
      </w:pPr>
      <w:r>
        <w:rPr>
          <w:rFonts w:ascii="Calibri" w:cs="Calibri" w:eastAsia="Calibri" w:hAnsi="Calibri"/>
          <w:sz w:val="22"/>
          <w:szCs w:val="22"/>
        </w:rPr>
        <w:t xml:space="preserve">Las dos siguientes ubicaciones (Santiago Centro · Ahumada y Providencia · Pedro de Valdivia) presentan VAN positivo pero marginal (CLP 2.1 M y CLP 924.515 respectivamente). Aunque sus TIRs superan el costo de capital, ambos casos requieren ser examinados con cautela porque el escenario pesimista —caída del 35-40% en demanda— destruye su VAN. En la práctica, esto significa que el margen de seguridad operacional es estrecho y dependen críticamente de mantener el volumen proyectado.</w:t>
      </w:r>
    </w:p>
    <w:p>
      <w:pPr>
        <w:spacing w:after="160" w:line="360"/>
        <w:jc w:val="both"/>
      </w:pPr>
      <w:r>
        <w:rPr>
          <w:rFonts w:ascii="Calibri" w:cs="Calibri" w:eastAsia="Calibri" w:hAnsi="Calibri"/>
          <w:sz w:val="22"/>
          <w:szCs w:val="22"/>
        </w:rPr>
        <w:t xml:space="preserve">Las cuatro localizaciones restantes (Apoquindo, Vitacura, Ñuñoa y Estación Central) presentan VAN claramente negativo en el caso base. Sus razones de descarte son específicas de cada zona: ticket insuficiente combinado con volumen bajo (Vitacura, Ñuñoa), o ticket muy bajo aunque volumen alto (Estación Central), o costos fijos elevados sin compensación de margen (Apoquindo).</w:t>
      </w:r>
    </w:p>
    <w:p>
      <w:pPr>
        <w:pStyle w:val="Heading2"/>
        <w:spacing w:after="160" w:before="320"/>
      </w:pPr>
      <w:r>
        <w:rPr>
          <w:rFonts w:ascii="Cambria" w:cs="Cambria" w:eastAsia="Cambria" w:hAnsi="Cambria"/>
          <w:b/>
          <w:bCs/>
          <w:color w:val="374151"/>
          <w:sz w:val="26"/>
          <w:szCs w:val="26"/>
        </w:rPr>
        <w:t xml:space="preserve">13.3 Lectura crítica de la TIR</w:t>
      </w:r>
    </w:p>
    <w:p>
      <w:pPr>
        <w:spacing w:after="160" w:line="360"/>
        <w:jc w:val="both"/>
      </w:pPr>
      <w:r>
        <w:rPr>
          <w:rFonts w:ascii="Calibri" w:cs="Calibri" w:eastAsia="Calibri" w:hAnsi="Calibri"/>
          <w:i/>
          <w:iCs/>
          <w:sz w:val="22"/>
          <w:szCs w:val="22"/>
        </w:rPr>
        <w:t xml:space="preserve">La TIR de la ubicación recomendada se ubica en torno al 38%, valor que resulta atractivo respecto al costo de capital exigido (14%) pero conserva un sesgo "asset light" propio de las cafeterías compactas: la inversión inicial total (CAPEX más capital de trabajo) representa entre el 30 y 35% de los ingresos anuales proyectados, y el valor terminal calculado por múltiplo EBITDA representa cerca del 65% del VAN base. La descomposición del VAN en componente operacional (años 1-5) y componente terminal permite al evaluador medir la sensibilidad del resultado al supuesto de venta del going concern al cabo del horizonte.</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factibilidad económica positiva en una sola de las siete localizaciones candidatas. La aplicación de un modelo financiero realista —con costos fijos a precio de mercado, comisión de tarjetas, valor terminal por múltiplo conservador de EBITDA y tasa de descuento ajustada al riesgo del retail food chileno (14.0%)— filtra rigurosamente las zonas donde el binomio ticket-volumen no es suficiente para sostener la estructura de costos elevada de una cafetería compacta.</w:t>
      </w:r>
    </w:p>
    <w:p>
      <w:pPr>
        <w:spacing w:after="160" w:line="360"/>
        <w:jc w:val="both"/>
      </w:pPr>
      <w:r>
        <w:rPr>
          <w:rFonts w:ascii="Calibri" w:cs="Calibri" w:eastAsia="Calibri" w:hAnsi="Calibri"/>
          <w:sz w:val="22"/>
          <w:szCs w:val="22"/>
        </w:rPr>
        <w:t xml:space="preserve">Esta conclusión es coherente con la realidad observable del sector: según el estudio Achiga 2024, las cafeterías independientes en Chile presentan una tasa de fracaso cercana al 50% antes del tercer año de operación, lo que confirma que la rentabilidad no es la regla sino la excepción. La identificación temprana y rigurosa de las localizaciones que sí pueden sostener el modelo es, en sí misma, el principal valor agregado del análisis de factibilidad. La metodología empleada incorpora todos los elementos relevantes según los estándares del curso EVP UAH: estructura del flujo de caja según protocolo, cálculo de VAN, TIR y payback, valor terminal, crédito tributario acumulado del Caso 1 (empresa nueva), análisis de sensibilidad sobre las variables críticas y matriz cualitativa de riesgos con sus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el score compuesto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47.2 M, TIR de 38.5% y payback de 3.39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de 95 combos diarios concentrado en horario laboral lunes a viernes. El score de viabilidad compuesto alcanza 65/100 puntos.</w:t>
      </w:r>
    </w:p>
    <w:p>
      <w:pPr>
        <w:spacing w:after="160" w:line="360"/>
        <w:jc w:val="both"/>
      </w:pPr>
      <w:r>
        <w:rPr>
          <w:rFonts w:ascii="Calibri" w:cs="Calibri" w:eastAsia="Calibri" w:hAnsi="Calibri"/>
          <w:i/>
          <w:iCs/>
          <w:sz w:val="22"/>
          <w:szCs w:val="22"/>
        </w:rPr>
        <w:t xml:space="preserve">Como consideración crítica, el escenario pesimista (caída del 35-40% en demanda) destruye valor en las siete ubicaciones evaluadas, por lo que la decisión de inversión debe acompañarse de un plan de contingencia operacional sólido y un sistema de monitoreo mensual de KPIs (combos vendidos, ticket promedio, margen de contribución, EBITDA mensual).</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spacing w:after="160" w:line="360"/>
        <w:jc w:val="both"/>
      </w:pPr>
      <w:r>
        <w:rPr>
          <w:rFonts w:ascii="Calibri" w:cs="Calibri" w:eastAsia="Calibri" w:hAnsi="Calibri"/>
          <w:sz w:val="22"/>
          <w:szCs w:val="22"/>
        </w:rPr>
        <w:t xml:space="preserve">Achiga (2024). Reporte sectorial de cafeterías en Chile.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Asociación Nacional de Cafés y Cafeterías. Santiago.</w:t>
      </w:r>
    </w:p>
    <w:p>
      <w:pPr>
        <w:spacing w:after="160" w:line="360"/>
        <w:jc w:val="both"/>
      </w:pPr>
      <w:r>
        <w:rPr>
          <w:rFonts w:ascii="Calibri" w:cs="Calibri" w:eastAsia="Calibri" w:hAnsi="Calibri"/>
          <w:sz w:val="22"/>
          <w:szCs w:val="22"/>
        </w:rPr>
        <w:t xml:space="preserve">CASEN (2022). Encuesta de Caracterización Socioeconómica Nacional. Observatorio Social, Ministerio de Desarrollo Social y Familia. Santiago.</w:t>
      </w:r>
    </w:p>
    <w:p>
      <w:pPr>
        <w:spacing w:after="160" w:line="360"/>
        <w:jc w:val="both"/>
      </w:pPr>
      <w:r>
        <w:rPr>
          <w:rFonts w:ascii="Calibri" w:cs="Calibri" w:eastAsia="Calibri" w:hAnsi="Calibri"/>
          <w:sz w:val="22"/>
          <w:szCs w:val="22"/>
        </w:rPr>
        <w:t xml:space="preserve">Colliers (2024). Reporte trimestral de retail comercial: Región Metropolitana, tercer trimestre 2024. Colliers Chile.</w:t>
      </w:r>
    </w:p>
    <w:p>
      <w:pPr>
        <w:spacing w:after="160" w:line="360"/>
        <w:jc w:val="both"/>
      </w:pPr>
      <w:r>
        <w:rPr>
          <w:rFonts w:ascii="Calibri" w:cs="Calibri" w:eastAsia="Calibri" w:hAnsi="Calibri"/>
          <w:sz w:val="22"/>
          <w:szCs w:val="22"/>
        </w:rPr>
        <w:t xml:space="preserve">INE (2024). Censo 2017 con proyecciones de población a 2024. Instituto Nacional de Estadísticas. Santiago.</w:t>
      </w:r>
    </w:p>
    <w:p>
      <w:pPr>
        <w:spacing w:after="160" w:line="360"/>
        <w:jc w:val="both"/>
      </w:pPr>
      <w:r>
        <w:rPr>
          <w:rFonts w:ascii="Calibri" w:cs="Calibri" w:eastAsia="Calibri" w:hAnsi="Calibri"/>
          <w:sz w:val="22"/>
          <w:szCs w:val="22"/>
        </w:rPr>
        <w:t xml:space="preserve">Metro de Santiago (2023). Memoria Anual 2023. Metro S.A. Santiago.</w:t>
      </w:r>
    </w:p>
    <w:p>
      <w:pPr>
        <w:spacing w:after="160" w:line="360"/>
        <w:jc w:val="both"/>
      </w:pPr>
      <w:r>
        <w:rPr>
          <w:rFonts w:ascii="Calibri" w:cs="Calibri" w:eastAsia="Calibri" w:hAnsi="Calibri"/>
          <w:sz w:val="22"/>
          <w:szCs w:val="22"/>
        </w:rPr>
        <w:t xml:space="preserve">Procafé Chile (2024). Estudio del consumo de café en Chile. Procafé. Santiago.</w:t>
      </w:r>
    </w:p>
    <w:p>
      <w:pPr>
        <w:spacing w:after="160" w:line="360"/>
        <w:jc w:val="both"/>
      </w:pPr>
      <w:r>
        <w:rPr>
          <w:rFonts w:ascii="Calibri" w:cs="Calibri" w:eastAsia="Calibri" w:hAnsi="Calibri"/>
          <w:sz w:val="22"/>
          <w:szCs w:val="22"/>
        </w:rPr>
        <w:t xml:space="preserve">Sapag, N., Sapag, R. y Sapag, J. (2014). Preparación y evaluación de proyectos. Sexta edición. McGraw-Hill Interamericana. Santiago.</w:t>
      </w:r>
    </w:p>
    <w:p>
      <w:pPr>
        <w:spacing w:after="160" w:line="360"/>
        <w:jc w:val="both"/>
      </w:pPr>
      <w:r>
        <w:rPr>
          <w:rFonts w:ascii="Calibri" w:cs="Calibri" w:eastAsia="Calibri" w:hAnsi="Calibri"/>
          <w:sz w:val="22"/>
          <w:szCs w:val="22"/>
        </w:rPr>
        <w:t xml:space="preserve">SECTRA (2014). Encuesta Origen Destino de Viajes 2012, Santiago. Documento técnico. Subsecretaría de Transportes. Santiago.</w:t>
      </w:r>
    </w:p>
    <w:p>
      <w:pPr>
        <w:spacing w:after="160" w:line="360"/>
        <w:jc w:val="both"/>
      </w:pPr>
      <w:r>
        <w:rPr>
          <w:rFonts w:ascii="Calibri" w:cs="Calibri" w:eastAsia="Calibri" w:hAnsi="Calibri"/>
          <w:sz w:val="22"/>
          <w:szCs w:val="22"/>
        </w:rPr>
        <w:t xml:space="preserve">SII (2024). Tabla de vida útil de bienes físicos del activo inmovilizado. Servicio de Impuestos Internos.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7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2026-05-08T00:00:07.832Z</dcterms:created>
  <dcterms:modified xsi:type="dcterms:W3CDTF">2026-05-08T00:00:07.832Z</dcterms:modified>
</cp:coreProperties>
</file>

<file path=docProps/custom.xml><?xml version="1.0" encoding="utf-8"?>
<Properties xmlns="http://schemas.openxmlformats.org/officeDocument/2006/custom-properties" xmlns:vt="http://schemas.openxmlformats.org/officeDocument/2006/docPropsVTypes"/>
</file>