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</w:pPr>
      <w:r>
        <w:t xml:space="preserve">Q1–Q7: Fund Coverage Analysis</w:t>
      </w:r>
    </w:p>
    <w:p>
      <w:pPr>
        <w:pStyle w:val="Heading2"/>
      </w:pPr>
      <w:r>
        <w:t xml:space="preserve">Q1 — Department Distribution (Matched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3520"/>
        <w:gridCol w:w="3520"/>
      </w:tblGrid>
      <w:tr>
        <w:trPr>
          <w:tblHeader/>
        </w:trP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Gen_Surg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Ortho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507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1,348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398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Endo: 507 Gen_Surg, 0 Ortho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Mercy: 1,348 Gen_Surg + 76 Ortho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SAFE: 398 Gen_Surg + 169 Ortho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Q2 — Cross-Fund Overlap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Mercy ∩ Safe: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15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Mercy ∩ Endo: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 ∩ Endo: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Suspicious (≤14 days apart):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Legitimate (&gt;14 days):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Suspicious cases: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152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Number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Mercy Name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 Name</w:t>
            </w:r>
          </w:p>
        </w:tc>
        <w:tc>
          <w:tcPr>
            <w:tcW w:type="dxa" w:w="1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Apart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373557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MPAPA CHISAMBA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MPAPA CHISAMBA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6086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ATANAZIO BANDA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ATANAZIO BANDA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7877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CHINTHUZI KUTCHIKA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CHIMTHUNZI KUTCHIKA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15031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ALFRED YOHANE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ALFRED YOHANE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20643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WILSON KANYEMBA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WILSON KANYEMBA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Mercy∩Endo (7) and Safe∩Endo (3): expected — same patient had surgery + endoscopy.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Mercy∩Safe (15): 5 suspicious (≤14 days apart), 11 legitimate re-admissions.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 variants in row 3 (CHINTHUZI vs CHIMTHUNZI) suggest a spelling discrepancy — verify manually.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Q3 — Procedures per Fund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3520"/>
        <w:gridCol w:w="3520"/>
      </w:tblGrid>
      <w:tr>
        <w:trPr>
          <w:tblHeader/>
        </w:trP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Procedures/Entry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383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1,096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436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entries have 1 procedure across all funds.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Multi-procedure cases are most common in endo (repeat scopes).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Q4 — Coverage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TB Gen_Surg + Ortho total: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4,664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Covered by Mercy / SAFE: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1,916 (41.1%)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Unique TB Procedures 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462 / 515 matched (89.7%)  |  8 unmatched within TB range.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Q5 — Procedure Breakdown (Top 20 Diagnoses)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2107"/>
        <w:gridCol w:w="2107"/>
        <w:gridCol w:w="2106"/>
      </w:tblGrid>
      <w:tr>
        <w:trPr>
          <w:tblHeader/>
        </w:trPr>
        <w:tc>
          <w:tcPr>
            <w:tcW w:type="dxa" w:w="3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Diagnosis</w:t>
            </w:r>
          </w:p>
        </w:tc>
        <w:tc>
          <w:tcPr>
            <w:tcW w:type="dxa" w:w="21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Endo</w:t>
            </w:r>
          </w:p>
        </w:tc>
        <w:tc>
          <w:tcPr>
            <w:tcW w:type="dxa" w:w="21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Mercy</w:t>
            </w:r>
          </w:p>
        </w:tc>
        <w:tc>
          <w:tcPr>
            <w:tcW w:type="dxa" w:w="2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Other_Surg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BPH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Inguinal Hernia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Abscess / Infection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Bowel Obstruction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Lipoma / Subcut Tumor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Ventral Hernia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Cancer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Ortho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Fracture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Volvulus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Appendicitis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Perforation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Thyroid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 Bleeding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Dysphagia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Cholecystolithiasis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Dyspepsia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Wound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NSTI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mercy: Other_Surg (591), BPH (162), Inguinal Hernia (153)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SAFE:  Inguinal Hernia (115), BPH (107), Fracture (97)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Endo dominates GI: Dyspepsia (112), Dysphagia (93), GI Bleeding (79)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Q6 — Unmatched (Within TB Date Range)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Unmatched (within TB range)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mercy: 116 unmatched  |  safe: 7  |  endo: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Mercy unmatched rate is relatively high — may reflect name/date mismatches or out-of-scope procedures.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Q7 — Financial Summary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900"/>
        <w:gridCol w:w="1700"/>
        <w:gridCol w:w="1900"/>
        <w:gridCol w:w="196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Billed (MK)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Copay (MK)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Covered (MK)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Covered (MK)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92,339,160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27,622,880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62,361,520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141,409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1,247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390,437,906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107,979,220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276,462,831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221,702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244,627,263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10,726,000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−38,424,545 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−73,329 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Endo + Mercy combined: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Billed 482,777,066 MK  |  Copay 135,602,100 MK  |  Covered 338,824,351 MK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 (524 cases):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Median $476  |  Total $254,542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⚠ SAFE fund_covered_mk is negative — the fixed external price is below the actual bill. Use USD figures for SAFE financial analysis.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2026-05-28T04:56:04.590Z</dcterms:created>
  <dcterms:modified xsi:type="dcterms:W3CDTF">2026-05-28T04:56:04.590Z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