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3FC7" w:rsidRDefault="00F23FC7" w:rsidP="00F23FC7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6130D2">
        <w:rPr>
          <w:rFonts w:ascii="Arial" w:hAnsi="Arial" w:cs="Arial"/>
          <w:b/>
          <w:sz w:val="24"/>
          <w:szCs w:val="24"/>
        </w:rPr>
        <w:t>UNIVERSIDAD BUENOS AIRES</w:t>
      </w:r>
    </w:p>
    <w:p w:rsidR="00F23FC7" w:rsidRDefault="00F23FC7" w:rsidP="00F23FC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CICLO BASICO COMUN (</w:t>
      </w:r>
      <w:r w:rsidRPr="00CA6B08">
        <w:rPr>
          <w:rFonts w:ascii="Arial" w:hAnsi="Arial" w:cs="Arial"/>
          <w:sz w:val="24"/>
          <w:szCs w:val="24"/>
          <w:u w:val="single"/>
        </w:rPr>
        <w:t>sedes</w:t>
      </w:r>
      <w:r>
        <w:rPr>
          <w:rFonts w:ascii="Arial" w:hAnsi="Arial" w:cs="Arial"/>
          <w:sz w:val="24"/>
          <w:szCs w:val="24"/>
        </w:rPr>
        <w:t>: Las Heras, Vicente López y Montes de Oca)</w:t>
      </w:r>
    </w:p>
    <w:p w:rsidR="00F23FC7" w:rsidRPr="00624F04" w:rsidRDefault="00F23FC7" w:rsidP="00F23FC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130D2">
        <w:rPr>
          <w:rFonts w:ascii="Arial" w:hAnsi="Arial" w:cs="Arial"/>
          <w:b/>
          <w:sz w:val="24"/>
          <w:szCs w:val="24"/>
        </w:rPr>
        <w:t>Introducción al Conocimiento de la Sociedad y el Estado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624F04">
        <w:rPr>
          <w:rFonts w:ascii="Arial" w:hAnsi="Arial" w:cs="Arial"/>
          <w:sz w:val="24"/>
          <w:szCs w:val="24"/>
        </w:rPr>
        <w:t xml:space="preserve">– </w:t>
      </w:r>
      <w:r w:rsidRPr="00624F04">
        <w:rPr>
          <w:rFonts w:ascii="Arial" w:hAnsi="Arial" w:cs="Arial"/>
          <w:sz w:val="24"/>
          <w:szCs w:val="24"/>
          <w:u w:val="single"/>
        </w:rPr>
        <w:t>Cátedra</w:t>
      </w:r>
      <w:r w:rsidRPr="00624F04">
        <w:rPr>
          <w:rFonts w:ascii="Arial" w:hAnsi="Arial" w:cs="Arial"/>
          <w:sz w:val="24"/>
          <w:szCs w:val="24"/>
        </w:rPr>
        <w:t>: M.P. Bertino</w:t>
      </w:r>
    </w:p>
    <w:p w:rsidR="00DB24CC" w:rsidRDefault="00DB24CC" w:rsidP="001F0DDC">
      <w:pPr>
        <w:spacing w:line="0" w:lineRule="atLeast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1F0DDC" w:rsidRPr="000B2FB1" w:rsidRDefault="001F0DDC" w:rsidP="001F0DDC">
      <w:pPr>
        <w:spacing w:line="0" w:lineRule="atLeast"/>
        <w:jc w:val="both"/>
        <w:rPr>
          <w:rFonts w:ascii="Arial" w:hAnsi="Arial" w:cs="Arial"/>
          <w:sz w:val="24"/>
          <w:szCs w:val="24"/>
          <w:u w:val="single"/>
        </w:rPr>
      </w:pPr>
      <w:r w:rsidRPr="000B2FB1">
        <w:rPr>
          <w:rFonts w:ascii="Arial" w:hAnsi="Arial" w:cs="Arial"/>
          <w:sz w:val="24"/>
          <w:szCs w:val="24"/>
          <w:u w:val="single"/>
        </w:rPr>
        <w:t>GUIA DE LECTURA</w:t>
      </w:r>
    </w:p>
    <w:p w:rsidR="001F0DDC" w:rsidRDefault="001F0DDC" w:rsidP="001F0DDC">
      <w:pPr>
        <w:spacing w:line="0" w:lineRule="atLeast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Tercera Parte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b/>
          <w:sz w:val="24"/>
          <w:szCs w:val="24"/>
        </w:rPr>
        <w:t>Estado, política y sociedad en la Argentina</w:t>
      </w:r>
    </w:p>
    <w:p w:rsidR="001F0DDC" w:rsidRDefault="001F0DDC" w:rsidP="001F0DDC">
      <w:pPr>
        <w:spacing w:line="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Gargarella, R., “</w:t>
      </w:r>
      <w:r w:rsidRPr="00577C41">
        <w:rPr>
          <w:rFonts w:ascii="Arial" w:hAnsi="Arial" w:cs="Arial"/>
          <w:i/>
          <w:sz w:val="24"/>
          <w:szCs w:val="24"/>
        </w:rPr>
        <w:t>Notas sobre Kirchnerismo y Justicia</w:t>
      </w:r>
      <w:r>
        <w:rPr>
          <w:rFonts w:ascii="Arial" w:hAnsi="Arial" w:cs="Arial"/>
          <w:sz w:val="24"/>
          <w:szCs w:val="24"/>
        </w:rPr>
        <w:t xml:space="preserve">”, en </w:t>
      </w:r>
      <w:r w:rsidRPr="00C578D5">
        <w:rPr>
          <w:rFonts w:ascii="Arial" w:hAnsi="Arial" w:cs="Arial"/>
          <w:b/>
          <w:sz w:val="24"/>
          <w:szCs w:val="24"/>
        </w:rPr>
        <w:t>Andrés Malamud</w:t>
      </w:r>
      <w:r>
        <w:rPr>
          <w:rFonts w:ascii="Arial" w:hAnsi="Arial" w:cs="Arial"/>
          <w:sz w:val="24"/>
          <w:szCs w:val="24"/>
        </w:rPr>
        <w:t xml:space="preserve"> y </w:t>
      </w:r>
      <w:r w:rsidRPr="00C578D5">
        <w:rPr>
          <w:rFonts w:ascii="Arial" w:hAnsi="Arial" w:cs="Arial"/>
          <w:b/>
          <w:sz w:val="24"/>
          <w:szCs w:val="24"/>
        </w:rPr>
        <w:t>Miguel De Luca</w:t>
      </w:r>
      <w:r w:rsidR="00DB24CC">
        <w:rPr>
          <w:rFonts w:ascii="Arial" w:hAnsi="Arial" w:cs="Arial"/>
          <w:sz w:val="24"/>
          <w:szCs w:val="24"/>
        </w:rPr>
        <w:t xml:space="preserve"> (coord.</w:t>
      </w:r>
      <w:r>
        <w:rPr>
          <w:rFonts w:ascii="Arial" w:hAnsi="Arial" w:cs="Arial"/>
          <w:sz w:val="24"/>
          <w:szCs w:val="24"/>
        </w:rPr>
        <w:t xml:space="preserve">), </w:t>
      </w:r>
      <w:r w:rsidRPr="00C578D5">
        <w:rPr>
          <w:rFonts w:ascii="Arial" w:hAnsi="Arial" w:cs="Arial"/>
          <w:sz w:val="24"/>
          <w:szCs w:val="24"/>
          <w:u w:val="single"/>
        </w:rPr>
        <w:t>La política en tiempos de los Kirchner</w:t>
      </w:r>
      <w:r>
        <w:rPr>
          <w:rFonts w:ascii="Arial" w:hAnsi="Arial" w:cs="Arial"/>
          <w:sz w:val="24"/>
          <w:szCs w:val="24"/>
        </w:rPr>
        <w:t>, Buenos Aires, Eudeba, (págs.: 63 – 70)</w:t>
      </w:r>
    </w:p>
    <w:p w:rsidR="001F0DDC" w:rsidRDefault="001F0DDC" w:rsidP="001F0DDC">
      <w:pPr>
        <w:numPr>
          <w:ilvl w:val="0"/>
          <w:numId w:val="1"/>
        </w:numPr>
        <w:spacing w:line="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Describa las razones por las cuales el autor estudiará la composición de la Corte Suprema de Justicia y la reforma del Consejo de la Magistratura (2006), para dar cuenta de la relación: Kirchnerismo – Justicia.</w:t>
      </w:r>
    </w:p>
    <w:p w:rsidR="001F0DDC" w:rsidRDefault="001F0DDC" w:rsidP="001F0DDC">
      <w:pPr>
        <w:numPr>
          <w:ilvl w:val="0"/>
          <w:numId w:val="1"/>
        </w:numPr>
        <w:spacing w:line="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qué consistió la modificación de la Corte Suprema realizada por el gobierno de Néstor Kirchner y cómo fue la relación entre éste y dicho tribunal.</w:t>
      </w:r>
    </w:p>
    <w:p w:rsidR="001F0DDC" w:rsidRDefault="001F0DDC" w:rsidP="001F0DDC">
      <w:pPr>
        <w:numPr>
          <w:ilvl w:val="0"/>
          <w:numId w:val="1"/>
        </w:numPr>
        <w:spacing w:line="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¿Cómo fue la relación entre el gobierno de Néstor Kirchner y el Consejo de la Magistratura? ¿Qué concepción de la democracia demostró el gobierno?</w:t>
      </w:r>
    </w:p>
    <w:p w:rsidR="001F0DDC" w:rsidRPr="00577C41" w:rsidRDefault="001F0DDC" w:rsidP="001F0DDC">
      <w:pPr>
        <w:numPr>
          <w:ilvl w:val="0"/>
          <w:numId w:val="1"/>
        </w:numPr>
        <w:spacing w:line="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Explique las dos cuestiones en las que el autor concluye respecto del carácter de las iniciativas liberales del gobierno y del concepto de democracia.</w:t>
      </w:r>
    </w:p>
    <w:p w:rsidR="00DD15E2" w:rsidRDefault="00DD15E2"/>
    <w:sectPr w:rsidR="00DD15E2" w:rsidSect="001F0D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58579D"/>
    <w:multiLevelType w:val="hybridMultilevel"/>
    <w:tmpl w:val="199A8A8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DDC"/>
    <w:rsid w:val="001F0DDC"/>
    <w:rsid w:val="00495EBE"/>
    <w:rsid w:val="00C11090"/>
    <w:rsid w:val="00DB24CC"/>
    <w:rsid w:val="00DD15E2"/>
    <w:rsid w:val="00F2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DDC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DDC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Pablo Guillermo Moschen</cp:lastModifiedBy>
  <cp:revision>3</cp:revision>
  <dcterms:created xsi:type="dcterms:W3CDTF">2019-06-19T17:48:00Z</dcterms:created>
  <dcterms:modified xsi:type="dcterms:W3CDTF">2019-06-19T18:12:00Z</dcterms:modified>
</cp:coreProperties>
</file>